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60"/>
        <w:spacing w:after="0"/>
        <w:rPr>
          <w:sz w:val="20"/>
          <w:szCs w:val="20"/>
          <w:color w:val="auto"/>
        </w:rPr>
      </w:pPr>
      <w:r>
        <w:rPr>
          <w:rFonts w:ascii="Times New Roman" w:cs="Times New Roman" w:eastAsia="Times New Roman" w:hAnsi="Times New Roman"/>
          <w:sz w:val="14"/>
          <w:szCs w:val="14"/>
          <w:b w:val="1"/>
          <w:bCs w:val="1"/>
          <w:color w:val="auto"/>
        </w:rPr>
        <w:t>Filed pursuant to</w:t>
      </w:r>
    </w:p>
    <w:p>
      <w:pPr>
        <w:spacing w:after="0" w:line="55"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Rule 424(b)(3)</w:t>
      </w:r>
    </w:p>
    <w:p>
      <w:pPr>
        <w:spacing w:after="0" w:line="29"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333-279315</w:t>
      </w:r>
    </w:p>
    <w:p>
      <w:pPr>
        <w:spacing w:after="0" w:line="200" w:lineRule="exact"/>
        <w:rPr>
          <w:sz w:val="24"/>
          <w:szCs w:val="24"/>
          <w:color w:val="auto"/>
        </w:rPr>
      </w:pPr>
    </w:p>
    <w:p>
      <w:pPr>
        <w:spacing w:after="0" w:line="38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BRIGHTHOUSE SHIELD</w:t>
      </w:r>
      <w:r>
        <w:rPr>
          <w:rFonts w:ascii="Times New Roman" w:cs="Times New Roman" w:eastAsia="Times New Roman" w:hAnsi="Times New Roman"/>
          <w:sz w:val="41"/>
          <w:szCs w:val="41"/>
          <w:b w:val="1"/>
          <w:bCs w:val="1"/>
          <w:color w:val="auto"/>
          <w:vertAlign w:val="superscript"/>
        </w:rPr>
        <w:t>®</w:t>
      </w:r>
      <w:r>
        <w:rPr>
          <w:rFonts w:ascii="Times New Roman" w:cs="Times New Roman" w:eastAsia="Times New Roman" w:hAnsi="Times New Roman"/>
          <w:sz w:val="32"/>
          <w:szCs w:val="32"/>
          <w:b w:val="1"/>
          <w:bCs w:val="1"/>
          <w:color w:val="auto"/>
        </w:rPr>
        <w:t xml:space="preserve"> LEVEL II 6-YEAR</w:t>
      </w: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ANNUITY</w:t>
      </w:r>
    </w:p>
    <w:p>
      <w:pPr>
        <w:spacing w:after="0" w:line="183" w:lineRule="exact"/>
        <w:rPr>
          <w:sz w:val="24"/>
          <w:szCs w:val="24"/>
          <w:color w:val="auto"/>
        </w:rPr>
      </w:pPr>
    </w:p>
    <w:p>
      <w:pPr>
        <w:jc w:val="both"/>
        <w:ind w:left="120" w:right="659" w:firstLine="360"/>
        <w:spacing w:after="0" w:line="249" w:lineRule="auto"/>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an individual single premium deferred index-linked separate account annuity contract (the “Contract”) issued by Brighthouse Life Insurance Company of NY (“BLNY”, the “Company”, “we”, “our” or “us”).</w:t>
      </w:r>
    </w:p>
    <w:p>
      <w:pPr>
        <w:spacing w:after="0" w:line="190" w:lineRule="exact"/>
        <w:rPr>
          <w:sz w:val="24"/>
          <w:szCs w:val="24"/>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This Contract is available for use in connection with Non-Qualified Plans, Traditional IRAs and Roth IRAs. This version of the Contract is only available in New York state. BLNY is located at 285 Madison Avenue, New York, NY 10017. The telephone number is 1-888-243-1932. Brighthouse Securities, LLC, 11225 North Community House Road, Charlotte, NC 28277, is the principal underwriter and distributor of the Contracts.</w:t>
      </w:r>
    </w:p>
    <w:p>
      <w:pPr>
        <w:spacing w:after="0" w:line="17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The Risk Factors for this Contract appear on Page 15.</w:t>
      </w:r>
    </w:p>
    <w:p>
      <w:pPr>
        <w:spacing w:after="0" w:line="225" w:lineRule="exact"/>
        <w:rPr>
          <w:sz w:val="24"/>
          <w:szCs w:val="24"/>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Please read the prospectus carefully before investing and keep it for future reference. This prospectus includes important information including a description of all material features, rights and obligations of the Contract. BLNY’s obligations under the Contract are subject to our financial strength and claims-paying ability. The Contract offers various Shield Options which provide certain protections in that the Company will absorb specified levels of negative index returns and the Performance Lock feature that allows you the option to lock the Interim Value. The currently offered Shield Options provide that we will absorb losses at least equal to 10%, 15%, and 25%. Under these Shield Options,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that provides this minimum amount of, or any, protection. In return for downside protection, we may limit positive index gains. </w:t>
      </w:r>
      <w:r>
        <w:rPr>
          <w:rFonts w:ascii="Times New Roman" w:cs="Times New Roman" w:eastAsia="Times New Roman" w:hAnsi="Times New Roman"/>
          <w:sz w:val="18"/>
          <w:szCs w:val="18"/>
          <w:color w:val="auto"/>
        </w:rPr>
        <w:t>We are not obligated to offer any one particular Shield Option, but after your Contract is issued, there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always be one Shield Option available although it may not be substantially similar to one of the currently available Shield Options.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Fixed Account Term End Date), surrender your Contract and/or invest in another investment vehicle. If you surrender your Contract, you might incur taxes, tax penalties or other adjustments. If you invest in another investment vehicle, that investment may have different features, fees and risks than your Contract. Index-linked annuity contracts are complex insurance and investment vehicles. </w:t>
      </w:r>
      <w:r>
        <w:rPr>
          <w:rFonts w:ascii="Times New Roman" w:cs="Times New Roman" w:eastAsia="Times New Roman" w:hAnsi="Times New Roman"/>
          <w:sz w:val="18"/>
          <w:szCs w:val="18"/>
          <w:b w:val="1"/>
          <w:bCs w:val="1"/>
          <w:color w:val="auto"/>
        </w:rPr>
        <w:t>Before you invest, be sure to ask your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professional about the Contract’s features, benefits, risks and fees, and whether the Contract is appropriate for you based upon your financial situation and objectives.</w:t>
      </w:r>
    </w:p>
    <w:p>
      <w:pPr>
        <w:spacing w:after="0" w:line="81" w:lineRule="exact"/>
        <w:rPr>
          <w:sz w:val="24"/>
          <w:szCs w:val="24"/>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There are risks associated with investing in Shield Options. You may lose money, up to all or a significant amount of your principal, as well as earnings from prior Allocation Options. You should not buy this Contract if you are not willing to assume these investment risks.</w:t>
      </w:r>
    </w:p>
    <w:p>
      <w:pPr>
        <w:spacing w:after="0" w:line="68" w:lineRule="exact"/>
        <w:rPr>
          <w:sz w:val="24"/>
          <w:szCs w:val="24"/>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The Contract may not be appropriate for you if you plan to take withdrawals from a Shield Option prior to the end of the Term End Date, especially if you plan to take ongoing withdrawals such as required minimum distributions or withdrawals taken under the systematic withdrawal program. An Interim Value calculation may apply to required minimum distributions, as well as to withdrawals taken under the systematic withdrawal program, and could result in a loss beyond the protection of the Shield Rate. In extreme circumstances, you could lose up to 100% of the value of your Shield Option if you make a withdrawal or surrender the Contract during a Term.</w:t>
      </w:r>
    </w:p>
    <w:p>
      <w:pPr>
        <w:spacing w:after="0" w:line="81" w:lineRule="exact"/>
        <w:rPr>
          <w:sz w:val="24"/>
          <w:szCs w:val="24"/>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Withdrawals could also result in significant reductions to your contract value and the death benefit (perhaps by more than the amount withdrawn), as well as to the Performance Rate Adjustment on the Term End Date. Withdrawals may also be subject to a Withdrawal Charge, income taxes, and income tax penalties if taken before age 59</w:t>
      </w:r>
      <w:r>
        <w:rPr>
          <w:rFonts w:ascii="Times New Roman" w:cs="Times New Roman" w:eastAsia="Times New Roman" w:hAnsi="Times New Roman"/>
          <w:sz w:val="10"/>
          <w:szCs w:val="10"/>
          <w:color w:val="auto"/>
        </w:rPr>
        <w:t> 1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 If you do intend to take ongoing withdrawals under the Contract, particularly from a Shield Option during the Term, you should consult with a financial professional.</w:t>
      </w:r>
    </w:p>
    <w:p>
      <w:pPr>
        <w:sectPr>
          <w:pgSz w:w="11900" w:h="16838" w:orient="portrait"/>
          <w:cols w:equalWidth="0" w:num="1">
            <w:col w:w="9019"/>
          </w:cols>
          <w:pgMar w:left="1440" w:top="763" w:right="1440" w:bottom="1440" w:gutter="0" w:footer="0" w:header="0"/>
        </w:sectPr>
      </w:pPr>
    </w:p>
    <w:bookmarkStart w:id="1" w:name="page2"/>
    <w:bookmarkEnd w:id="1"/>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136525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You may cancel the Contract within 10 days after receiving it by mailing or delivering the Contract to either us or the financial professional who sold it. You will receive (i) whatever your Contract is worth on the day that we receive your cancellation request, plus (ii) the sum of all fees, taxes and charges deducted from the Purchase Payment during the Free Look period. You should review this prospectus or consult with your financial professional, for additional information about the specific cancellation terms that apply.</w:t>
      </w:r>
    </w:p>
    <w:p>
      <w:pPr>
        <w:spacing w:after="0" w:line="179" w:lineRule="exact"/>
        <w:rPr>
          <w:sz w:val="20"/>
          <w:szCs w:val="20"/>
          <w:color w:val="auto"/>
        </w:rPr>
      </w:pPr>
    </w:p>
    <w:p>
      <w:pPr>
        <w:jc w:val="both"/>
        <w:ind w:left="12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the adequacy of this prospectus. Any representation to the contrary is a criminal offense. Mutual funds, annuities and insurance products are not deposits of any bank and are not insured or guaranteed by the Federal Deposit Insurance Corporation (the “FDIC”) or any other government agency. You may lose money invested in the Contract.</w:t>
      </w:r>
    </w:p>
    <w:p>
      <w:pPr>
        <w:spacing w:after="0" w:line="179"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Contracts may be distributed through broker-dealers that have relationships with banks or other financial institutions or by employees of such banks. However, the Contracts are not deposits or obligations of, or guaranteed by such institutions or any Federal regulatory agency. Investment in the Contract involves investment risks, including possible loss of principal.</w:t>
      </w:r>
    </w:p>
    <w:p>
      <w:pPr>
        <w:spacing w:after="0" w:line="176" w:lineRule="exact"/>
        <w:rPr>
          <w:sz w:val="20"/>
          <w:szCs w:val="20"/>
          <w:color w:val="auto"/>
        </w:rPr>
      </w:pPr>
    </w:p>
    <w:p>
      <w:pPr>
        <w:jc w:val="both"/>
        <w:ind w:left="120" w:right="6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principal underwriter of the Contract is Brighthouse Securities, LLC. The offering of the Contract is intended to be continuous.</w:t>
      </w:r>
    </w:p>
    <w:p>
      <w:pPr>
        <w:spacing w:after="0" w:line="15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Prospectus dated July 18, 2024</w:t>
      </w:r>
    </w:p>
    <w:p>
      <w:pPr>
        <w:sectPr>
          <w:pgSz w:w="11900" w:h="16838" w:orient="portrait"/>
          <w:cols w:equalWidth="0" w:num="1">
            <w:col w:w="9019"/>
          </w:cols>
          <w:pgMar w:left="1440" w:top="742" w:right="1440" w:bottom="1440" w:gutter="0" w:footer="0" w:header="0"/>
        </w:sectPr>
      </w:pPr>
    </w:p>
    <w:bookmarkStart w:id="2" w:name="page3"/>
    <w:bookmarkEnd w:id="2"/>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0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8"/>
                <w:szCs w:val="18"/>
                <w:color w:val="0000EE"/>
                <w:w w:val="98"/>
              </w:rPr>
              <w:t>STATUS PURSUANT TO SECURITIES EXCHANGE ACT OF 1934</w:t>
            </w:r>
          </w:p>
        </w:tc>
        <w:tc>
          <w:tcPr>
            <w:tcW w:w="182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6920" w:type="dxa"/>
            <w:vAlign w:val="bottom"/>
            <w:gridSpan w:val="41"/>
            <w:shd w:val="clear" w:color="auto" w:fill="F0FFFF"/>
          </w:tcPr>
          <w:p>
            <w:pPr>
              <w:spacing w:after="0" w:line="169" w:lineRule="exact"/>
              <w:rPr>
                <w:sz w:val="20"/>
                <w:szCs w:val="20"/>
                <w:color w:val="auto"/>
              </w:rPr>
            </w:pPr>
            <w:r>
              <w:rPr>
                <w:rFonts w:ascii="Times New Roman" w:cs="Times New Roman" w:eastAsia="Times New Roman" w:hAnsi="Times New Roman"/>
                <w:sz w:val="18"/>
                <w:szCs w:val="18"/>
                <w:color w:val="0000EE"/>
              </w:rPr>
              <w:t>SPECIAL TERMS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SUMMARY</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Key Features of the Contract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RISK FACTORS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ANNUITY CONTRACT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Replacement of Contracts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PURCHASE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Purchase Payment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Allocation of the Purchase Payment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SHIELD OPTIONS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TERM</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Term Start Date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Term End Date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INDICES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Discontinuation or Substantial Change to an Index.</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9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Index Value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Index Performance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SHIELD RATES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RATE CREDITING TYPES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Cap Rate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Step Rate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Step Rate Edge</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Rate Crediting Type Considerations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ADDITION OR DISCONTINUANCE OF A SHIELD OPTION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ACCOUNT VALUE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INVESTMENT AMOUNT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CALCULATING YOUR INVESTMENT AMOUNT ON A TERM END DATE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9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680" w:type="dxa"/>
            <w:vAlign w:val="bottom"/>
            <w:tcBorders>
              <w:top w:val="single" w:sz="8" w:color="0000EE"/>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INTERIM VALUE CALCULATION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Interim Value Calculation</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WITHDRAWAL PROVISIONS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Withdrawal Charge</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When No Withdrawal Charge Applies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Systematic Withdrawal Program</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TRANSFERS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Transfers without Performance Lock</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Transfers with Performance Lock</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656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Availability of Performance Lock with a New Shield Option</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9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PERFORMANCE LOCK</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92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DEATH BENEFIT</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14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56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Standard Death Benefit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6200" w:type="dxa"/>
            <w:vAlign w:val="bottom"/>
            <w:gridSpan w:val="37"/>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General Death Benefit Provisions</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90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gridSpan w:val="37"/>
          </w:tcPr>
          <w:p>
            <w:pPr>
              <w:spacing w:after="0" w:line="162" w:lineRule="exact"/>
              <w:rPr>
                <w:sz w:val="20"/>
                <w:szCs w:val="20"/>
                <w:color w:val="auto"/>
              </w:rPr>
            </w:pPr>
            <w:r>
              <w:rPr>
                <w:rFonts w:ascii="Times New Roman" w:cs="Times New Roman" w:eastAsia="Times New Roman" w:hAnsi="Times New Roman"/>
                <w:sz w:val="18"/>
                <w:szCs w:val="18"/>
                <w:color w:val="0000EE"/>
              </w:rPr>
              <w:t>Controlled Payout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6200" w:type="dxa"/>
            <w:vAlign w:val="bottom"/>
            <w:gridSpan w:val="37"/>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Death of Owner During the Accumulation Period</w:t>
            </w:r>
          </w:p>
        </w:tc>
        <w:tc>
          <w:tcPr>
            <w:tcW w:w="13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90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F0FFFF"/>
            </w:tcBorders>
            <w:shd w:val="clear" w:color="auto" w:fill="F0FFFF"/>
          </w:tcPr>
          <w:p>
            <w:pPr>
              <w:spacing w:after="0"/>
              <w:rPr>
                <w:sz w:val="5"/>
                <w:szCs w:val="5"/>
                <w:color w:val="auto"/>
              </w:rPr>
            </w:pPr>
          </w:p>
        </w:tc>
        <w:tc>
          <w:tcPr>
            <w:tcW w:w="680" w:type="dxa"/>
            <w:vAlign w:val="bottom"/>
            <w:tcBorders>
              <w:top w:val="single" w:sz="8" w:color="F0FFFF"/>
            </w:tcBorders>
            <w:shd w:val="clear" w:color="auto" w:fill="F0FFFF"/>
          </w:tcPr>
          <w:p>
            <w:pPr>
              <w:spacing w:after="0"/>
              <w:rPr>
                <w:sz w:val="5"/>
                <w:szCs w:val="5"/>
                <w:color w:val="auto"/>
              </w:rPr>
            </w:pPr>
          </w:p>
        </w:tc>
        <w:tc>
          <w:tcPr>
            <w:tcW w:w="1140" w:type="dxa"/>
            <w:vAlign w:val="bottom"/>
            <w:tcBorders>
              <w:top w:val="single" w:sz="8" w:color="F0FFFF"/>
            </w:tcBorders>
            <w:shd w:val="clear" w:color="auto" w:fill="F0FFFF"/>
          </w:tcPr>
          <w:p>
            <w:pPr>
              <w:spacing w:after="0"/>
              <w:rPr>
                <w:sz w:val="5"/>
                <w:szCs w:val="5"/>
                <w:color w:val="auto"/>
              </w:rPr>
            </w:pPr>
          </w:p>
        </w:tc>
        <w:tc>
          <w:tcPr>
            <w:tcW w:w="134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Borders>
              <w:bottom w:val="single" w:sz="8" w:color="0000EE"/>
            </w:tcBorders>
            <w:gridSpan w:val="32"/>
          </w:tcPr>
          <w:p>
            <w:pPr>
              <w:spacing w:after="0" w:line="142" w:lineRule="exact"/>
              <w:rPr>
                <w:sz w:val="20"/>
                <w:szCs w:val="20"/>
                <w:color w:val="auto"/>
              </w:rPr>
            </w:pPr>
            <w:r>
              <w:rPr>
                <w:rFonts w:ascii="Times New Roman" w:cs="Times New Roman" w:eastAsia="Times New Roman" w:hAnsi="Times New Roman"/>
                <w:sz w:val="16"/>
                <w:szCs w:val="16"/>
                <w:color w:val="0000EE"/>
              </w:rPr>
              <w:t>Death of Annuitant During the Accumulation Period</w:t>
            </w:r>
          </w:p>
        </w:tc>
        <w:tc>
          <w:tcPr>
            <w:tcW w:w="2420" w:type="dxa"/>
            <w:vAlign w:val="bottom"/>
            <w:gridSpan w:val="5"/>
            <w:vMerge w:val="restart"/>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20" w:type="dxa"/>
            <w:vAlign w:val="bottom"/>
            <w:gridSpan w:val="21"/>
          </w:tcPr>
          <w:p>
            <w:pPr>
              <w:spacing w:after="0"/>
              <w:rPr>
                <w:sz w:val="5"/>
                <w:szCs w:val="5"/>
                <w:color w:val="auto"/>
              </w:rPr>
            </w:pPr>
          </w:p>
        </w:tc>
        <w:tc>
          <w:tcPr>
            <w:tcW w:w="2160" w:type="dxa"/>
            <w:vAlign w:val="bottom"/>
            <w:gridSpan w:val="11"/>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F0FFFF"/>
            </w:tcBorders>
            <w:shd w:val="clear" w:color="auto" w:fill="F0FFFF"/>
          </w:tcPr>
          <w:p>
            <w:pPr>
              <w:spacing w:after="0"/>
              <w:rPr>
                <w:sz w:val="14"/>
                <w:szCs w:val="14"/>
                <w:color w:val="auto"/>
              </w:rPr>
            </w:pPr>
          </w:p>
        </w:tc>
        <w:tc>
          <w:tcPr>
            <w:tcW w:w="140" w:type="dxa"/>
            <w:vAlign w:val="bottom"/>
            <w:tcBorders>
              <w:bottom w:val="single" w:sz="8" w:color="F0FFFF"/>
            </w:tcBorders>
            <w:shd w:val="clear" w:color="auto" w:fill="F0FFFF"/>
          </w:tcPr>
          <w:p>
            <w:pPr>
              <w:spacing w:after="0"/>
              <w:rPr>
                <w:sz w:val="14"/>
                <w:szCs w:val="14"/>
                <w:color w:val="auto"/>
              </w:rPr>
            </w:pPr>
          </w:p>
        </w:tc>
        <w:tc>
          <w:tcPr>
            <w:tcW w:w="200" w:type="dxa"/>
            <w:vAlign w:val="bottom"/>
            <w:tcBorders>
              <w:bottom w:val="single" w:sz="8" w:color="F0FFFF"/>
            </w:tcBorders>
            <w:shd w:val="clear" w:color="auto" w:fill="F0FFFF"/>
          </w:tcPr>
          <w:p>
            <w:pPr>
              <w:spacing w:after="0"/>
              <w:rPr>
                <w:sz w:val="14"/>
                <w:szCs w:val="14"/>
                <w:color w:val="auto"/>
              </w:rPr>
            </w:pPr>
          </w:p>
        </w:tc>
        <w:tc>
          <w:tcPr>
            <w:tcW w:w="20" w:type="dxa"/>
            <w:vAlign w:val="bottom"/>
            <w:tcBorders>
              <w:bottom w:val="single" w:sz="8" w:color="F0FFFF"/>
            </w:tcBorders>
            <w:shd w:val="clear" w:color="auto" w:fill="F0FFFF"/>
          </w:tcPr>
          <w:p>
            <w:pPr>
              <w:spacing w:after="0"/>
              <w:rPr>
                <w:sz w:val="14"/>
                <w:szCs w:val="14"/>
                <w:color w:val="auto"/>
              </w:rPr>
            </w:pPr>
          </w:p>
        </w:tc>
        <w:tc>
          <w:tcPr>
            <w:tcW w:w="1620" w:type="dxa"/>
            <w:vAlign w:val="bottom"/>
            <w:tcBorders>
              <w:bottom w:val="single" w:sz="8" w:color="0000EE"/>
            </w:tcBorders>
            <w:gridSpan w:val="21"/>
            <w:shd w:val="clear" w:color="auto" w:fill="F0FFFF"/>
          </w:tcPr>
          <w:p>
            <w:pPr>
              <w:spacing w:after="0" w:line="142" w:lineRule="exact"/>
              <w:rPr>
                <w:sz w:val="20"/>
                <w:szCs w:val="20"/>
                <w:color w:val="auto"/>
              </w:rPr>
            </w:pPr>
            <w:r>
              <w:rPr>
                <w:rFonts w:ascii="Times New Roman" w:cs="Times New Roman" w:eastAsia="Times New Roman" w:hAnsi="Times New Roman"/>
                <w:sz w:val="16"/>
                <w:szCs w:val="16"/>
                <w:color w:val="0000EE"/>
              </w:rPr>
              <w:t>Death Benefit Options</w:t>
            </w:r>
          </w:p>
        </w:tc>
        <w:tc>
          <w:tcPr>
            <w:tcW w:w="4580" w:type="dxa"/>
            <w:vAlign w:val="bottom"/>
            <w:tcBorders>
              <w:bottom w:val="single" w:sz="8" w:color="F0FFFF"/>
            </w:tcBorders>
            <w:gridSpan w:val="16"/>
            <w:shd w:val="clear" w:color="auto" w:fill="F0FFFF"/>
          </w:tcPr>
          <w:p>
            <w:pPr>
              <w:spacing w:after="0"/>
              <w:rPr>
                <w:sz w:val="14"/>
                <w:szCs w:val="14"/>
                <w:color w:val="auto"/>
              </w:rPr>
            </w:pPr>
          </w:p>
        </w:tc>
        <w:tc>
          <w:tcPr>
            <w:tcW w:w="1340" w:type="dxa"/>
            <w:vAlign w:val="bottom"/>
            <w:tcBorders>
              <w:bottom w:val="single" w:sz="8" w:color="F0FFFF"/>
            </w:tcBorders>
            <w:shd w:val="clear" w:color="auto" w:fill="F0FFFF"/>
          </w:tcPr>
          <w:p>
            <w:pPr>
              <w:jc w:val="right"/>
              <w:spacing w:after="0" w:line="142"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135890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738" w:right="1440" w:bottom="1440" w:gutter="0" w:footer="0" w:header="0"/>
        </w:sectPr>
      </w:pPr>
    </w:p>
    <w:bookmarkStart w:id="3" w:name="page4"/>
    <w:bookmarkEnd w:id="3"/>
    <w:tbl>
      <w:tblPr>
        <w:tblLayout w:type="fixed"/>
        <w:tblInd w:w="120" w:type="dxa"/>
        <w:tblCellMar>
          <w:top w:w="0" w:type="dxa"/>
          <w:left w:w="0" w:type="dxa"/>
          <w:bottom w:w="0" w:type="dxa"/>
          <w:right w:w="0" w:type="dxa"/>
        </w:tblCellMar>
      </w:tblPr>
      <w:tr>
        <w:trPr>
          <w:trHeight w:val="234"/>
        </w:trPr>
        <w:tc>
          <w:tcPr>
            <w:tcW w:w="8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ANNUITY PAYMENTS (THE ANNUITY PERIOD)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62"/>
        </w:trPr>
        <w:tc>
          <w:tcPr>
            <w:tcW w:w="360" w:type="dxa"/>
            <w:vAlign w:val="bottom"/>
            <w:tcBorders>
              <w:top w:val="single" w:sz="8" w:color="0000EE"/>
            </w:tcBorders>
            <w:shd w:val="clear" w:color="auto" w:fill="F0FFFF"/>
          </w:tcPr>
          <w:p>
            <w:pPr>
              <w:spacing w:after="0"/>
              <w:rPr>
                <w:sz w:val="14"/>
                <w:szCs w:val="14"/>
                <w:color w:val="auto"/>
              </w:rPr>
            </w:pPr>
          </w:p>
        </w:tc>
        <w:tc>
          <w:tcPr>
            <w:tcW w:w="3500" w:type="dxa"/>
            <w:vAlign w:val="bottom"/>
            <w:tcBorders>
              <w:top w:val="single" w:sz="8" w:color="0000EE"/>
            </w:tcBorders>
            <w:gridSpan w:val="28"/>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Annuity Date</w:t>
            </w:r>
          </w:p>
        </w:tc>
        <w:tc>
          <w:tcPr>
            <w:tcW w:w="4460" w:type="dxa"/>
            <w:vAlign w:val="bottom"/>
            <w:gridSpan w:val="2"/>
            <w:shd w:val="clear" w:color="auto" w:fill="F0FFFF"/>
          </w:tcPr>
          <w:p>
            <w:pPr>
              <w:spacing w:after="0"/>
              <w:rPr>
                <w:sz w:val="14"/>
                <w:szCs w:val="14"/>
                <w:color w:val="auto"/>
              </w:rPr>
            </w:pP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30"/>
          </w:tcPr>
          <w:p>
            <w:pPr>
              <w:spacing w:after="0" w:line="162" w:lineRule="exact"/>
              <w:rPr>
                <w:sz w:val="20"/>
                <w:szCs w:val="20"/>
                <w:color w:val="auto"/>
              </w:rPr>
            </w:pPr>
            <w:r>
              <w:rPr>
                <w:rFonts w:ascii="Times New Roman" w:cs="Times New Roman" w:eastAsia="Times New Roman" w:hAnsi="Times New Roman"/>
                <w:sz w:val="18"/>
                <w:szCs w:val="18"/>
                <w:color w:val="0000EE"/>
              </w:rPr>
              <w:t>Maturity Date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Annuity Payments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960" w:type="dxa"/>
            <w:vAlign w:val="bottom"/>
            <w:gridSpan w:val="30"/>
          </w:tcPr>
          <w:p>
            <w:pPr>
              <w:spacing w:after="0" w:line="162" w:lineRule="exact"/>
              <w:rPr>
                <w:sz w:val="20"/>
                <w:szCs w:val="20"/>
                <w:color w:val="auto"/>
              </w:rPr>
            </w:pPr>
            <w:r>
              <w:rPr>
                <w:rFonts w:ascii="Times New Roman" w:cs="Times New Roman" w:eastAsia="Times New Roman" w:hAnsi="Times New Roman"/>
                <w:sz w:val="18"/>
                <w:szCs w:val="18"/>
                <w:color w:val="0000EE"/>
              </w:rPr>
              <w:t>Annuity Options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Death of Owner During the Annuity Period</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PREMIUM AND OTHER TAXES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INCOME TAXES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FEDERAL TAX CONSIDERATIONS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YOUR RIGHT TO CANCEL (FREE LOOK)</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OWNERSHIP PROVISIONS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ABANDONED PROPERTY REQUIREMENTS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SUSPENSION OF PAYMENTS OR TRANSFERS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WHEN WE CAN CANCEL YOUR CONTRACT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THE INSURANCE COMPANY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960" w:type="dxa"/>
            <w:vAlign w:val="bottom"/>
            <w:gridSpan w:val="3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Brighthouse Life Insurance Company of NY</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THE SEPARATE ACCOUNT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INVESTMENTS BY BLNY</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ANNUAL STATEMENT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DISTRIBUTION OF THE CONTRACTS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THE FIXED ACCOUNT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THE HOLDING ACCOUNT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RESTRICTIONS ON FINANCIAL TRANSACTIONS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REQUESTS AND ELECTIONS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CONFIRMING TRANSACTIONS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LEGAL PROCEEDINGS</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INDEPENDENT AUDITOR</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tcPr>
          <w:p>
            <w:pPr>
              <w:spacing w:after="0" w:line="162" w:lineRule="exact"/>
              <w:rPr>
                <w:sz w:val="20"/>
                <w:szCs w:val="20"/>
                <w:color w:val="auto"/>
              </w:rPr>
            </w:pPr>
            <w:r>
              <w:rPr>
                <w:rFonts w:ascii="Times New Roman" w:cs="Times New Roman" w:eastAsia="Times New Roman" w:hAnsi="Times New Roman"/>
                <w:sz w:val="18"/>
                <w:szCs w:val="18"/>
                <w:color w:val="0000EE"/>
              </w:rPr>
              <w:t>ELECTRONIC DELIVERY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320" w:type="dxa"/>
            <w:vAlign w:val="bottom"/>
            <w:gridSpan w:val="3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AMENDMENT OF THE CONTRACT</w:t>
            </w:r>
          </w:p>
        </w:tc>
        <w:tc>
          <w:tcPr>
            <w:tcW w:w="3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400" w:type="dxa"/>
            <w:vAlign w:val="bottom"/>
            <w:tcBorders>
              <w:top w:val="single" w:sz="8" w:color="0000EE"/>
            </w:tcBorders>
            <w:shd w:val="clear" w:color="auto" w:fill="F0FFFF"/>
          </w:tcPr>
          <w:p>
            <w:pPr>
              <w:spacing w:after="0"/>
              <w:rPr>
                <w:sz w:val="5"/>
                <w:szCs w:val="5"/>
                <w:color w:val="auto"/>
              </w:rPr>
            </w:pPr>
          </w:p>
        </w:tc>
        <w:tc>
          <w:tcPr>
            <w:tcW w:w="5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4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60" w:type="dxa"/>
            <w:vAlign w:val="bottom"/>
            <w:tcBorders>
              <w:top w:val="single" w:sz="8" w:color="F0FFFF"/>
            </w:tcBorders>
            <w:shd w:val="clear" w:color="auto" w:fill="F0FFFF"/>
          </w:tcPr>
          <w:p>
            <w:pPr>
              <w:spacing w:after="0"/>
              <w:rPr>
                <w:sz w:val="5"/>
                <w:szCs w:val="5"/>
                <w:color w:val="auto"/>
              </w:rPr>
            </w:pPr>
          </w:p>
        </w:tc>
        <w:tc>
          <w:tcPr>
            <w:tcW w:w="140" w:type="dxa"/>
            <w:vAlign w:val="bottom"/>
            <w:tcBorders>
              <w:top w:val="single" w:sz="8" w:color="F0FFFF"/>
            </w:tcBorders>
            <w:shd w:val="clear" w:color="auto" w:fill="F0FFFF"/>
          </w:tcPr>
          <w:p>
            <w:pPr>
              <w:spacing w:after="0"/>
              <w:rPr>
                <w:sz w:val="5"/>
                <w:szCs w:val="5"/>
                <w:color w:val="auto"/>
              </w:rPr>
            </w:pPr>
          </w:p>
        </w:tc>
        <w:tc>
          <w:tcPr>
            <w:tcW w:w="432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EE"/>
              </w:rPr>
              <w:t>MISSTATEMENT</w:t>
            </w:r>
          </w:p>
        </w:tc>
        <w:tc>
          <w:tcPr>
            <w:tcW w:w="6980" w:type="dxa"/>
            <w:vAlign w:val="bottom"/>
            <w:gridSpan w:val="27"/>
            <w:vMerge w:val="restart"/>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1"/>
        </w:trPr>
        <w:tc>
          <w:tcPr>
            <w:tcW w:w="1340" w:type="dxa"/>
            <w:vAlign w:val="bottom"/>
            <w:gridSpan w:val="4"/>
          </w:tcPr>
          <w:p>
            <w:pPr>
              <w:spacing w:after="0"/>
              <w:rPr>
                <w:sz w:val="5"/>
                <w:szCs w:val="5"/>
                <w:color w:val="auto"/>
              </w:rPr>
            </w:pPr>
          </w:p>
        </w:tc>
        <w:tc>
          <w:tcPr>
            <w:tcW w:w="6980" w:type="dxa"/>
            <w:vAlign w:val="bottom"/>
            <w:gridSpan w:val="27"/>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320" w:type="dxa"/>
            <w:vAlign w:val="bottom"/>
            <w:tcBorders>
              <w:bottom w:val="single" w:sz="8" w:color="0000EE"/>
            </w:tcBorders>
            <w:gridSpan w:val="31"/>
            <w:shd w:val="clear" w:color="auto" w:fill="F0FFFF"/>
          </w:tcPr>
          <w:p>
            <w:pPr>
              <w:spacing w:after="0" w:line="142" w:lineRule="exact"/>
              <w:rPr>
                <w:sz w:val="20"/>
                <w:szCs w:val="20"/>
                <w:color w:val="auto"/>
              </w:rPr>
            </w:pPr>
            <w:r>
              <w:rPr>
                <w:rFonts w:ascii="Times New Roman" w:cs="Times New Roman" w:eastAsia="Times New Roman" w:hAnsi="Times New Roman"/>
                <w:sz w:val="16"/>
                <w:szCs w:val="16"/>
                <w:color w:val="0000EE"/>
                <w:highlight w:val="white"/>
              </w:rPr>
              <w:t>DISCLOSURE OF COMMISSION POSITION ON INDEMNIFICATION FOR SECURITIES ACT LIABILITIES</w:t>
            </w:r>
          </w:p>
        </w:tc>
        <w:tc>
          <w:tcPr>
            <w:tcW w:w="320" w:type="dxa"/>
            <w:vAlign w:val="bottom"/>
            <w:tcBorders>
              <w:bottom w:val="single" w:sz="8" w:color="F0FFFF"/>
            </w:tcBorders>
            <w:shd w:val="clear" w:color="auto" w:fill="F0FFFF"/>
          </w:tcPr>
          <w:p>
            <w:pPr>
              <w:jc w:val="right"/>
              <w:spacing w:after="0" w:line="142" w:lineRule="exact"/>
              <w:rPr>
                <w:sz w:val="20"/>
                <w:szCs w:val="20"/>
                <w:color w:val="auto"/>
              </w:rPr>
            </w:pPr>
            <w:r>
              <w:rPr>
                <w:rFonts w:ascii="Times New Roman" w:cs="Times New Roman" w:eastAsia="Times New Roman" w:hAnsi="Times New Roman"/>
                <w:sz w:val="16"/>
                <w:szCs w:val="16"/>
                <w:color w:val="auto"/>
                <w:highlight w:val="white"/>
              </w:rPr>
              <w:t>66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3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330" w:right="1440" w:bottom="1440" w:gutter="0" w:footer="0" w:header="0"/>
          <w:type w:val="continuous"/>
        </w:sectPr>
      </w:pPr>
    </w:p>
    <w:bookmarkStart w:id="4" w:name="page5"/>
    <w:bookmarkEnd w:id="4"/>
    <w:tbl>
      <w:tblPr>
        <w:tblLayout w:type="fixed"/>
        <w:tblInd w:w="120" w:type="dxa"/>
        <w:tblCellMar>
          <w:top w:w="0" w:type="dxa"/>
          <w:left w:w="0" w:type="dxa"/>
          <w:bottom w:w="0" w:type="dxa"/>
          <w:right w:w="0" w:type="dxa"/>
        </w:tblCellMar>
      </w:tblPr>
      <w:tr>
        <w:trPr>
          <w:trHeight w:val="234"/>
        </w:trPr>
        <w:tc>
          <w:tcPr>
            <w:tcW w:w="622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8"/>
                <w:szCs w:val="18"/>
                <w:color w:val="0000EE"/>
                <w:w w:val="98"/>
              </w:rPr>
              <w:t>INFORMATION ABOUT BRIGHTHOUSE LIFE INSURANCE COMPANY OF NY</w:t>
            </w:r>
          </w:p>
        </w:tc>
        <w:tc>
          <w:tcPr>
            <w:tcW w:w="1180" w:type="dxa"/>
            <w:vAlign w:val="bottom"/>
            <w:gridSpan w:val="3"/>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Description of Business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Our Company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Segments and Corporate &amp; Other</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ind w:left="360"/>
              <w:spacing w:after="0" w:line="162" w:lineRule="exact"/>
              <w:rPr>
                <w:sz w:val="20"/>
                <w:szCs w:val="20"/>
                <w:color w:val="auto"/>
              </w:rPr>
            </w:pPr>
            <w:r>
              <w:rPr>
                <w:rFonts w:ascii="Times New Roman" w:cs="Times New Roman" w:eastAsia="Times New Roman" w:hAnsi="Times New Roman"/>
                <w:sz w:val="18"/>
                <w:szCs w:val="18"/>
                <w:color w:val="0000EE"/>
              </w:rPr>
              <w:t>Annuities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ind w:left="360"/>
              <w:spacing w:after="0" w:line="162" w:lineRule="exact"/>
              <w:rPr>
                <w:sz w:val="20"/>
                <w:szCs w:val="20"/>
                <w:color w:val="auto"/>
              </w:rPr>
            </w:pPr>
            <w:r>
              <w:rPr>
                <w:rFonts w:ascii="Times New Roman" w:cs="Times New Roman" w:eastAsia="Times New Roman" w:hAnsi="Times New Roman"/>
                <w:sz w:val="18"/>
                <w:szCs w:val="18"/>
                <w:color w:val="0000EE"/>
              </w:rPr>
              <w:t>Life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Reinsurance Activity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Sales Distribution</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Competition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Human Capital Resources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Regulation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Legal Proceedings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Description of Property</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Changes in and Disagreements with Accountants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Directors, Executive Officers, and Control Persons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Executive Compensation</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Beneficial Ownership and Ownership by Management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Transactions with Related Persons and Control Changes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Corporate Governance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7040" w:type="dxa"/>
            <w:vAlign w:val="bottom"/>
            <w:gridSpan w:val="40"/>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5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500" w:type="dxa"/>
            <w:vAlign w:val="bottom"/>
            <w:tcBorders>
              <w:top w:val="single" w:sz="8" w:color="0000EE"/>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CORPORATE OVERVIEW</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SUMMARY OF CRITICAL ACCOUNTING ESTIMATES AND POLICIES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5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DISCUSSION OF OPERATING RESULTS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INVESTMENTS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PRODUCT GUARANTEES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gridSpan w:val="39"/>
          </w:tcPr>
          <w:p>
            <w:pPr>
              <w:spacing w:after="0" w:line="162" w:lineRule="exact"/>
              <w:rPr>
                <w:sz w:val="20"/>
                <w:szCs w:val="20"/>
                <w:color w:val="auto"/>
              </w:rPr>
            </w:pPr>
            <w:r>
              <w:rPr>
                <w:rFonts w:ascii="Times New Roman" w:cs="Times New Roman" w:eastAsia="Times New Roman" w:hAnsi="Times New Roman"/>
                <w:sz w:val="18"/>
                <w:szCs w:val="18"/>
                <w:color w:val="0000EE"/>
              </w:rPr>
              <w:t>OFF-BALANCE SHEET ARRANGEMENTS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680" w:type="dxa"/>
            <w:vAlign w:val="bottom"/>
            <w:gridSpan w:val="39"/>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FORWARD-LOOKING OUTLOOK</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61"/>
        </w:trPr>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F0FFFF"/>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7040" w:type="dxa"/>
            <w:vAlign w:val="bottom"/>
            <w:gridSpan w:val="40"/>
          </w:tcPr>
          <w:p>
            <w:pPr>
              <w:spacing w:after="0" w:line="16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Appendix A — Index Publishers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Appendix B — Index Substitution Investment Amount Example</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0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320" w:type="dxa"/>
            <w:vAlign w:val="bottom"/>
            <w:tcBorders>
              <w:top w:val="single" w:sz="8" w:color="0000EE"/>
            </w:tcBorders>
            <w:shd w:val="clear" w:color="auto" w:fill="F0FFFF"/>
          </w:tcPr>
          <w:p>
            <w:pPr>
              <w:spacing w:after="0"/>
              <w:rPr>
                <w:sz w:val="5"/>
                <w:szCs w:val="5"/>
                <w:color w:val="auto"/>
              </w:rPr>
            </w:pPr>
          </w:p>
        </w:tc>
        <w:tc>
          <w:tcPr>
            <w:tcW w:w="2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4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2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tcPr>
          <w:p>
            <w:pPr>
              <w:spacing w:after="0" w:line="162" w:lineRule="exact"/>
              <w:rPr>
                <w:sz w:val="20"/>
                <w:szCs w:val="20"/>
                <w:color w:val="auto"/>
              </w:rPr>
            </w:pPr>
            <w:r>
              <w:rPr>
                <w:rFonts w:ascii="Times New Roman" w:cs="Times New Roman" w:eastAsia="Times New Roman" w:hAnsi="Times New Roman"/>
                <w:sz w:val="18"/>
                <w:szCs w:val="18"/>
                <w:color w:val="0000EE"/>
              </w:rPr>
              <w:t>Appendix C — Return of Premium Death Benefit Example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0" w:type="dxa"/>
            <w:vAlign w:val="bottom"/>
            <w:gridSpan w:val="41"/>
            <w:shd w:val="clear" w:color="auto" w:fill="F0FFFF"/>
          </w:tcPr>
          <w:p>
            <w:pPr>
              <w:spacing w:after="0" w:line="162" w:lineRule="exact"/>
              <w:rPr>
                <w:sz w:val="20"/>
                <w:szCs w:val="20"/>
                <w:color w:val="auto"/>
              </w:rPr>
            </w:pPr>
            <w:r>
              <w:rPr>
                <w:rFonts w:ascii="Times New Roman" w:cs="Times New Roman" w:eastAsia="Times New Roman" w:hAnsi="Times New Roman"/>
                <w:sz w:val="18"/>
                <w:szCs w:val="18"/>
                <w:color w:val="0000EE"/>
              </w:rPr>
              <w:t>Appendix D — The Fixed Account</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61"/>
        </w:trPr>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60" w:type="dxa"/>
            <w:vAlign w:val="bottom"/>
            <w:tcBorders>
              <w:top w:val="single" w:sz="8" w:color="0000EE"/>
            </w:tcBorders>
            <w:shd w:val="clear" w:color="auto" w:fill="F0FFFF"/>
          </w:tcPr>
          <w:p>
            <w:pPr>
              <w:spacing w:after="0"/>
              <w:rPr>
                <w:sz w:val="5"/>
                <w:szCs w:val="5"/>
                <w:color w:val="auto"/>
              </w:rPr>
            </w:pPr>
          </w:p>
        </w:tc>
        <w:tc>
          <w:tcPr>
            <w:tcW w:w="30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4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0000EE"/>
            </w:tcBorders>
            <w:shd w:val="clear" w:color="auto" w:fill="F0FFFF"/>
          </w:tcPr>
          <w:p>
            <w:pPr>
              <w:spacing w:after="0"/>
              <w:rPr>
                <w:sz w:val="5"/>
                <w:szCs w:val="5"/>
                <w:color w:val="auto"/>
              </w:rPr>
            </w:pPr>
          </w:p>
        </w:tc>
        <w:tc>
          <w:tcPr>
            <w:tcW w:w="20" w:type="dxa"/>
            <w:vAlign w:val="bottom"/>
            <w:tcBorders>
              <w:top w:val="single" w:sz="8" w:color="0000EE"/>
            </w:tcBorders>
            <w:shd w:val="clear" w:color="auto" w:fill="F0FFFF"/>
          </w:tcPr>
          <w:p>
            <w:pPr>
              <w:spacing w:after="0"/>
              <w:rPr>
                <w:sz w:val="5"/>
                <w:szCs w:val="5"/>
                <w:color w:val="auto"/>
              </w:rPr>
            </w:pPr>
          </w:p>
        </w:tc>
        <w:tc>
          <w:tcPr>
            <w:tcW w:w="80" w:type="dxa"/>
            <w:vAlign w:val="bottom"/>
            <w:tcBorders>
              <w:top w:val="single" w:sz="8" w:color="0000EE"/>
            </w:tcBorders>
            <w:shd w:val="clear" w:color="auto" w:fill="F0FFFF"/>
          </w:tcPr>
          <w:p>
            <w:pPr>
              <w:spacing w:after="0"/>
              <w:rPr>
                <w:sz w:val="5"/>
                <w:szCs w:val="5"/>
                <w:color w:val="auto"/>
              </w:rPr>
            </w:pPr>
          </w:p>
        </w:tc>
        <w:tc>
          <w:tcPr>
            <w:tcW w:w="120" w:type="dxa"/>
            <w:vAlign w:val="bottom"/>
            <w:tcBorders>
              <w:top w:val="single" w:sz="8" w:color="0000EE"/>
            </w:tcBorders>
            <w:shd w:val="clear" w:color="auto" w:fill="F0FFFF"/>
          </w:tcPr>
          <w:p>
            <w:pPr>
              <w:spacing w:after="0"/>
              <w:rPr>
                <w:sz w:val="5"/>
                <w:szCs w:val="5"/>
                <w:color w:val="auto"/>
              </w:rPr>
            </w:pPr>
          </w:p>
        </w:tc>
        <w:tc>
          <w:tcPr>
            <w:tcW w:w="180" w:type="dxa"/>
            <w:vAlign w:val="bottom"/>
            <w:tcBorders>
              <w:top w:val="single" w:sz="8" w:color="0000EE"/>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0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320" w:type="dxa"/>
            <w:vAlign w:val="bottom"/>
            <w:tcBorders>
              <w:top w:val="single" w:sz="8" w:color="F0FFFF"/>
            </w:tcBorders>
            <w:shd w:val="clear" w:color="auto" w:fill="F0FFFF"/>
          </w:tcPr>
          <w:p>
            <w:pPr>
              <w:spacing w:after="0"/>
              <w:rPr>
                <w:sz w:val="5"/>
                <w:szCs w:val="5"/>
                <w:color w:val="auto"/>
              </w:rPr>
            </w:pPr>
          </w:p>
        </w:tc>
        <w:tc>
          <w:tcPr>
            <w:tcW w:w="26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46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4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8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120" w:type="dxa"/>
            <w:vAlign w:val="bottom"/>
            <w:tcBorders>
              <w:top w:val="single" w:sz="8" w:color="F0FFFF"/>
            </w:tcBorders>
            <w:shd w:val="clear" w:color="auto" w:fill="F0FFFF"/>
          </w:tcPr>
          <w:p>
            <w:pPr>
              <w:spacing w:after="0"/>
              <w:rPr>
                <w:sz w:val="5"/>
                <w:szCs w:val="5"/>
                <w:color w:val="auto"/>
              </w:rPr>
            </w:pPr>
          </w:p>
        </w:tc>
        <w:tc>
          <w:tcPr>
            <w:tcW w:w="220" w:type="dxa"/>
            <w:vAlign w:val="bottom"/>
            <w:tcBorders>
              <w:top w:val="single" w:sz="8" w:color="F0FFFF"/>
            </w:tcBorders>
            <w:shd w:val="clear" w:color="auto" w:fill="F0FFFF"/>
          </w:tcPr>
          <w:p>
            <w:pPr>
              <w:spacing w:after="0"/>
              <w:rPr>
                <w:sz w:val="5"/>
                <w:szCs w:val="5"/>
                <w:color w:val="auto"/>
              </w:rPr>
            </w:pPr>
          </w:p>
        </w:tc>
        <w:tc>
          <w:tcPr>
            <w:tcW w:w="20" w:type="dxa"/>
            <w:vAlign w:val="bottom"/>
            <w:tcBorders>
              <w:top w:val="single" w:sz="8" w:color="F0FFFF"/>
            </w:tcBorders>
            <w:shd w:val="clear" w:color="auto" w:fill="F0FFFF"/>
          </w:tcPr>
          <w:p>
            <w:pPr>
              <w:spacing w:after="0"/>
              <w:rPr>
                <w:sz w:val="5"/>
                <w:szCs w:val="5"/>
                <w:color w:val="auto"/>
              </w:rPr>
            </w:pPr>
          </w:p>
        </w:tc>
        <w:tc>
          <w:tcPr>
            <w:tcW w:w="60" w:type="dxa"/>
            <w:vAlign w:val="bottom"/>
            <w:tcBorders>
              <w:top w:val="single" w:sz="8" w:color="F0FFFF"/>
            </w:tcBorders>
            <w:shd w:val="clear" w:color="auto" w:fill="F0FFFF"/>
          </w:tcPr>
          <w:p>
            <w:pPr>
              <w:spacing w:after="0"/>
              <w:rPr>
                <w:sz w:val="5"/>
                <w:szCs w:val="5"/>
                <w:color w:val="auto"/>
              </w:rPr>
            </w:pPr>
          </w:p>
        </w:tc>
        <w:tc>
          <w:tcPr>
            <w:tcW w:w="1520" w:type="dxa"/>
            <w:vAlign w:val="bottom"/>
            <w:tcBorders>
              <w:top w:val="single" w:sz="8" w:color="F0FFFF"/>
            </w:tcBorders>
            <w:shd w:val="clear" w:color="auto" w:fill="F0FFFF"/>
          </w:tcPr>
          <w:p>
            <w:pPr>
              <w:spacing w:after="0"/>
              <w:rPr>
                <w:sz w:val="5"/>
                <w:szCs w:val="5"/>
                <w:color w:val="auto"/>
              </w:rPr>
            </w:pPr>
          </w:p>
        </w:tc>
        <w:tc>
          <w:tcPr>
            <w:tcW w:w="80" w:type="dxa"/>
            <w:vAlign w:val="bottom"/>
            <w:tcBorders>
              <w:top w:val="single" w:sz="8" w:color="F0FFFF"/>
            </w:tcBorders>
            <w:shd w:val="clear" w:color="auto" w:fill="F0FFFF"/>
          </w:tcPr>
          <w:p>
            <w:pPr>
              <w:spacing w:after="0"/>
              <w:rPr>
                <w:sz w:val="5"/>
                <w:szCs w:val="5"/>
                <w:color w:val="auto"/>
              </w:rPr>
            </w:pPr>
          </w:p>
        </w:tc>
        <w:tc>
          <w:tcPr>
            <w:tcW w:w="500" w:type="dxa"/>
            <w:vAlign w:val="bottom"/>
            <w:tcBorders>
              <w:top w:val="single" w:sz="8" w:color="F0FFFF"/>
            </w:tcBorders>
            <w:shd w:val="clear" w:color="auto" w:fill="F0FFFF"/>
          </w:tcPr>
          <w:p>
            <w:pPr>
              <w:spacing w:after="0"/>
              <w:rPr>
                <w:sz w:val="5"/>
                <w:szCs w:val="5"/>
                <w:color w:val="auto"/>
              </w:rPr>
            </w:pPr>
          </w:p>
        </w:tc>
        <w:tc>
          <w:tcPr>
            <w:tcW w:w="600" w:type="dxa"/>
            <w:vAlign w:val="bottom"/>
            <w:tcBorders>
              <w:top w:val="single" w:sz="8" w:color="F0FFFF"/>
            </w:tcBorders>
            <w:shd w:val="clear" w:color="auto" w:fill="F0FFFF"/>
          </w:tcPr>
          <w:p>
            <w:pPr>
              <w:spacing w:after="0"/>
              <w:rPr>
                <w:sz w:val="5"/>
                <w:szCs w:val="5"/>
                <w:color w:val="auto"/>
              </w:rPr>
            </w:pPr>
          </w:p>
        </w:tc>
        <w:tc>
          <w:tcPr>
            <w:tcW w:w="860" w:type="dxa"/>
            <w:vAlign w:val="bottom"/>
            <w:tcBorders>
              <w:top w:val="single" w:sz="8" w:color="F0FFFF"/>
            </w:tcBorders>
            <w:vMerge w:val="continue"/>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0000EE"/>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EE"/>
              </w:rPr>
              <w:t>Appendix E — The Holding Account</w:t>
            </w:r>
          </w:p>
        </w:tc>
        <w:tc>
          <w:tcPr>
            <w:tcW w:w="720" w:type="dxa"/>
            <w:vAlign w:val="bottom"/>
            <w:gridSpan w:val="5"/>
            <w:vMerge w:val="restart"/>
          </w:tcPr>
          <w:p>
            <w:pPr>
              <w:spacing w:after="0"/>
              <w:rPr>
                <w:sz w:val="14"/>
                <w:szCs w:val="14"/>
                <w:color w:val="auto"/>
              </w:rPr>
            </w:pPr>
          </w:p>
        </w:tc>
        <w:tc>
          <w:tcPr>
            <w:tcW w:w="3980" w:type="dxa"/>
            <w:vAlign w:val="bottom"/>
            <w:gridSpan w:val="15"/>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61"/>
        </w:trPr>
        <w:tc>
          <w:tcPr>
            <w:tcW w:w="2700" w:type="dxa"/>
            <w:vAlign w:val="bottom"/>
            <w:gridSpan w:val="21"/>
          </w:tcPr>
          <w:p>
            <w:pPr>
              <w:spacing w:after="0"/>
              <w:rPr>
                <w:sz w:val="5"/>
                <w:szCs w:val="5"/>
                <w:color w:val="auto"/>
              </w:rPr>
            </w:pPr>
          </w:p>
        </w:tc>
        <w:tc>
          <w:tcPr>
            <w:tcW w:w="720" w:type="dxa"/>
            <w:vAlign w:val="bottom"/>
            <w:gridSpan w:val="5"/>
            <w:vMerge w:val="continue"/>
          </w:tcPr>
          <w:p>
            <w:pPr>
              <w:spacing w:after="0"/>
              <w:rPr>
                <w:sz w:val="5"/>
                <w:szCs w:val="5"/>
                <w:color w:val="auto"/>
              </w:rPr>
            </w:pPr>
          </w:p>
        </w:tc>
        <w:tc>
          <w:tcPr>
            <w:tcW w:w="3980" w:type="dxa"/>
            <w:vAlign w:val="bottom"/>
            <w:gridSpan w:val="15"/>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0000EE"/>
            </w:tcBorders>
            <w:gridSpan w:val="26"/>
            <w:shd w:val="clear" w:color="auto" w:fill="F0FFFF"/>
          </w:tcPr>
          <w:p>
            <w:pPr>
              <w:spacing w:after="0" w:line="142" w:lineRule="exact"/>
              <w:rPr>
                <w:sz w:val="20"/>
                <w:szCs w:val="20"/>
                <w:color w:val="auto"/>
              </w:rPr>
            </w:pPr>
            <w:r>
              <w:rPr>
                <w:rFonts w:ascii="Times New Roman" w:cs="Times New Roman" w:eastAsia="Times New Roman" w:hAnsi="Times New Roman"/>
                <w:sz w:val="16"/>
                <w:szCs w:val="16"/>
                <w:color w:val="0000EE"/>
              </w:rPr>
              <w:t>Appendix F — Interim Value of Shield Options</w:t>
            </w:r>
          </w:p>
        </w:tc>
        <w:tc>
          <w:tcPr>
            <w:tcW w:w="3980" w:type="dxa"/>
            <w:vAlign w:val="bottom"/>
            <w:tcBorders>
              <w:bottom w:val="single" w:sz="8" w:color="F0FFFF"/>
            </w:tcBorders>
            <w:gridSpan w:val="15"/>
            <w:shd w:val="clear" w:color="auto" w:fill="F0FFFF"/>
          </w:tcPr>
          <w:p>
            <w:pPr>
              <w:spacing w:after="0"/>
              <w:rPr>
                <w:sz w:val="14"/>
                <w:szCs w:val="14"/>
                <w:color w:val="auto"/>
              </w:rPr>
            </w:pPr>
          </w:p>
        </w:tc>
        <w:tc>
          <w:tcPr>
            <w:tcW w:w="860" w:type="dxa"/>
            <w:vAlign w:val="bottom"/>
            <w:tcBorders>
              <w:bottom w:val="single" w:sz="8" w:color="F0FFFF"/>
            </w:tcBorders>
            <w:shd w:val="clear" w:color="auto" w:fill="F0FFFF"/>
          </w:tcPr>
          <w:p>
            <w:pPr>
              <w:jc w:val="right"/>
              <w:spacing w:after="0" w:line="142"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3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330" w:right="1440" w:bottom="1440" w:gutter="0" w:footer="0" w:header="0"/>
          <w:type w:val="continuous"/>
        </w:sectPr>
      </w:pPr>
    </w:p>
    <w:bookmarkStart w:id="5" w:name="page6"/>
    <w:bookmarkEnd w:id="5"/>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STATUS PURSUANT TO SECURITIES EXCHANGE ACT OF 1934</w:t>
      </w:r>
    </w:p>
    <w:p>
      <w:pPr>
        <w:spacing w:after="0" w:line="121"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BLNY relies on the exemptions provided by Rule 12h-7 under the Securities Act of 1934 from the requirement to file reports pursuant to Section 15(d) of that Act.</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373" w:right="1440" w:bottom="1440" w:gutter="0" w:footer="0" w:header="0"/>
          <w:type w:val="continuous"/>
        </w:sectPr>
      </w:pPr>
    </w:p>
    <w:bookmarkStart w:id="6" w:name="page7"/>
    <w:bookmarkEnd w:id="6"/>
    <w:p>
      <w:pPr>
        <w:ind w:left="3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SPECIAL TERMS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prospectus, the following capitalized terms have the indicated meanings:</w:t>
      </w:r>
    </w:p>
    <w:p>
      <w:pPr>
        <w:spacing w:after="0" w:line="11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Account Value.</w:t>
      </w:r>
      <w:r>
        <w:rPr>
          <w:rFonts w:ascii="Times New Roman" w:cs="Times New Roman" w:eastAsia="Times New Roman" w:hAnsi="Times New Roman"/>
          <w:sz w:val="18"/>
          <w:szCs w:val="18"/>
          <w:color w:val="auto"/>
        </w:rPr>
        <w:t xml:space="preserve">  The total of the Fixed Account Value, the value of the Shield Option(s), and the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value under the Contract during the Accumulation Period.</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 Period.</w:t>
      </w:r>
      <w:r>
        <w:rPr>
          <w:rFonts w:ascii="Times New Roman" w:cs="Times New Roman" w:eastAsia="Times New Roman" w:hAnsi="Times New Roman"/>
          <w:sz w:val="18"/>
          <w:szCs w:val="18"/>
          <w:color w:val="auto"/>
        </w:rPr>
        <w:t xml:space="preserve">   The period prior to the Annuity Date.</w:t>
      </w:r>
    </w:p>
    <w:p>
      <w:pPr>
        <w:spacing w:after="0" w:line="131"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Allocation Option.</w:t>
      </w:r>
      <w:r>
        <w:rPr>
          <w:rFonts w:ascii="Times New Roman" w:cs="Times New Roman" w:eastAsia="Times New Roman" w:hAnsi="Times New Roman"/>
          <w:sz w:val="18"/>
          <w:szCs w:val="18"/>
          <w:color w:val="auto"/>
        </w:rPr>
        <w:t xml:space="preserve">  Includes the Shield Option(s), the Fixed Account, and Holding Account. The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is not an allocation option that you can allocate your Purchase Payment or Account Value into and there are only certain circumstances where we will transfer amounts to the Holding Account. See “HOLDING ACCOUNT.”</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Annuitant.</w:t>
      </w:r>
      <w:r>
        <w:rPr>
          <w:rFonts w:ascii="Times New Roman" w:cs="Times New Roman" w:eastAsia="Times New Roman" w:hAnsi="Times New Roman"/>
          <w:sz w:val="18"/>
          <w:szCs w:val="18"/>
          <w:color w:val="auto"/>
        </w:rPr>
        <w:t xml:space="preserve">   The natural person(s) listed on the Contract Schedule on whose life Annuity Payments are based.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reference to Annuitant will also include any Joint Annuitant under an Annuity Option.</w:t>
      </w:r>
    </w:p>
    <w:p>
      <w:pPr>
        <w:spacing w:after="0" w:line="108"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Annuity Date.</w:t>
      </w:r>
      <w:r>
        <w:rPr>
          <w:rFonts w:ascii="Times New Roman" w:cs="Times New Roman" w:eastAsia="Times New Roman" w:hAnsi="Times New Roman"/>
          <w:sz w:val="18"/>
          <w:szCs w:val="18"/>
          <w:color w:val="auto"/>
        </w:rPr>
        <w:t xml:space="preserve">  A date on which you choose to begin receiving Annuity Payments. If we agree, you may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Annuity Date, subject to certain requirements. If you do not choose an Annuity Date, the Annuity Date will be the Annuity Date indicated on the Contract Schedule.</w:t>
      </w:r>
    </w:p>
    <w:p>
      <w:pPr>
        <w:spacing w:after="0" w:line="63" w:lineRule="exact"/>
        <w:rPr>
          <w:sz w:val="20"/>
          <w:szCs w:val="20"/>
          <w:color w:val="auto"/>
        </w:rPr>
      </w:pPr>
    </w:p>
    <w:p>
      <w:pPr>
        <w:ind w:left="120" w:right="1059"/>
        <w:spacing w:after="0" w:line="286" w:lineRule="auto"/>
        <w:rPr>
          <w:sz w:val="20"/>
          <w:szCs w:val="20"/>
          <w:color w:val="auto"/>
        </w:rPr>
      </w:pPr>
      <w:r>
        <w:rPr>
          <w:rFonts w:ascii="Times New Roman" w:cs="Times New Roman" w:eastAsia="Times New Roman" w:hAnsi="Times New Roman"/>
          <w:sz w:val="18"/>
          <w:szCs w:val="18"/>
          <w:b w:val="1"/>
          <w:bCs w:val="1"/>
          <w:color w:val="auto"/>
        </w:rPr>
        <w:t>Annuity Payments.</w:t>
      </w:r>
      <w:r>
        <w:rPr>
          <w:rFonts w:ascii="Times New Roman" w:cs="Times New Roman" w:eastAsia="Times New Roman" w:hAnsi="Times New Roman"/>
          <w:sz w:val="18"/>
          <w:szCs w:val="18"/>
          <w:color w:val="auto"/>
        </w:rPr>
        <w:t xml:space="preserve">  A series of payments made by us during the Annuity Period, which we guarantee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 amount.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Period.</w:t>
      </w:r>
      <w:r>
        <w:rPr>
          <w:rFonts w:ascii="Times New Roman" w:cs="Times New Roman" w:eastAsia="Times New Roman" w:hAnsi="Times New Roman"/>
          <w:sz w:val="18"/>
          <w:szCs w:val="18"/>
          <w:color w:val="auto"/>
        </w:rPr>
        <w:t xml:space="preserve">   A period starting on the Annuity Date during which Annuity Payments are payable.</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Annuity Service Office.</w:t>
      </w:r>
      <w:r>
        <w:rPr>
          <w:rFonts w:ascii="Times New Roman" w:cs="Times New Roman" w:eastAsia="Times New Roman" w:hAnsi="Times New Roman"/>
          <w:sz w:val="18"/>
          <w:szCs w:val="18"/>
          <w:color w:val="auto"/>
        </w:rPr>
        <w:t xml:space="preserve">  The office indicated on the Contract Schedule to which notices and requests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or as otherwise changed by notification from us.</w:t>
      </w:r>
    </w:p>
    <w:p>
      <w:pPr>
        <w:spacing w:after="0" w:line="47" w:lineRule="exact"/>
        <w:rPr>
          <w:sz w:val="20"/>
          <w:szCs w:val="20"/>
          <w:color w:val="auto"/>
        </w:rPr>
      </w:pPr>
    </w:p>
    <w:p>
      <w:pPr>
        <w:ind w:left="12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BLNY (“we,” “us,” “our”).</w:t>
      </w:r>
      <w:r>
        <w:rPr>
          <w:sz w:val="20"/>
          <w:szCs w:val="20"/>
          <w:color w:val="auto"/>
        </w:rPr>
        <w:tab/>
      </w:r>
      <w:r>
        <w:rPr>
          <w:rFonts w:ascii="Times New Roman" w:cs="Times New Roman" w:eastAsia="Times New Roman" w:hAnsi="Times New Roman"/>
          <w:sz w:val="17"/>
          <w:szCs w:val="17"/>
          <w:color w:val="auto"/>
        </w:rPr>
        <w:t>Brighthouse Life Insurance Company of NY.</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xml:space="preserve">  The person(s) or entity(ies) you name to receive a death benefit payable under the Contract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death of the Owner or a Joint Owner, or in certain circumstances, an Annuitant.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Brighthouse Securities.</w:t>
      </w:r>
      <w:r>
        <w:rPr>
          <w:rFonts w:ascii="Times New Roman" w:cs="Times New Roman" w:eastAsia="Times New Roman" w:hAnsi="Times New Roman"/>
          <w:sz w:val="18"/>
          <w:szCs w:val="18"/>
          <w:color w:val="auto"/>
        </w:rPr>
        <w:t xml:space="preserve">   Brighthouse Securities, LLC.</w:t>
      </w:r>
    </w:p>
    <w:p>
      <w:pPr>
        <w:spacing w:after="0" w:line="117"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Our “business day” is generally any day the New York Stock Exchange (NYSE) is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trading. For purposes of receipt of Notice for administrative requests and transactions, a Business Day ends at the earlier of 4:00 PM Eastern Standard Time or when the NYSE closes. If the SEC determines the existence of emergency conditions on any day, and consequently, the NYSE does not open, then that day is not a Business Day.</w:t>
      </w:r>
    </w:p>
    <w:p>
      <w:pPr>
        <w:spacing w:after="0" w:line="71"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 Rate. </w:t>
      </w:r>
      <w:r>
        <w:rPr>
          <w:rFonts w:ascii="Times New Roman" w:cs="Times New Roman" w:eastAsia="Times New Roman" w:hAnsi="Times New Roman"/>
          <w:sz w:val="18"/>
          <w:szCs w:val="18"/>
          <w:color w:val="auto"/>
        </w:rPr>
        <w:t>The maximum rate that may be credited at the Term End Date based on Index Performance.</w:t>
      </w:r>
      <w:r>
        <w:rPr>
          <w:rFonts w:ascii="Times New Roman" w:cs="Times New Roman" w:eastAsia="Times New Roman" w:hAnsi="Times New Roman"/>
          <w:sz w:val="18"/>
          <w:szCs w:val="18"/>
          <w:b w:val="1"/>
          <w:bCs w:val="1"/>
          <w:color w:val="auto"/>
        </w:rPr>
        <w:t xml:space="preserve"> The Cap Rate may vary between Shield Options and, unless you have a Shield Option with a 1-year Term, is not an annual rate.</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The Internal Revenue Code of 1986, as amended, and all related laws and regulations, which are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the Contract.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xml:space="preserve">   The legal agreement between you and BLNY. It contains relevant provisions of your deferred annuity.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Anniversary.</w:t>
      </w:r>
      <w:r>
        <w:rPr>
          <w:rFonts w:ascii="Times New Roman" w:cs="Times New Roman" w:eastAsia="Times New Roman" w:hAnsi="Times New Roman"/>
          <w:sz w:val="18"/>
          <w:szCs w:val="18"/>
          <w:color w:val="auto"/>
        </w:rPr>
        <w:t xml:space="preserve">   An anniversary of the Issue Date of the Contract.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Schedule.</w:t>
      </w:r>
      <w:r>
        <w:rPr>
          <w:rFonts w:ascii="Times New Roman" w:cs="Times New Roman" w:eastAsia="Times New Roman" w:hAnsi="Times New Roman"/>
          <w:sz w:val="18"/>
          <w:szCs w:val="18"/>
          <w:color w:val="auto"/>
        </w:rPr>
        <w:t xml:space="preserve">   The schedule attached to your Contract.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Year.</w:t>
      </w:r>
      <w:r>
        <w:rPr>
          <w:rFonts w:ascii="Times New Roman" w:cs="Times New Roman" w:eastAsia="Times New Roman" w:hAnsi="Times New Roman"/>
          <w:sz w:val="18"/>
          <w:szCs w:val="18"/>
          <w:color w:val="auto"/>
        </w:rPr>
        <w:t xml:space="preserve">   A one-year period starting on the Issue Date and on each Contract Anniversary thereafter.</w:t>
      </w:r>
    </w:p>
    <w:p>
      <w:pPr>
        <w:spacing w:after="0" w:line="117"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Death Benefit Amount. </w:t>
      </w:r>
      <w:r>
        <w:rPr>
          <w:rFonts w:ascii="Times New Roman" w:cs="Times New Roman" w:eastAsia="Times New Roman" w:hAnsi="Times New Roman"/>
          <w:sz w:val="18"/>
          <w:szCs w:val="18"/>
          <w:color w:val="auto"/>
        </w:rPr>
        <w:t>For Owners age 81 or older at the Issue Date of the Contract, the standard death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Account Value. For Owners age 80 or younger at the Issue Date of the Contract, the standard death benefit (known as the Return of Premium death benefit) is the greater of the Account Value or your Purchase Payment (reduced proportionally by the percentage reduction in Account Value of the Shield Option(s), the Fixed Account, and the Holding Account for each partial withdrawal (including any applicable Withdrawal Charge)). The Death Benefit Amount is determined as of the end of the Business Day on which we have received Notice of due proof of death and an acceptable election for the payment method.</w:t>
      </w:r>
    </w:p>
    <w:p>
      <w:pPr>
        <w:spacing w:after="0" w:line="75"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Edge Rate. </w:t>
      </w:r>
      <w:r>
        <w:rPr>
          <w:rFonts w:ascii="Times New Roman" w:cs="Times New Roman" w:eastAsia="Times New Roman" w:hAnsi="Times New Roman"/>
          <w:sz w:val="18"/>
          <w:szCs w:val="18"/>
          <w:color w:val="auto"/>
        </w:rPr>
        <w:t>The rate credited at the Term End Date if the Index Performance is equal to or greater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Shield Rate. </w:t>
      </w:r>
      <w:r>
        <w:rPr>
          <w:rFonts w:ascii="Times New Roman" w:cs="Times New Roman" w:eastAsia="Times New Roman" w:hAnsi="Times New Roman"/>
          <w:sz w:val="18"/>
          <w:szCs w:val="18"/>
          <w:b w:val="1"/>
          <w:bCs w:val="1"/>
          <w:color w:val="auto"/>
        </w:rPr>
        <w:t>The Edge Rate may vary between Shield Options and, unless you have a Shield Option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1-year Term, it is not an annual rate. </w:t>
      </w:r>
      <w:r>
        <w:rPr>
          <w:rFonts w:ascii="Times New Roman" w:cs="Times New Roman" w:eastAsia="Times New Roman" w:hAnsi="Times New Roman"/>
          <w:sz w:val="18"/>
          <w:szCs w:val="18"/>
          <w:color w:val="auto"/>
        </w:rPr>
        <w:t>A Shield Option with an Edge Rate may also be referred to as a “Shield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with Step Rate Edge” in the prospectus.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Employee Retirement Income Security Act of 1974, as amended.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Securities Exchange Act of 1934, as amended.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FDIC.</w:t>
      </w:r>
      <w:r>
        <w:rPr>
          <w:rFonts w:ascii="Times New Roman" w:cs="Times New Roman" w:eastAsia="Times New Roman" w:hAnsi="Times New Roman"/>
          <w:sz w:val="18"/>
          <w:szCs w:val="18"/>
          <w:color w:val="auto"/>
        </w:rPr>
        <w:t xml:space="preserve">   Federal Deposit Insurance Corporation.</w:t>
      </w:r>
    </w:p>
    <w:p>
      <w:pPr>
        <w:sectPr>
          <w:pgSz w:w="11900" w:h="16838" w:orient="portrait"/>
          <w:cols w:equalWidth="0" w:num="1">
            <w:col w:w="9019"/>
          </w:cols>
          <w:pgMar w:left="1440" w:top="1373" w:right="1440" w:bottom="754" w:gutter="0" w:footer="0" w:header="0"/>
        </w:sectPr>
      </w:pPr>
    </w:p>
    <w:p>
      <w:pPr>
        <w:spacing w:after="0" w:line="3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373" w:right="1440" w:bottom="754" w:gutter="0" w:footer="0" w:header="0"/>
          <w:type w:val="continuous"/>
        </w:sectPr>
      </w:pPr>
    </w:p>
    <w:bookmarkStart w:id="7" w:name="page8"/>
    <w:bookmarkEnd w:id="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FINRA.</w:t>
      </w:r>
      <w:r>
        <w:rPr>
          <w:rFonts w:ascii="Times New Roman" w:cs="Times New Roman" w:eastAsia="Times New Roman" w:hAnsi="Times New Roman"/>
          <w:sz w:val="18"/>
          <w:szCs w:val="18"/>
          <w:color w:val="auto"/>
        </w:rPr>
        <w:t xml:space="preserve">   Financial Industry Regulatory Authority.</w:t>
      </w:r>
    </w:p>
    <w:p>
      <w:pPr>
        <w:spacing w:after="0" w:line="117"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Fixed Account.</w:t>
      </w:r>
      <w:r>
        <w:rPr>
          <w:rFonts w:ascii="Times New Roman" w:cs="Times New Roman" w:eastAsia="Times New Roman" w:hAnsi="Times New Roman"/>
          <w:sz w:val="18"/>
          <w:szCs w:val="18"/>
          <w:color w:val="auto"/>
        </w:rPr>
        <w:t xml:space="preserve">  An account, if available, that consists of all of the assets under the Contract other than those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Separate Account or Holding Account. You may allocate your Purchase Payment to the Fixed Account, and you may make a transfer into or out of the Fixed Account. The Fixed Account is part of the General Account assets of BLNY.</w:t>
      </w:r>
    </w:p>
    <w:p>
      <w:pPr>
        <w:spacing w:after="0" w:line="68"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Fixed Account Term.</w:t>
      </w:r>
      <w:r>
        <w:rPr>
          <w:rFonts w:ascii="Times New Roman" w:cs="Times New Roman" w:eastAsia="Times New Roman" w:hAnsi="Times New Roman"/>
          <w:sz w:val="18"/>
          <w:szCs w:val="18"/>
          <w:color w:val="auto"/>
        </w:rPr>
        <w:t xml:space="preserve">  The length of time over which the current Fixed Account interest rate is guaranteed.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Account Term will extend beyond the Annuity Date. The minimum Fixed Account Term depends on the date your Contract is issued but will not be less than one (1) year.</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Fixed Account Term End Date.</w:t>
      </w:r>
      <w:r>
        <w:rPr>
          <w:rFonts w:ascii="Times New Roman" w:cs="Times New Roman" w:eastAsia="Times New Roman" w:hAnsi="Times New Roman"/>
          <w:sz w:val="18"/>
          <w:szCs w:val="18"/>
          <w:color w:val="auto"/>
        </w:rPr>
        <w:t xml:space="preserve">   The Contract Anniversary on which a Fixed Account Term ends.</w:t>
      </w:r>
    </w:p>
    <w:p>
      <w:pPr>
        <w:spacing w:after="0" w:line="11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Fixed Account Term Start Date.</w:t>
      </w:r>
      <w:r>
        <w:rPr>
          <w:rFonts w:ascii="Times New Roman" w:cs="Times New Roman" w:eastAsia="Times New Roman" w:hAnsi="Times New Roman"/>
          <w:sz w:val="18"/>
          <w:szCs w:val="18"/>
          <w:color w:val="auto"/>
        </w:rPr>
        <w:t xml:space="preserve">  The Contract Anniversary on which a Fixed Account Term is established.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chosen at issue, the initial Fixed Account Term Start Date begins on the Issue Date or otherwise it will begin on the first Contract Anniversary on which you allocate to the Fixed Account.</w:t>
      </w:r>
    </w:p>
    <w:p>
      <w:pPr>
        <w:spacing w:after="0" w:line="63" w:lineRule="exact"/>
        <w:rPr>
          <w:sz w:val="20"/>
          <w:szCs w:val="20"/>
          <w:color w:val="auto"/>
        </w:rPr>
      </w:pPr>
    </w:p>
    <w:p>
      <w:pPr>
        <w:jc w:val="both"/>
        <w:ind w:left="120" w:right="6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Fixed Account Value. </w:t>
      </w:r>
      <w:r>
        <w:rPr>
          <w:rFonts w:ascii="Times New Roman" w:cs="Times New Roman" w:eastAsia="Times New Roman" w:hAnsi="Times New Roman"/>
          <w:sz w:val="18"/>
          <w:szCs w:val="18"/>
          <w:color w:val="auto"/>
        </w:rPr>
        <w:t>The initial Fixed Account Value is the amount of your Purchase Payment initially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allocated to the Fixed Account. Thereafter, the Fixed Account Value equals: (a) the initial Fixed Account Value or the Fixed Account Value on the most recent Contract Anniversary, including any transfers, whichever is applicable; plus (b) any interest credited by us; less (c) the amount of any withdrawals (including any Withdrawal Charges); and less (d) any Premium Tax or other taxes, if applicable.</w:t>
      </w:r>
    </w:p>
    <w:p>
      <w:pPr>
        <w:spacing w:after="0" w:line="71" w:lineRule="exact"/>
        <w:rPr>
          <w:sz w:val="20"/>
          <w:szCs w:val="20"/>
          <w:color w:val="auto"/>
        </w:rPr>
      </w:pPr>
    </w:p>
    <w:p>
      <w:pPr>
        <w:jc w:val="both"/>
        <w:ind w:left="120" w:right="63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Free Look. </w:t>
      </w:r>
      <w:r>
        <w:rPr>
          <w:rFonts w:ascii="Times New Roman" w:cs="Times New Roman" w:eastAsia="Times New Roman" w:hAnsi="Times New Roman"/>
          <w:sz w:val="18"/>
          <w:szCs w:val="18"/>
          <w:color w:val="auto"/>
        </w:rPr>
        <w:t>If you change your mind about owning the Contract, you can cancel it within 10 days after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This is known as a “Free Look.” We ask that you submit your request to cancel in writing, signed by you, to us (e.g., the Annuity Service Office) or to the financial professional who sold it. When you cancel the Contract within this Free Look period, we will not assess a Withdrawal Charge. You will receive (i) whatever your Contract is worth on the day that we receive your cancellation request, plus (ii) the sum of all fees, taxes and charges deducted from the Purchase Payment during the Free Look period.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80"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Free Withdrawal Amount. </w:t>
      </w:r>
      <w:r>
        <w:rPr>
          <w:rFonts w:ascii="Times New Roman" w:cs="Times New Roman" w:eastAsia="Times New Roman" w:hAnsi="Times New Roman"/>
          <w:sz w:val="18"/>
          <w:szCs w:val="18"/>
          <w:color w:val="auto"/>
        </w:rPr>
        <w:t>The Free Withdrawal Amount in the first Contract Year is zero. Thereafter, the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Account.</w:t>
      </w:r>
      <w:r>
        <w:rPr>
          <w:rFonts w:ascii="Times New Roman" w:cs="Times New Roman" w:eastAsia="Times New Roman" w:hAnsi="Times New Roman"/>
          <w:sz w:val="18"/>
          <w:szCs w:val="18"/>
          <w:color w:val="auto"/>
        </w:rPr>
        <w:t xml:space="preserve">   Comprised of BLNY’s assets, other than assets in any separate accounts it may maintain.</w:t>
      </w:r>
    </w:p>
    <w:p>
      <w:pPr>
        <w:spacing w:after="0" w:line="117"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b w:val="1"/>
          <w:bCs w:val="1"/>
          <w:color w:val="auto"/>
        </w:rPr>
        <w:t>Good Order.</w:t>
      </w:r>
      <w:r>
        <w:rPr>
          <w:rFonts w:ascii="Times New Roman" w:cs="Times New Roman" w:eastAsia="Times New Roman" w:hAnsi="Times New Roman"/>
          <w:sz w:val="18"/>
          <w:szCs w:val="18"/>
          <w:color w:val="auto"/>
        </w:rPr>
        <w:t xml:space="preserve">  A request or transaction generally is considered in “Good Order” if it complies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effect the transaction. This information and documentation generally includes to the extent applicable to the transaction: your completed application; your contract number; the transaction amount (in dollars or percentage terms); the names and allocations to and/or from the Shield Options, or the Fixed Account if applicable, affected by the requested transaction; the signatures of all Contract Owners (exactly as indicated on the contract), if necessary; Social Security Number or Tax I.D.; and any other information or supporting documentation that we may require, including any spousal or Joint Owner’s consents. With respect to Purchase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professional before submitting the form or request.</w:t>
      </w:r>
    </w:p>
    <w:p>
      <w:pPr>
        <w:spacing w:after="0" w:line="77"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Holding Account.</w:t>
      </w:r>
      <w:r>
        <w:rPr>
          <w:rFonts w:ascii="Times New Roman" w:cs="Times New Roman" w:eastAsia="Times New Roman" w:hAnsi="Times New Roman"/>
          <w:sz w:val="18"/>
          <w:szCs w:val="18"/>
          <w:color w:val="auto"/>
        </w:rPr>
        <w:t xml:space="preserve">  An account that may hold Account Value prior to being transferred to the Shield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the Fixed Account in accordance with your allocation instructions. Transfers can only occur on a Contract Anniversary. The Holding Account has its own Holding Account interest rate, which is a fixed interest rate, and interest is credited daily at an effective annual rate that we declare periodically. The Holding Account is part of the General Account assets of BLNY.</w:t>
      </w:r>
    </w:p>
    <w:p>
      <w:pPr>
        <w:spacing w:after="0" w:line="71"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Index (Indices). </w:t>
      </w:r>
      <w:r>
        <w:rPr>
          <w:rFonts w:ascii="Times New Roman" w:cs="Times New Roman" w:eastAsia="Times New Roman" w:hAnsi="Times New Roman"/>
          <w:sz w:val="18"/>
          <w:szCs w:val="18"/>
          <w:color w:val="auto"/>
        </w:rPr>
        <w:t>The underlying index associated with a Shield Option which is used to determine the Index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on a Term End Date. We currently offer Shield Options with indices based on the performance of securities. In the future we may offer Shield Options based on other types of Indices. We may also add other indices for new Contracts at our discretion.</w:t>
      </w:r>
    </w:p>
    <w:p>
      <w:pPr>
        <w:spacing w:after="0" w:line="68"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Index Performance.</w:t>
      </w:r>
      <w:r>
        <w:rPr>
          <w:rFonts w:ascii="Times New Roman" w:cs="Times New Roman" w:eastAsia="Times New Roman" w:hAnsi="Times New Roman"/>
          <w:sz w:val="18"/>
          <w:szCs w:val="18"/>
          <w:color w:val="auto"/>
        </w:rPr>
        <w:t xml:space="preserve">  The percentage change in the Index Value measured from the Term Start Date to any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Term End Date, within the Term. Index Performance can be positive, zero or negative.</w:t>
      </w:r>
    </w:p>
    <w:p>
      <w:pPr>
        <w:sectPr>
          <w:pgSz w:w="11900" w:h="16838" w:orient="portrait"/>
          <w:cols w:equalWidth="0" w:num="1">
            <w:col w:w="9019"/>
          </w:cols>
          <w:pgMar w:left="1440" w:top="1373" w:right="1440" w:bottom="1024" w:gutter="0" w:footer="0" w:header="0"/>
        </w:sect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373" w:right="1440" w:bottom="1024" w:gutter="0" w:footer="0" w:header="0"/>
          <w:type w:val="continuous"/>
        </w:sectPr>
      </w:pPr>
    </w:p>
    <w:bookmarkStart w:id="8" w:name="page9"/>
    <w:bookmarkEnd w:id="8"/>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Index Value.</w:t>
      </w:r>
      <w:r>
        <w:rPr>
          <w:rFonts w:ascii="Times New Roman" w:cs="Times New Roman" w:eastAsia="Times New Roman" w:hAnsi="Times New Roman"/>
          <w:sz w:val="18"/>
          <w:szCs w:val="18"/>
          <w:color w:val="auto"/>
        </w:rPr>
        <w:t xml:space="preserve">  The Index Value of an Index, on a Business Day, is the published closing value of the Index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Business Day. The Index Value on any day that is not a Business Day is the value as of the prior Business Day. If an Index Value is not published on a Business Day, the closing Index Value on the next Business Day in which the Index Value is published will be used.</w:t>
      </w:r>
    </w:p>
    <w:p>
      <w:pPr>
        <w:spacing w:after="0" w:line="68"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Interim Value.</w:t>
      </w:r>
      <w:r>
        <w:rPr>
          <w:rFonts w:ascii="Times New Roman" w:cs="Times New Roman" w:eastAsia="Times New Roman" w:hAnsi="Times New Roman"/>
          <w:sz w:val="18"/>
          <w:szCs w:val="18"/>
          <w:color w:val="auto"/>
        </w:rPr>
        <w:t xml:space="preserve">  For each Shield Option, Interim Value is the value we assign on any Business Day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Start Date and the Term End Date. During the Transfer Period, the Interim Value of each Shield Option is equal to the Investment Amount at the Term End Date in that Shield Option. After the Transfer Period, the Interim Value is a calculated value (as described in the “Interim Value Calculation” section) and is the amount that is available for annuitization, death benefits, withdrawals, Surrenders, and Performance Lock.</w:t>
      </w:r>
    </w:p>
    <w:p>
      <w:pPr>
        <w:spacing w:after="0" w:line="71" w:lineRule="exact"/>
        <w:rPr>
          <w:sz w:val="20"/>
          <w:szCs w:val="20"/>
          <w:color w:val="auto"/>
        </w:rPr>
      </w:pPr>
    </w:p>
    <w:p>
      <w:pPr>
        <w:jc w:val="both"/>
        <w:ind w:left="120" w:right="639"/>
        <w:spacing w:after="0" w:line="257" w:lineRule="auto"/>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18"/>
          <w:szCs w:val="18"/>
          <w:color w:val="auto"/>
        </w:rPr>
        <w:t xml:space="preserve">  The Investment Amount, for any Shield Option, is the amount that is allocated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Shield Option at the Term Start Date, reduced proportionately for any withdrawals at the time of such withdrawals (including any applicable Withdrawal Charge) by the same percentage that the withdrawal reduces the Interim Value attributable to that Shield Option, and then, at Term End Date, adjusted by the Performance Rate. The remaining Investment Amount after a withdrawal will be used as the new Investment Amount for the Term until the Term End Date or the next Interim Value calculation for that Shield Option.</w:t>
      </w:r>
    </w:p>
    <w:p>
      <w:pPr>
        <w:spacing w:after="0" w:line="74"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Issue Date.</w:t>
      </w:r>
      <w:r>
        <w:rPr>
          <w:sz w:val="20"/>
          <w:szCs w:val="20"/>
          <w:color w:val="auto"/>
        </w:rPr>
        <w:tab/>
      </w:r>
      <w:r>
        <w:rPr>
          <w:rFonts w:ascii="Times New Roman" w:cs="Times New Roman" w:eastAsia="Times New Roman" w:hAnsi="Times New Roman"/>
          <w:sz w:val="17"/>
          <w:szCs w:val="17"/>
          <w:color w:val="auto"/>
        </w:rPr>
        <w:t>The date the Contract is issued.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Joint Annuitant.</w:t>
      </w:r>
      <w:r>
        <w:rPr>
          <w:rFonts w:ascii="Times New Roman" w:cs="Times New Roman" w:eastAsia="Times New Roman" w:hAnsi="Times New Roman"/>
          <w:sz w:val="18"/>
          <w:szCs w:val="18"/>
          <w:color w:val="auto"/>
        </w:rPr>
        <w:t xml:space="preserve">   If there is more than one Annuitant, each Annuitant will be a Joint Annuitant of the Contract.</w:t>
      </w:r>
    </w:p>
    <w:p>
      <w:pPr>
        <w:spacing w:after="0" w:line="117"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color w:val="auto"/>
        </w:rPr>
        <w:t>Joint Owner.</w:t>
      </w:r>
      <w:r>
        <w:rPr>
          <w:rFonts w:ascii="Times New Roman" w:cs="Times New Roman" w:eastAsia="Times New Roman" w:hAnsi="Times New Roman"/>
          <w:sz w:val="18"/>
          <w:szCs w:val="18"/>
          <w:color w:val="auto"/>
        </w:rPr>
        <w:t xml:space="preserve">  If there is more than one Owner, each Owner will be a Joint Owner of the Contract. Joint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limited to natural persons.</w:t>
      </w:r>
    </w:p>
    <w:p>
      <w:pPr>
        <w:spacing w:after="0" w:line="47" w:lineRule="exact"/>
        <w:rPr>
          <w:sz w:val="20"/>
          <w:szCs w:val="20"/>
          <w:color w:val="auto"/>
        </w:rPr>
      </w:pPr>
    </w:p>
    <w:p>
      <w:pPr>
        <w:jc w:val="both"/>
        <w:ind w:left="120" w:right="639"/>
        <w:spacing w:after="0" w:line="278" w:lineRule="auto"/>
        <w:rPr>
          <w:sz w:val="20"/>
          <w:szCs w:val="20"/>
          <w:color w:val="auto"/>
        </w:rPr>
      </w:pP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The Maturity Date is the Contract Anniversary after the oldest Owner’s 90th birthday or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from the date we issue your Contract, whichever is later. The Contract will be annuitized at the Maturity Date.</w:t>
      </w:r>
    </w:p>
    <w:p>
      <w:pPr>
        <w:spacing w:after="0" w:line="276"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Account Value. </w:t>
      </w:r>
      <w:r>
        <w:rPr>
          <w:rFonts w:ascii="Times New Roman" w:cs="Times New Roman" w:eastAsia="Times New Roman" w:hAnsi="Times New Roman"/>
          <w:sz w:val="18"/>
          <w:szCs w:val="18"/>
          <w:color w:val="auto"/>
        </w:rPr>
        <w:t>$2,000. If your Account Value falls below the Minimum Account Value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withdrawal (including any applicable Withdrawal Charge) we will treat the withdrawal request as a request for a full withdrawal.</w:t>
      </w:r>
    </w:p>
    <w:p>
      <w:pPr>
        <w:spacing w:after="0" w:line="63"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Guaranteed Cap Rate. </w:t>
      </w:r>
      <w:r>
        <w:rPr>
          <w:rFonts w:ascii="Times New Roman" w:cs="Times New Roman" w:eastAsia="Times New Roman" w:hAnsi="Times New Roman"/>
          <w:sz w:val="18"/>
          <w:szCs w:val="18"/>
          <w:color w:val="auto"/>
        </w:rPr>
        <w:t>The actual Minimum Guaranteed Cap Rate for your Contract is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shown on your Contract Schedule but the rate will not be less than what is shown in the Minimum Guaranteed Cap Rates table. See “RATE CREDITING TYPES—Cap Rate."</w:t>
      </w:r>
    </w:p>
    <w:p>
      <w:pPr>
        <w:spacing w:after="0" w:line="63"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Minimum Guaranteed Edge Rate. </w:t>
      </w:r>
      <w:r>
        <w:rPr>
          <w:rFonts w:ascii="Times New Roman" w:cs="Times New Roman" w:eastAsia="Times New Roman" w:hAnsi="Times New Roman"/>
          <w:sz w:val="18"/>
          <w:szCs w:val="18"/>
          <w:color w:val="auto"/>
        </w:rPr>
        <w:t>The actual Minimum Guaranteed Edge Rate for your Contract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shown on your Contract Schedule, but the rate will not be less than what is shown in the Minimum Guaranteed Edge Rates table. See “RATE CREDITING TYPES—Step Rate Edge."</w:t>
      </w:r>
    </w:p>
    <w:p>
      <w:pPr>
        <w:spacing w:after="0" w:line="63"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Minimum Guaranteed Interest Rate.</w:t>
      </w:r>
      <w:r>
        <w:rPr>
          <w:rFonts w:ascii="Times New Roman" w:cs="Times New Roman" w:eastAsia="Times New Roman" w:hAnsi="Times New Roman"/>
          <w:sz w:val="18"/>
          <w:szCs w:val="18"/>
          <w:color w:val="auto"/>
        </w:rPr>
        <w:t xml:space="preserve">  The current Minimum Guaranteed Interest Rate will not be less than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interest rate is guaranteed to be a rate not less than the minimum interest rate allowed by state law—see Appendix D. The actual Minimum Guaranteed Interest Rate for your Contract is the amount shown on your Contract Schedule and applies only to amounts in the Fixed Account.</w:t>
      </w:r>
    </w:p>
    <w:p>
      <w:pPr>
        <w:spacing w:after="0" w:line="68"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Minimum Guaranteed Step Rate.</w:t>
      </w:r>
      <w:r>
        <w:rPr>
          <w:rFonts w:ascii="Times New Roman" w:cs="Times New Roman" w:eastAsia="Times New Roman" w:hAnsi="Times New Roman"/>
          <w:sz w:val="18"/>
          <w:szCs w:val="18"/>
          <w:color w:val="auto"/>
        </w:rPr>
        <w:t xml:space="preserve">  The actual Minimum Guaranteed Step Rate for your Contract is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shown on your Contract Schedule, but the rate will not be less than what is shown in the Minimum Guaranteed Step Rates table. See “RATE CREDITING TYPES—Step Rate."</w:t>
      </w:r>
    </w:p>
    <w:p>
      <w:pPr>
        <w:spacing w:after="0" w:line="63"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Any form of communication providing information we need, either in a signed writing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we approve in advance. All Notices to us must be sent to our Annuity Service Office and received in Good Order. To be effective for a Business Day, a Notice must be received in Good Order prior to the end of that Business Day.</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xml:space="preserve">   New York Stock Exchange.</w:t>
      </w:r>
    </w:p>
    <w:p>
      <w:pPr>
        <w:spacing w:after="0" w:line="11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Owner (“you”, “yours”).</w:t>
      </w:r>
      <w:r>
        <w:rPr>
          <w:rFonts w:ascii="Times New Roman" w:cs="Times New Roman" w:eastAsia="Times New Roman" w:hAnsi="Times New Roman"/>
          <w:sz w:val="18"/>
          <w:szCs w:val="18"/>
          <w:color w:val="auto"/>
        </w:rPr>
        <w:t xml:space="preserve">  The person(s) entitled to the ownership rights under the Contract. Subject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procedures, we may also permit ownership by a corporation (a type of non-natural person) or certain other legal entities. If Joint Owners are named, all references to Owner shall mean Joint Owners.</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Lock. </w:t>
      </w:r>
      <w:r>
        <w:rPr>
          <w:rFonts w:ascii="Times New Roman" w:cs="Times New Roman" w:eastAsia="Times New Roman" w:hAnsi="Times New Roman"/>
          <w:sz w:val="18"/>
          <w:szCs w:val="18"/>
          <w:color w:val="auto"/>
        </w:rPr>
        <w:t>A feature that allows you the option to lock in the Interim Value of a Shield Option and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automatically included with your Contract on the Issue Date.</w:t>
      </w:r>
    </w:p>
    <w:p>
      <w:pPr>
        <w:spacing w:after="0" w:line="4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 Lock Value. </w:t>
      </w:r>
      <w:r>
        <w:rPr>
          <w:rFonts w:ascii="Times New Roman" w:cs="Times New Roman" w:eastAsia="Times New Roman" w:hAnsi="Times New Roman"/>
          <w:sz w:val="18"/>
          <w:szCs w:val="18"/>
          <w:color w:val="auto"/>
        </w:rPr>
        <w:t>The value of a Shield Option after exercising Performance Lock.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Lock Value is equal to the Interim Value at the end of the Business Day that you exercise Performance Lock, reduced by the dollar amount of any subsequent withdrawals (including any applicable Withdrawal Charge).</w:t>
      </w:r>
    </w:p>
    <w:p>
      <w:pPr>
        <w:sectPr>
          <w:pgSz w:w="11900" w:h="16838" w:orient="portrait"/>
          <w:cols w:equalWidth="0" w:num="1">
            <w:col w:w="9019"/>
          </w:cols>
          <w:pgMar w:left="1440" w:top="1373" w:right="1440" w:bottom="1440" w:gutter="0" w:footer="0" w:header="0"/>
        </w:sect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1373" w:right="1440" w:bottom="1440" w:gutter="0" w:footer="0" w:header="0"/>
          <w:type w:val="continuous"/>
        </w:sectPr>
      </w:pPr>
    </w:p>
    <w:bookmarkStart w:id="9" w:name="page10"/>
    <w:bookmarkEnd w:id="9"/>
    <w:p>
      <w:pPr>
        <w:jc w:val="both"/>
        <w:ind w:left="120" w:right="659"/>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Performance Rate.</w:t>
      </w:r>
      <w:r>
        <w:rPr>
          <w:rFonts w:ascii="Times New Roman" w:cs="Times New Roman" w:eastAsia="Times New Roman" w:hAnsi="Times New Roman"/>
          <w:sz w:val="18"/>
          <w:szCs w:val="18"/>
          <w:color w:val="auto"/>
        </w:rPr>
        <w:t xml:space="preserve">  The rate credited at the Term End Date and is based on the Index Performance, adjusted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Shield Rate, Cap Rate, Step Rate, or Edge Rate. The Performance Rate can be positive, zero or negative. At the Term End Date, any increase or reduction in the Investment Amount in a particular Shield Option is determined by multiplying the Performance Rate by the Investment Amount of the Shield Option on the last day of the Term.</w:t>
      </w:r>
    </w:p>
    <w:p>
      <w:pPr>
        <w:spacing w:after="0" w:line="71"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Performance Rate Adjustment.</w:t>
      </w:r>
      <w:r>
        <w:rPr>
          <w:rFonts w:ascii="Times New Roman" w:cs="Times New Roman" w:eastAsia="Times New Roman" w:hAnsi="Times New Roman"/>
          <w:sz w:val="18"/>
          <w:szCs w:val="18"/>
          <w:color w:val="auto"/>
        </w:rPr>
        <w:t xml:space="preserve">  The adjustment made to the Investment Amount for each Shield Option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End Date. This adjustment is based on the Performance Rate. This adjustment can be positive, zero or negative. When the Performance Rate Adjustment is positive we may also refer to this adjustment as “earnings.” When the Performance Rate Adjustment is negative we may also refer to this adjustment as “losses.”</w:t>
      </w:r>
    </w:p>
    <w:p>
      <w:pPr>
        <w:spacing w:after="0" w:line="68"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Premium Tax. </w:t>
      </w:r>
      <w:r>
        <w:rPr>
          <w:rFonts w:ascii="Times New Roman" w:cs="Times New Roman" w:eastAsia="Times New Roman" w:hAnsi="Times New Roman"/>
          <w:sz w:val="18"/>
          <w:szCs w:val="18"/>
          <w:color w:val="auto"/>
        </w:rPr>
        <w:t>The amount of tax, if any, charged by the state or municipality. New York state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assess Premium Taxes on Purchase Payments.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w:t>
      </w:r>
      <w:r>
        <w:rPr>
          <w:rFonts w:ascii="Times New Roman" w:cs="Times New Roman" w:eastAsia="Times New Roman" w:hAnsi="Times New Roman"/>
          <w:sz w:val="18"/>
          <w:szCs w:val="18"/>
          <w:color w:val="auto"/>
        </w:rPr>
        <w:t xml:space="preserve">   The amount paid to us under the Contract as consideration for the benefits it provides.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Rate Crediting Type.</w:t>
      </w:r>
      <w:r>
        <w:rPr>
          <w:rFonts w:ascii="Times New Roman" w:cs="Times New Roman" w:eastAsia="Times New Roman" w:hAnsi="Times New Roman"/>
          <w:sz w:val="18"/>
          <w:szCs w:val="18"/>
          <w:color w:val="auto"/>
        </w:rPr>
        <w:t xml:space="preserve">   Either the Cap Rate, Step Rate, or Step Rate Edge.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RMD.</w:t>
      </w:r>
      <w:r>
        <w:rPr>
          <w:rFonts w:ascii="Times New Roman" w:cs="Times New Roman" w:eastAsia="Times New Roman" w:hAnsi="Times New Roman"/>
          <w:sz w:val="18"/>
          <w:szCs w:val="18"/>
          <w:color w:val="auto"/>
        </w:rPr>
        <w:t xml:space="preserve">   Required Minimum Distribution.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Securities and Exchange Commission.</w:t>
      </w:r>
    </w:p>
    <w:p>
      <w:pPr>
        <w:spacing w:after="0" w:line="117"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Separate Account.</w:t>
      </w:r>
      <w:r>
        <w:rPr>
          <w:sz w:val="20"/>
          <w:szCs w:val="20"/>
          <w:color w:val="auto"/>
        </w:rPr>
        <w:tab/>
      </w:r>
      <w:r>
        <w:rPr>
          <w:rFonts w:ascii="Times New Roman" w:cs="Times New Roman" w:eastAsia="Times New Roman" w:hAnsi="Times New Roman"/>
          <w:sz w:val="17"/>
          <w:szCs w:val="17"/>
          <w:color w:val="auto"/>
        </w:rPr>
        <w:t>The separate account is Brighthouse Separate Account SA II.</w:t>
      </w:r>
    </w:p>
    <w:p>
      <w:pPr>
        <w:spacing w:after="0" w:line="117"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10. </w:t>
      </w:r>
      <w:r>
        <w:rPr>
          <w:rFonts w:ascii="Times New Roman" w:cs="Times New Roman" w:eastAsia="Times New Roman" w:hAnsi="Times New Roman"/>
          <w:sz w:val="18"/>
          <w:szCs w:val="18"/>
          <w:color w:val="auto"/>
        </w:rPr>
        <w:t>The Contract provides downside protection through the Shield 10,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10% of your Investment Amount is absorbed by us at the Term End Date, which would leave you to absorb any remaining negative Index Performance of up to 90% of your Investment Amount.</w:t>
      </w:r>
    </w:p>
    <w:p>
      <w:pPr>
        <w:spacing w:after="0" w:line="68"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15. </w:t>
      </w:r>
      <w:r>
        <w:rPr>
          <w:rFonts w:ascii="Times New Roman" w:cs="Times New Roman" w:eastAsia="Times New Roman" w:hAnsi="Times New Roman"/>
          <w:sz w:val="18"/>
          <w:szCs w:val="18"/>
          <w:color w:val="auto"/>
        </w:rPr>
        <w:t>The Contract provides downside protection through the Shield 15,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15% of your Investment Amount is absorbed by us at the Term End Date, which would leave you to absorb any remaining negative Index Performance of up to 85% of your Investment Amount.</w:t>
      </w:r>
    </w:p>
    <w:p>
      <w:pPr>
        <w:spacing w:after="0" w:line="68"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Shield 25. </w:t>
      </w:r>
      <w:r>
        <w:rPr>
          <w:rFonts w:ascii="Times New Roman" w:cs="Times New Roman" w:eastAsia="Times New Roman" w:hAnsi="Times New Roman"/>
          <w:sz w:val="18"/>
          <w:szCs w:val="18"/>
          <w:color w:val="auto"/>
        </w:rPr>
        <w:t>The Contract provides downside protection through the Shield 25, which is a Shield Rate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Index Performance of up to 25% of your Investment Amount is absorbed by us at the Term End Date, which would leave you to absorb any remaining negative Index Performance of up to 75% of your Investment Amount.</w:t>
      </w:r>
    </w:p>
    <w:p>
      <w:pPr>
        <w:spacing w:after="0" w:line="68" w:lineRule="exact"/>
        <w:rPr>
          <w:sz w:val="20"/>
          <w:szCs w:val="20"/>
          <w:color w:val="auto"/>
        </w:rPr>
      </w:pPr>
    </w:p>
    <w:p>
      <w:pPr>
        <w:jc w:val="both"/>
        <w:ind w:left="120" w:right="63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Shield Rate. </w:t>
      </w:r>
      <w:r>
        <w:rPr>
          <w:rFonts w:ascii="Times New Roman" w:cs="Times New Roman" w:eastAsia="Times New Roman" w:hAnsi="Times New Roman"/>
          <w:sz w:val="18"/>
          <w:szCs w:val="18"/>
          <w:color w:val="auto"/>
        </w:rPr>
        <w:t>A limited buffer where we absorb part of any negative Index Performance at the Term End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negative Index Performance beyond the Shield Rate will reduce the Investment Amount associated with the Shield Option. </w:t>
      </w:r>
      <w:r>
        <w:rPr>
          <w:rFonts w:ascii="Times New Roman" w:cs="Times New Roman" w:eastAsia="Times New Roman" w:hAnsi="Times New Roman"/>
          <w:sz w:val="18"/>
          <w:szCs w:val="18"/>
          <w:b w:val="1"/>
          <w:bCs w:val="1"/>
          <w:color w:val="auto"/>
        </w:rPr>
        <w:t>The Shield Rate may vary between Shield Options and, unless you have a Shield Option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 1-year Term, is not an annual rate</w:t>
      </w:r>
      <w:r>
        <w:rPr>
          <w:rFonts w:ascii="Times New Roman" w:cs="Times New Roman" w:eastAsia="Times New Roman" w:hAnsi="Times New Roman"/>
          <w:sz w:val="18"/>
          <w:szCs w:val="18"/>
          <w:color w:val="auto"/>
        </w:rPr>
        <w:t>. We currently offer the following Shield Rates: Shield 10, Shield 15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Shield 25.</w:t>
      </w:r>
    </w:p>
    <w:p>
      <w:pPr>
        <w:spacing w:after="0" w:line="71"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Shield Option. </w:t>
      </w:r>
      <w:r>
        <w:rPr>
          <w:rFonts w:ascii="Times New Roman" w:cs="Times New Roman" w:eastAsia="Times New Roman" w:hAnsi="Times New Roman"/>
          <w:sz w:val="18"/>
          <w:szCs w:val="18"/>
          <w:color w:val="auto"/>
        </w:rPr>
        <w:t>You may allocate your Purchase Payment or transfer your Investment Amount to one or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available Shield Options. Each Shield Option offered through this Contract has an associated Term, Index, Shield Rate and a Rate Crediting Type.</w:t>
      </w:r>
    </w:p>
    <w:p>
      <w:pPr>
        <w:spacing w:after="0" w:line="63"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Step Rate. </w:t>
      </w:r>
      <w:r>
        <w:rPr>
          <w:rFonts w:ascii="Times New Roman" w:cs="Times New Roman" w:eastAsia="Times New Roman" w:hAnsi="Times New Roman"/>
          <w:sz w:val="18"/>
          <w:szCs w:val="18"/>
          <w:color w:val="auto"/>
        </w:rPr>
        <w:t>The rate credited at the Term End Date if the Index Performance is equal to or greater than zero.</w:t>
      </w:r>
      <w:r>
        <w:rPr>
          <w:rFonts w:ascii="Times New Roman" w:cs="Times New Roman" w:eastAsia="Times New Roman" w:hAnsi="Times New Roman"/>
          <w:sz w:val="18"/>
          <w:szCs w:val="18"/>
          <w:b w:val="1"/>
          <w:bCs w:val="1"/>
          <w:color w:val="auto"/>
        </w:rPr>
        <w:t xml:space="preserve"> The Step Rate may vary between Shield Options and, unless you have a Shield Option with a 1-year Term, is not an annual rate.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Surrender.</w:t>
      </w:r>
      <w:r>
        <w:rPr>
          <w:rFonts w:ascii="Times New Roman" w:cs="Times New Roman" w:eastAsia="Times New Roman" w:hAnsi="Times New Roman"/>
          <w:sz w:val="18"/>
          <w:szCs w:val="18"/>
          <w:color w:val="auto"/>
        </w:rPr>
        <w:t xml:space="preserve">   A full withdrawal of your Account Value.</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is the number of years that the Shield Option is in effect. We currently offer Terms of 1 year,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3 years or 6 years. The initial Term(s) begin on the Issue Date.</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End Date.</w:t>
      </w:r>
      <w:r>
        <w:rPr>
          <w:rFonts w:ascii="Times New Roman" w:cs="Times New Roman" w:eastAsia="Times New Roman" w:hAnsi="Times New Roman"/>
          <w:sz w:val="18"/>
          <w:szCs w:val="18"/>
          <w:color w:val="auto"/>
        </w:rPr>
        <w:t xml:space="preserve">   The Contract Anniversary on which a Shield Option ends.</w:t>
      </w:r>
    </w:p>
    <w:p>
      <w:pPr>
        <w:spacing w:after="0" w:line="117"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 Start Date. </w:t>
      </w:r>
      <w:r>
        <w:rPr>
          <w:rFonts w:ascii="Times New Roman" w:cs="Times New Roman" w:eastAsia="Times New Roman" w:hAnsi="Times New Roman"/>
          <w:sz w:val="18"/>
          <w:szCs w:val="18"/>
          <w:color w:val="auto"/>
        </w:rPr>
        <w:t>The Contract Anniversary on which a Shield Option is established. The initial Term Start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begins on the Issue Date, and thereafter, will be the Contract Anniversary coinciding with the duration of the current Term you have selected.</w:t>
      </w:r>
    </w:p>
    <w:p>
      <w:pPr>
        <w:spacing w:after="0" w:line="63"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xml:space="preserve">  The five (5) calendar days following the Contract Anniversary coinciding with the Term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for each applicable Shield Option and/or the Fixed Account Term End Date for the Fixed Account, during the Accumulation Period.</w:t>
      </w:r>
    </w:p>
    <w:p>
      <w:pPr>
        <w:spacing w:after="0" w:line="63"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Charge. </w:t>
      </w:r>
      <w:r>
        <w:rPr>
          <w:rFonts w:ascii="Times New Roman" w:cs="Times New Roman" w:eastAsia="Times New Roman" w:hAnsi="Times New Roman"/>
          <w:sz w:val="18"/>
          <w:szCs w:val="18"/>
          <w:color w:val="auto"/>
        </w:rPr>
        <w:t>A charge applied to the percentage of the amount withdrawn from your Account Value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Contract Year in excess of the Free Withdrawal Amount.</w:t>
      </w:r>
    </w:p>
    <w:p>
      <w:pPr>
        <w:sectPr>
          <w:pgSz w:w="11900" w:h="16838" w:orient="portrait"/>
          <w:cols w:equalWidth="0" w:num="1">
            <w:col w:w="9019"/>
          </w:cols>
          <w:pgMar w:left="1440" w:top="1373" w:right="1440" w:bottom="1440" w:gutter="0" w:footer="0" w:header="0"/>
        </w:sectPr>
      </w:pPr>
    </w:p>
    <w:p>
      <w:pPr>
        <w:spacing w:after="0" w:line="2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373" w:right="1440" w:bottom="1440" w:gutter="0" w:footer="0" w:header="0"/>
          <w:type w:val="continuous"/>
        </w:sectPr>
      </w:pPr>
    </w:p>
    <w:bookmarkStart w:id="10" w:name="page11"/>
    <w:bookmarkEnd w:id="1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SUMMARY</w:t>
      </w:r>
    </w:p>
    <w:p>
      <w:pPr>
        <w:spacing w:after="0" w:line="118" w:lineRule="exact"/>
        <w:rPr>
          <w:sz w:val="20"/>
          <w:szCs w:val="20"/>
          <w:color w:val="auto"/>
        </w:rPr>
      </w:pPr>
    </w:p>
    <w:p>
      <w:pPr>
        <w:jc w:val="both"/>
        <w:ind w:left="120" w:right="659" w:firstLine="360"/>
        <w:spacing w:after="0" w:line="249"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an individual single premium deferred index-linked separate account annuity contract (the “Contract”) issued by BLNY, that provides for the potential accumulation of retirement savings. The Contract is intended for retirement or other long term investment purposes.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version of the Contract is only available in New York state.</w:t>
      </w:r>
    </w:p>
    <w:p>
      <w:pPr>
        <w:spacing w:after="0" w:line="11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Contract offers various Shield Options, which permit Owners to potentially receive interest equal to the percentage returns of certain Securities Indices, up to a Cap Rate or equal to a specified Step Rate or Edge Rate, with guarantees against a specified level of negative returns—guarantees we call “Shield Rates.” </w:t>
      </w:r>
      <w:r>
        <w:rPr>
          <w:rFonts w:ascii="Times New Roman" w:cs="Times New Roman" w:eastAsia="Times New Roman" w:hAnsi="Times New Roman"/>
          <w:sz w:val="18"/>
          <w:szCs w:val="18"/>
          <w:b w:val="1"/>
          <w:bCs w:val="1"/>
          <w:color w:val="auto"/>
        </w:rPr>
        <w:t>The protections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specified by the Shield Rate and the level of positive investment experience that can be credited to Account Value allowed by the Cap Rate or specified by the Step Rate or Edge Rate are only fully available for the amounts held until the end of the Term.</w:t>
      </w:r>
    </w:p>
    <w:p>
      <w:pPr>
        <w:spacing w:after="0" w:line="93" w:lineRule="exact"/>
        <w:rPr>
          <w:sz w:val="20"/>
          <w:szCs w:val="20"/>
          <w:color w:val="auto"/>
        </w:rPr>
      </w:pPr>
    </w:p>
    <w:p>
      <w:pPr>
        <w:jc w:val="both"/>
        <w:ind w:left="120" w:right="639" w:firstLine="360"/>
        <w:spacing w:after="0" w:line="268" w:lineRule="auto"/>
        <w:rPr>
          <w:sz w:val="20"/>
          <w:szCs w:val="20"/>
          <w:color w:val="auto"/>
        </w:rPr>
      </w:pPr>
      <w:r>
        <w:rPr>
          <w:rFonts w:ascii="Times New Roman" w:cs="Times New Roman" w:eastAsia="Times New Roman" w:hAnsi="Times New Roman"/>
          <w:sz w:val="17"/>
          <w:szCs w:val="17"/>
          <w:color w:val="auto"/>
        </w:rPr>
        <w:t>We currently offer Shield Options based on Securities Indices. Additionally, each Shield Option has a Term of 1, 2,3 or 6 years in length, a Shield Rate (Shield 10, Shield 15 or Shield 25) and Rate Crediting Type (Cap Rate, Step Rate, or Step Rate Edge). For each Shield Option, you select the Term, the Shield Rate and which Securities Index you want the performance of your Contract to be based on. For example, if you select Shield 10 with a 1-Year Term, you may also select whether you want your Contract performance based on the Cap Rate, Step Rate, or Edge Rate, when applicable. A Fixed Account that guarantees a fixed rate of interest may also be available.</w:t>
      </w:r>
    </w:p>
    <w:p>
      <w:pPr>
        <w:spacing w:after="0" w:line="5" w:lineRule="exact"/>
        <w:rPr>
          <w:sz w:val="20"/>
          <w:szCs w:val="20"/>
          <w:color w:val="auto"/>
        </w:rPr>
      </w:pPr>
    </w:p>
    <w:p>
      <w:pPr>
        <w:jc w:val="both"/>
        <w:ind w:left="120" w:right="659"/>
        <w:spacing w:after="0" w:line="260" w:lineRule="auto"/>
        <w:rPr>
          <w:sz w:val="20"/>
          <w:szCs w:val="20"/>
          <w:color w:val="auto"/>
        </w:rPr>
      </w:pPr>
      <w:r>
        <w:rPr>
          <w:rFonts w:ascii="Times New Roman" w:cs="Times New Roman" w:eastAsia="Times New Roman" w:hAnsi="Times New Roman"/>
          <w:sz w:val="18"/>
          <w:szCs w:val="18"/>
          <w:b w:val="1"/>
          <w:bCs w:val="1"/>
          <w:color w:val="auto"/>
        </w:rPr>
        <w:t>Unless you allocate your entire Purchase Payment to the Fixed Account, you may lose money by investing in the Contract.</w:t>
      </w:r>
    </w:p>
    <w:p>
      <w:pPr>
        <w:spacing w:after="0" w:line="8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Cap Rate, Step Rate, and Step Rate Edge (each, a “Rate Crediting Type”) are the three ways we offer that you can potentially receive positive interest based on the performance of an Index. The Cap Rate is the maximum rate that may be credited at the Term End Date based on Index Performance. The Step Rate is the rate credited at the Term End Date if the Index Performance is equal to or greater than zero. For Shield Options with Step Rate Edge, the Edge Rate is the rate credited at the Term End Date if the Index Performance is equal to or greater than the Shield Rate. Shield Options with a Cap Rate are described in the Cap Rate Shield Option Rider attached to your Contract. Shield Options with a Step Rate are described in the Step Rate Shield Option Rider attached to your Contract. Shield Options with Step Rate Edge are described in the Step Rate Edge Shield Option Rider attached to your Contract.</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New Cap Rates, Step Rates, and Edge Rates are declared for each subsequent Term. There are two ways you may find out what the renewal Cap Rates, Step Rates, and Edge Rates will be for a subsequent Term. Thirty (30) days before the current Term expires, we will send you a notification, written or electronic depending on your selected preferences, indicating your maturing Shield Options and how you can obtain the new Cap Rates, Step</w:t>
      </w:r>
    </w:p>
    <w:p>
      <w:pPr>
        <w:spacing w:after="0" w:line="3"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color w:val="auto"/>
        </w:rPr>
        <w:t>Rates, and Edge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See “RATE CREDITING TYPES.”</w:t>
      </w:r>
    </w:p>
    <w:p>
      <w:pPr>
        <w:spacing w:after="0" w:line="9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You may withdraw a portion or all of your Account Value at any time until you commence receiving Annuity Payments, subject to an adjustment to the Investment Amounts. Depending on the performance of the Indices you choose, this adjustment may be substantial. Withdrawal Charges may also apply.</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Each Shield Option comes with Performance Lock, which allows you the option to lock the Interim Value on your Shield Options. For any Shield Option, once during each Term you may elect to lock the Interim Value. The Performance Lock Value, will be used as the value of that Shield Option for the remainder of the Term.</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When you purchase the Contract, if you are age 81 or older at the Issue Date of the Contract, the standard death benefit is the Account Value. For Owners age 80 or younger at the Issue Date of the Contract, the standard death benefit (known as the Return of Premium death benefit) will be the greater of your (i) Account Value or (ii) Purchase Payment, reduced proportionally by the percentage reduction in Account Value of the Shield Option(s), the Fixed Account, and the Holding Account for each partial withdrawal (including any applicable Withdrawal Charge).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Like all annuity contracts the Contract offers a range of annuity options, which provide Annuity Payments for your lifetime.</w:t>
      </w:r>
    </w:p>
    <w:p>
      <w:pPr>
        <w:spacing w:after="0" w:line="5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have the right to substitute a comparable index prior to the Term End Date if any Index is discontinued or we determine that our use of such Index should be discontinued because we are no longer licensed to use the Index, the method of calculation of the Index Value is substantially changed, or if Index Values become unavailable for any reason. We would attempt to choose a substitute index that has a similar investment objective and risk profile to the replaced index. The substituted index may not be acceptable to you. See “An Index may be Substituted.”</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See “SPECIAL TERMS” in this prospectus for more detailed explanations of the terms associated with the Shield Options.</w:t>
      </w:r>
    </w:p>
    <w:p>
      <w:pPr>
        <w:sectPr>
          <w:pgSz w:w="11900" w:h="16838" w:orient="portrait"/>
          <w:cols w:equalWidth="0" w:num="1">
            <w:col w:w="9019"/>
          </w:cols>
          <w:pgMar w:left="1440" w:top="1373" w:right="1440" w:bottom="524"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373" w:right="1440" w:bottom="524" w:gutter="0" w:footer="0" w:header="0"/>
          <w:type w:val="continuous"/>
        </w:sectPr>
      </w:pPr>
    </w:p>
    <w:bookmarkStart w:id="11" w:name="page12"/>
    <w:bookmarkEnd w:id="11"/>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following chart describes the key features of the Contract. Please read this prospectus for more detailed information about the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Features of the Contract</w:t>
      </w:r>
    </w:p>
    <w:p>
      <w:pPr>
        <w:spacing w:after="0" w:line="62" w:lineRule="exact"/>
        <w:rPr>
          <w:sz w:val="20"/>
          <w:szCs w:val="20"/>
          <w:color w:val="auto"/>
        </w:rPr>
      </w:pPr>
    </w:p>
    <w:tbl>
      <w:tblPr>
        <w:tblLayout w:type="fixed"/>
        <w:tblInd w:w="130" w:type="dxa"/>
        <w:tblCellMar>
          <w:top w:w="0" w:type="dxa"/>
          <w:left w:w="0" w:type="dxa"/>
          <w:bottom w:w="0" w:type="dxa"/>
          <w:right w:w="0" w:type="dxa"/>
        </w:tblCellMar>
      </w:tblPr>
      <w:tr>
        <w:trPr>
          <w:trHeight w:val="241"/>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Contract</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Individual single premium deferred index-linked separate account annuity</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contract.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Purchase Payment</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minimum Purchase Payment: $25,000. Prior approval required for a</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Purchase Payment of less than $25,000 or $1,000,000 or more.</w:t>
            </w:r>
          </w:p>
        </w:tc>
      </w:tr>
      <w:tr>
        <w:trPr>
          <w:trHeight w:val="237"/>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 and Annuitant Issue Ages</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0-85</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Contract Periods</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Contract has two periods:</w:t>
            </w:r>
          </w:p>
        </w:tc>
      </w:tr>
      <w:tr>
        <w:trPr>
          <w:trHeight w:val="216"/>
        </w:trPr>
        <w:tc>
          <w:tcPr>
            <w:tcW w:w="2620" w:type="dxa"/>
            <w:vAlign w:val="bottom"/>
            <w:tcBorders>
              <w:left w:val="single" w:sz="8" w:color="auto"/>
              <w:right w:val="single" w:sz="8" w:color="auto"/>
            </w:tcBorders>
            <w:shd w:val="clear" w:color="auto" w:fill="F0FFFF"/>
          </w:tcPr>
          <w:p>
            <w:pPr>
              <w:spacing w:after="0"/>
              <w:rPr>
                <w:sz w:val="18"/>
                <w:szCs w:val="18"/>
                <w:color w:val="auto"/>
              </w:rPr>
            </w:pPr>
          </w:p>
        </w:tc>
        <w:tc>
          <w:tcPr>
            <w:tcW w:w="610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The Accumulation Period, the period prior to the Annuity Date; and</w:t>
            </w:r>
          </w:p>
        </w:tc>
      </w:tr>
      <w:tr>
        <w:trPr>
          <w:trHeight w:val="216"/>
        </w:trPr>
        <w:tc>
          <w:tcPr>
            <w:tcW w:w="2620" w:type="dxa"/>
            <w:vAlign w:val="bottom"/>
            <w:tcBorders>
              <w:left w:val="single" w:sz="8" w:color="auto"/>
              <w:right w:val="single" w:sz="8" w:color="auto"/>
            </w:tcBorders>
            <w:shd w:val="clear" w:color="auto" w:fill="F0FFFF"/>
          </w:tcPr>
          <w:p>
            <w:pPr>
              <w:spacing w:after="0"/>
              <w:rPr>
                <w:sz w:val="18"/>
                <w:szCs w:val="18"/>
                <w:color w:val="auto"/>
              </w:rPr>
            </w:pPr>
          </w:p>
        </w:tc>
        <w:tc>
          <w:tcPr>
            <w:tcW w:w="6100" w:type="dxa"/>
            <w:vAlign w:val="bottom"/>
            <w:tcBorders>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The Annuity Period, which begins on the Annuity Date and during which</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460"/>
              <w:spacing w:after="0"/>
              <w:rPr>
                <w:sz w:val="20"/>
                <w:szCs w:val="20"/>
                <w:color w:val="auto"/>
              </w:rPr>
            </w:pPr>
            <w:r>
              <w:rPr>
                <w:rFonts w:ascii="Times New Roman" w:cs="Times New Roman" w:eastAsia="Times New Roman" w:hAnsi="Times New Roman"/>
                <w:sz w:val="18"/>
                <w:szCs w:val="18"/>
                <w:color w:val="auto"/>
              </w:rPr>
              <w:t>Annuity Payments are provided.</w:t>
            </w:r>
          </w:p>
        </w:tc>
      </w:tr>
      <w:tr>
        <w:trPr>
          <w:trHeight w:val="218"/>
        </w:trPr>
        <w:tc>
          <w:tcPr>
            <w:tcW w:w="26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Value</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total of the Fixed Account Value, the value of the Shield Option(s), and the</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 Account value under the Contract during the Accumulation Period.</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Option</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Each Shield Option has an associated Term, Index, Shield Rate and Rate</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Crediting Type.</w:t>
            </w:r>
          </w:p>
        </w:tc>
      </w:tr>
      <w:tr>
        <w:trPr>
          <w:trHeight w:val="237"/>
        </w:trPr>
        <w:tc>
          <w:tcPr>
            <w:tcW w:w="262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Term</w:t>
            </w:r>
          </w:p>
        </w:tc>
        <w:tc>
          <w:tcPr>
            <w:tcW w:w="61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Term may be 1, 2, 3, or 6 years in length.</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01"/>
        </w:trPr>
        <w:tc>
          <w:tcPr>
            <w:tcW w:w="2620" w:type="dxa"/>
            <w:vAlign w:val="bottom"/>
            <w:tcBorders>
              <w:left w:val="single" w:sz="8" w:color="auto"/>
              <w:right w:val="single" w:sz="8" w:color="auto"/>
            </w:tcBorders>
            <w:shd w:val="clear" w:color="auto" w:fill="F0FFFF"/>
          </w:tcPr>
          <w:p>
            <w:pPr>
              <w:ind w:left="280"/>
              <w:spacing w:after="0" w:line="201" w:lineRule="exact"/>
              <w:rPr>
                <w:sz w:val="20"/>
                <w:szCs w:val="20"/>
                <w:color w:val="auto"/>
              </w:rPr>
            </w:pPr>
            <w:r>
              <w:rPr>
                <w:rFonts w:ascii="Times New Roman" w:cs="Times New Roman" w:eastAsia="Times New Roman" w:hAnsi="Times New Roman"/>
                <w:sz w:val="18"/>
                <w:szCs w:val="18"/>
                <w:color w:val="auto"/>
              </w:rPr>
              <w:t>Index</w:t>
            </w:r>
          </w:p>
        </w:tc>
        <w:tc>
          <w:tcPr>
            <w:tcW w:w="6100" w:type="dxa"/>
            <w:vAlign w:val="bottom"/>
            <w:tcBorders>
              <w:right w:val="single" w:sz="8" w:color="auto"/>
            </w:tcBorders>
            <w:shd w:val="clear" w:color="auto" w:fill="F0FFFF"/>
          </w:tcPr>
          <w:p>
            <w:pPr>
              <w:ind w:left="100"/>
              <w:spacing w:after="0" w:line="201" w:lineRule="exact"/>
              <w:rPr>
                <w:sz w:val="20"/>
                <w:szCs w:val="20"/>
                <w:color w:val="auto"/>
              </w:rPr>
            </w:pPr>
            <w:r>
              <w:rPr>
                <w:rFonts w:ascii="Times New Roman" w:cs="Times New Roman" w:eastAsia="Times New Roman" w:hAnsi="Times New Roman"/>
                <w:sz w:val="18"/>
                <w:szCs w:val="18"/>
                <w:color w:val="auto"/>
              </w:rPr>
              <w:t>The current Indices are as follows:</w:t>
            </w:r>
          </w:p>
        </w:tc>
      </w:tr>
      <w:tr>
        <w:trPr>
          <w:trHeight w:val="230"/>
        </w:trPr>
        <w:tc>
          <w:tcPr>
            <w:tcW w:w="2620" w:type="dxa"/>
            <w:vAlign w:val="bottom"/>
            <w:tcBorders>
              <w:left w:val="single" w:sz="8" w:color="auto"/>
              <w:right w:val="single" w:sz="8" w:color="auto"/>
            </w:tcBorders>
            <w:shd w:val="clear" w:color="auto" w:fill="F0FFFF"/>
          </w:tcPr>
          <w:p>
            <w:pPr>
              <w:spacing w:after="0"/>
              <w:rPr>
                <w:sz w:val="19"/>
                <w:szCs w:val="19"/>
                <w:color w:val="auto"/>
              </w:rPr>
            </w:pPr>
          </w:p>
        </w:tc>
        <w:tc>
          <w:tcPr>
            <w:tcW w:w="6100" w:type="dxa"/>
            <w:vAlign w:val="bottom"/>
            <w:tcBorders>
              <w:right w:val="single" w:sz="8" w:color="auto"/>
            </w:tcBorders>
            <w:shd w:val="clear" w:color="auto" w:fill="F0FFFF"/>
          </w:tcPr>
          <w:p>
            <w:pPr>
              <w:ind w:left="280"/>
              <w:spacing w:after="0" w:line="230" w:lineRule="exact"/>
              <w:rPr>
                <w:sz w:val="20"/>
                <w:szCs w:val="20"/>
                <w:color w:val="auto"/>
              </w:rPr>
            </w:pPr>
            <w:r>
              <w:rPr>
                <w:rFonts w:ascii="Times New Roman" w:cs="Times New Roman" w:eastAsia="Times New Roman" w:hAnsi="Times New Roman"/>
                <w:sz w:val="18"/>
                <w:szCs w:val="18"/>
                <w:color w:val="auto"/>
              </w:rPr>
              <w:t>•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w:t>
            </w:r>
          </w:p>
        </w:tc>
      </w:tr>
      <w:tr>
        <w:trPr>
          <w:trHeight w:val="246"/>
        </w:trPr>
        <w:tc>
          <w:tcPr>
            <w:tcW w:w="2620" w:type="dxa"/>
            <w:vAlign w:val="bottom"/>
            <w:tcBorders>
              <w:left w:val="single" w:sz="8" w:color="auto"/>
              <w:right w:val="single" w:sz="8" w:color="auto"/>
            </w:tcBorders>
            <w:shd w:val="clear" w:color="auto" w:fill="F0FFFF"/>
          </w:tcPr>
          <w:p>
            <w:pPr>
              <w:spacing w:after="0"/>
              <w:rPr>
                <w:sz w:val="21"/>
                <w:szCs w:val="21"/>
                <w:color w:val="auto"/>
              </w:rPr>
            </w:pPr>
          </w:p>
        </w:tc>
        <w:tc>
          <w:tcPr>
            <w:tcW w:w="6100" w:type="dxa"/>
            <w:vAlign w:val="bottom"/>
            <w:tcBorders>
              <w:right w:val="single" w:sz="8" w:color="auto"/>
            </w:tcBorders>
            <w:shd w:val="clear" w:color="auto" w:fill="F0FFFF"/>
          </w:tcPr>
          <w:p>
            <w:pPr>
              <w:ind w:left="280"/>
              <w:spacing w:after="0" w:line="246" w:lineRule="exact"/>
              <w:rPr>
                <w:sz w:val="20"/>
                <w:szCs w:val="20"/>
                <w:color w:val="auto"/>
              </w:rPr>
            </w:pPr>
            <w:r>
              <w:rPr>
                <w:rFonts w:ascii="Times New Roman" w:cs="Times New Roman" w:eastAsia="Times New Roman" w:hAnsi="Times New Roman"/>
                <w:sz w:val="18"/>
                <w:szCs w:val="18"/>
                <w:color w:val="auto"/>
              </w:rPr>
              <w:t>•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w:t>
            </w:r>
          </w:p>
        </w:tc>
      </w:tr>
      <w:tr>
        <w:trPr>
          <w:trHeight w:val="199"/>
        </w:trPr>
        <w:tc>
          <w:tcPr>
            <w:tcW w:w="2620" w:type="dxa"/>
            <w:vAlign w:val="bottom"/>
            <w:tcBorders>
              <w:left w:val="single" w:sz="8" w:color="auto"/>
              <w:right w:val="single" w:sz="8" w:color="auto"/>
            </w:tcBorders>
            <w:shd w:val="clear" w:color="auto" w:fill="F0FFFF"/>
          </w:tcPr>
          <w:p>
            <w:pPr>
              <w:spacing w:after="0"/>
              <w:rPr>
                <w:sz w:val="17"/>
                <w:szCs w:val="17"/>
                <w:color w:val="auto"/>
              </w:rPr>
            </w:pPr>
          </w:p>
        </w:tc>
        <w:tc>
          <w:tcPr>
            <w:tcW w:w="6100" w:type="dxa"/>
            <w:vAlign w:val="bottom"/>
            <w:tcBorders>
              <w:right w:val="single" w:sz="8" w:color="auto"/>
            </w:tcBorders>
            <w:shd w:val="clear" w:color="auto" w:fill="F0FFFF"/>
          </w:tcPr>
          <w:p>
            <w:pPr>
              <w:ind w:left="280"/>
              <w:spacing w:after="0" w:line="199" w:lineRule="exact"/>
              <w:rPr>
                <w:sz w:val="20"/>
                <w:szCs w:val="20"/>
                <w:color w:val="auto"/>
              </w:rPr>
            </w:pPr>
            <w:r>
              <w:rPr>
                <w:rFonts w:ascii="Times New Roman" w:cs="Times New Roman" w:eastAsia="Times New Roman" w:hAnsi="Times New Roman"/>
                <w:sz w:val="18"/>
                <w:szCs w:val="18"/>
                <w:color w:val="auto"/>
              </w:rPr>
              <w:t>•   MSCI EAFE Index (Price Return Index); and</w:t>
            </w:r>
          </w:p>
        </w:tc>
      </w:tr>
      <w:tr>
        <w:trPr>
          <w:trHeight w:val="292"/>
        </w:trPr>
        <w:tc>
          <w:tcPr>
            <w:tcW w:w="2620" w:type="dxa"/>
            <w:vAlign w:val="bottom"/>
            <w:tcBorders>
              <w:left w:val="single" w:sz="8" w:color="auto"/>
              <w:bottom w:val="single" w:sz="8" w:color="auto"/>
              <w:right w:val="single" w:sz="8" w:color="auto"/>
            </w:tcBorders>
            <w:shd w:val="clear" w:color="auto" w:fill="F0FFFF"/>
          </w:tcPr>
          <w:p>
            <w:pPr>
              <w:spacing w:after="0"/>
              <w:rPr>
                <w:sz w:val="24"/>
                <w:szCs w:val="24"/>
                <w:color w:val="auto"/>
              </w:rPr>
            </w:pPr>
          </w:p>
        </w:tc>
        <w:tc>
          <w:tcPr>
            <w:tcW w:w="6100" w:type="dxa"/>
            <w:vAlign w:val="bottom"/>
            <w:tcBorders>
              <w:bottom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(Price Return Index).</w:t>
            </w:r>
          </w:p>
        </w:tc>
      </w:tr>
      <w:tr>
        <w:trPr>
          <w:trHeight w:val="214"/>
        </w:trPr>
        <w:tc>
          <w:tcPr>
            <w:tcW w:w="2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currently offer different levels of protection:</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10 </w:t>
            </w:r>
            <w:r>
              <w:rPr>
                <w:rFonts w:ascii="Times New Roman" w:cs="Times New Roman" w:eastAsia="Times New Roman" w:hAnsi="Times New Roman"/>
                <w:sz w:val="18"/>
                <w:szCs w:val="18"/>
                <w:color w:val="auto"/>
              </w:rPr>
              <w:t>— A Shield Rate where negative Index Performance of up to 10%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90% of</w:t>
            </w:r>
          </w:p>
        </w:tc>
      </w:tr>
      <w:tr>
        <w:trPr>
          <w:trHeight w:val="212"/>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15 </w:t>
            </w:r>
            <w:r>
              <w:rPr>
                <w:rFonts w:ascii="Times New Roman" w:cs="Times New Roman" w:eastAsia="Times New Roman" w:hAnsi="Times New Roman"/>
                <w:sz w:val="18"/>
                <w:szCs w:val="18"/>
                <w:color w:val="auto"/>
              </w:rPr>
              <w:t>— A Shield Rate where negative Index Performance of up to 15%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85% of</w:t>
            </w:r>
          </w:p>
        </w:tc>
      </w:tr>
      <w:tr>
        <w:trPr>
          <w:trHeight w:val="212"/>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Shield 25 </w:t>
            </w:r>
            <w:r>
              <w:rPr>
                <w:rFonts w:ascii="Times New Roman" w:cs="Times New Roman" w:eastAsia="Times New Roman" w:hAnsi="Times New Roman"/>
                <w:sz w:val="18"/>
                <w:szCs w:val="18"/>
                <w:color w:val="auto"/>
              </w:rPr>
              <w:t>— A Shield Rate where negative Index Performance of up to 25% of</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 is absorbed by us at the Term End Date, which would</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leave you to absorb any remaining negative Index Performance of up to 75% of</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your Investment Amount.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100" w:type="dxa"/>
            <w:vAlign w:val="bottom"/>
            <w:tcBorders>
              <w:bottom w:val="single" w:sz="8" w:color="auto"/>
              <w:right w:val="single" w:sz="8" w:color="auto"/>
            </w:tcBorders>
          </w:tcPr>
          <w:p>
            <w:pPr>
              <w:spacing w:after="0"/>
              <w:rPr>
                <w:sz w:val="2"/>
                <w:szCs w:val="2"/>
                <w:color w:val="auto"/>
              </w:rPr>
            </w:pPr>
          </w:p>
        </w:tc>
      </w:tr>
      <w:tr>
        <w:trPr>
          <w:trHeight w:val="218"/>
        </w:trPr>
        <w:tc>
          <w:tcPr>
            <w:tcW w:w="2620" w:type="dxa"/>
            <w:vAlign w:val="bottom"/>
            <w:tcBorders>
              <w:left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Rate Crediting Type</w:t>
            </w:r>
          </w:p>
        </w:tc>
        <w:tc>
          <w:tcPr>
            <w:tcW w:w="61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 Shield Option can only have one associated Rate Crediting Type: Cap Rate,</w:t>
            </w:r>
          </w:p>
        </w:tc>
      </w:tr>
      <w:tr>
        <w:trPr>
          <w:trHeight w:val="266"/>
        </w:trPr>
        <w:tc>
          <w:tcPr>
            <w:tcW w:w="2620" w:type="dxa"/>
            <w:vAlign w:val="bottom"/>
            <w:tcBorders>
              <w:left w:val="single" w:sz="8" w:color="auto"/>
              <w:bottom w:val="single" w:sz="8" w:color="F0FFFF"/>
              <w:right w:val="single" w:sz="8" w:color="auto"/>
            </w:tcBorders>
            <w:shd w:val="clear" w:color="auto" w:fill="F0FFFF"/>
          </w:tcPr>
          <w:p>
            <w:pPr>
              <w:spacing w:after="0"/>
              <w:rPr>
                <w:sz w:val="22"/>
                <w:szCs w:val="22"/>
                <w:color w:val="auto"/>
              </w:rPr>
            </w:pPr>
          </w:p>
        </w:tc>
        <w:tc>
          <w:tcPr>
            <w:tcW w:w="61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Step Rate, or Step Rate Edge.</w:t>
            </w:r>
          </w:p>
        </w:tc>
      </w:tr>
      <w:tr>
        <w:trPr>
          <w:trHeight w:val="191"/>
        </w:trPr>
        <w:tc>
          <w:tcPr>
            <w:tcW w:w="2620" w:type="dxa"/>
            <w:vAlign w:val="bottom"/>
            <w:tcBorders>
              <w:top w:val="single" w:sz="8" w:color="auto"/>
              <w:left w:val="single" w:sz="8" w:color="auto"/>
              <w:right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Performance Lock</w:t>
            </w:r>
          </w:p>
        </w:tc>
        <w:tc>
          <w:tcPr>
            <w:tcW w:w="6100" w:type="dxa"/>
            <w:vAlign w:val="bottom"/>
            <w:tcBorders>
              <w:top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any Shield Option, once during each Term you may elect to lock the Interim</w:t>
            </w:r>
          </w:p>
        </w:tc>
      </w:tr>
      <w:tr>
        <w:trPr>
          <w:trHeight w:val="189"/>
        </w:trPr>
        <w:tc>
          <w:tcPr>
            <w:tcW w:w="262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Value. Once an Interim Value is locked it is irrevocable for the remainder of that</w:t>
            </w: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Term. The Performance Lock Value will be used as value of the Shield Option for</w:t>
            </w: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the remainder of the Term.</w:t>
            </w:r>
          </w:p>
        </w:tc>
      </w:tr>
      <w:tr>
        <w:trPr>
          <w:trHeight w:val="189"/>
        </w:trPr>
        <w:tc>
          <w:tcPr>
            <w:tcW w:w="262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You can exercise Performance Lock by providing Notice of election on a</w:t>
            </w: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particular Business Day to lock the Interim Value on that day. (See</w:t>
            </w:r>
          </w:p>
        </w:tc>
      </w:tr>
      <w:tr>
        <w:trPr>
          <w:trHeight w:val="234"/>
        </w:trPr>
        <w:tc>
          <w:tcPr>
            <w:tcW w:w="262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LOCK.”)</w:t>
            </w:r>
          </w:p>
        </w:tc>
      </w:tr>
      <w:tr>
        <w:trPr>
          <w:trHeight w:val="51"/>
        </w:trPr>
        <w:tc>
          <w:tcPr>
            <w:tcW w:w="262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-6062345</wp:posOffset>
            </wp:positionV>
            <wp:extent cx="5520690"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0690"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-5427980</wp:posOffset>
            </wp:positionV>
            <wp:extent cx="552069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06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-4656455</wp:posOffset>
            </wp:positionV>
            <wp:extent cx="552069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20690" cy="31750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-4022090</wp:posOffset>
            </wp:positionV>
            <wp:extent cx="552069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06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-3087370</wp:posOffset>
            </wp:positionV>
            <wp:extent cx="5520690" cy="1825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20690" cy="182562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-944245</wp:posOffset>
            </wp:positionV>
            <wp:extent cx="5520690" cy="934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20690" cy="934720"/>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377" w:right="1440" w:bottom="1440" w:gutter="0" w:footer="0" w:header="0"/>
          <w:type w:val="continuous"/>
        </w:sectPr>
      </w:pPr>
    </w:p>
    <w:bookmarkStart w:id="12" w:name="page13"/>
    <w:bookmarkEnd w:id="12"/>
    <w:tbl>
      <w:tblPr>
        <w:tblLayout w:type="fixed"/>
        <w:tblInd w:w="130" w:type="dxa"/>
        <w:tblCellMar>
          <w:top w:w="0" w:type="dxa"/>
          <w:left w:w="0" w:type="dxa"/>
          <w:bottom w:w="0" w:type="dxa"/>
          <w:right w:w="0" w:type="dxa"/>
        </w:tblCellMar>
      </w:tblPr>
      <w:tr>
        <w:trPr>
          <w:trHeight w:val="241"/>
        </w:trPr>
        <w:tc>
          <w:tcPr>
            <w:tcW w:w="21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Interim Value</w:t>
            </w:r>
          </w:p>
        </w:tc>
        <w:tc>
          <w:tcPr>
            <w:tcW w:w="6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is designed to represent the fair value of the Shield Option on</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Business Day between the Term Start Date and Term End Date, taking into</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 the potential gain or loss of the applicable Index at the end of the Term.</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reflects the change in fair value due to economic factors of</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investment instruments (including derivatives) supporting the Shield</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is the amount that is available for annuitization, death</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benefits, withdrawals, Surrenders, and Performance Lock. For each Shield</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Option, we assign the value of Interim Value on any Business Day other than the</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 Start Date and Term End Date.</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Interim Value may be less than the Investment Amount at the time the</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Interim Value is calculated even when the current Index Value is higher than it</w:t>
            </w:r>
          </w:p>
        </w:tc>
      </w:tr>
      <w:tr>
        <w:trPr>
          <w:trHeight w:val="234"/>
        </w:trPr>
        <w:tc>
          <w:tcPr>
            <w:tcW w:w="2140" w:type="dxa"/>
            <w:vAlign w:val="bottom"/>
            <w:tcBorders>
              <w:left w:val="single" w:sz="8" w:color="auto"/>
              <w:right w:val="single" w:sz="8" w:color="auto"/>
            </w:tcBorders>
          </w:tcPr>
          <w:p>
            <w:pPr>
              <w:spacing w:after="0"/>
              <w:rPr>
                <w:sz w:val="20"/>
                <w:szCs w:val="20"/>
                <w:color w:val="auto"/>
              </w:rPr>
            </w:pP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was on the Term Start Date. See “Interim Value Calculation.”</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120" w:type="dxa"/>
            <w:vAlign w:val="bottom"/>
            <w:tcBorders>
              <w:bottom w:val="single" w:sz="8" w:color="auto"/>
              <w:right w:val="single" w:sz="8" w:color="auto"/>
            </w:tcBorders>
          </w:tcPr>
          <w:p>
            <w:pPr>
              <w:spacing w:after="0"/>
              <w:rPr>
                <w:sz w:val="2"/>
                <w:szCs w:val="2"/>
                <w:color w:val="auto"/>
              </w:rPr>
            </w:pPr>
          </w:p>
        </w:tc>
      </w:tr>
      <w:tr>
        <w:trPr>
          <w:trHeight w:val="218"/>
        </w:trPr>
        <w:tc>
          <w:tcPr>
            <w:tcW w:w="214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Transfers</w:t>
            </w: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During the Accumulation Period you may only make transfers to or from the</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Fixed Account, to or from the Shield Option(s), and from the Holding Account. If</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you have not exercised Performance Lock, you may make transfers only during</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Transfer Period following the Term End Date. The effective date of such</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transfer is the first day of the Fixed Account Term and/or the Term(s) in which</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transfer is made.</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If you have exercised Performance Lock, you may transfer on any Contract</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Anniversary prior to the end of the Term and on the Term End Date. You may</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only transfer the entire amount of your Performance Lock Value on a Contract</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Anniversary that is not a Term End Date. On the Term End Date, you have the</w:t>
            </w:r>
          </w:p>
        </w:tc>
      </w:tr>
      <w:tr>
        <w:trPr>
          <w:trHeight w:val="212"/>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Transfer Period to transfer all or a portion of your Performance Lock Value.</w:t>
            </w:r>
          </w:p>
        </w:tc>
      </w:tr>
      <w:tr>
        <w:trPr>
          <w:trHeight w:val="216"/>
        </w:trPr>
        <w:tc>
          <w:tcPr>
            <w:tcW w:w="2140" w:type="dxa"/>
            <w:vAlign w:val="bottom"/>
            <w:tcBorders>
              <w:left w:val="single" w:sz="8" w:color="auto"/>
              <w:right w:val="single" w:sz="8" w:color="auto"/>
            </w:tcBorders>
            <w:shd w:val="clear" w:color="auto" w:fill="F0FFFF"/>
          </w:tcPr>
          <w:p>
            <w:pPr>
              <w:spacing w:after="0"/>
              <w:rPr>
                <w:sz w:val="18"/>
                <w:szCs w:val="18"/>
                <w:color w:val="auto"/>
              </w:rPr>
            </w:pPr>
          </w:p>
        </w:tc>
        <w:tc>
          <w:tcPr>
            <w:tcW w:w="612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Partial transfers of a Shield Option (with or without Performance Lock)</w:t>
            </w:r>
          </w:p>
        </w:tc>
      </w:tr>
      <w:tr>
        <w:trPr>
          <w:trHeight w:val="270"/>
        </w:trPr>
        <w:tc>
          <w:tcPr>
            <w:tcW w:w="214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612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are not permitted, except during the Transfer Period. See “TRANSFERS.”</w:t>
            </w:r>
          </w:p>
        </w:tc>
      </w:tr>
      <w:tr>
        <w:trPr>
          <w:trHeight w:val="237"/>
        </w:trPr>
        <w:tc>
          <w:tcPr>
            <w:tcW w:w="21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Fixed Account</w:t>
            </w:r>
          </w:p>
        </w:tc>
        <w:tc>
          <w:tcPr>
            <w:tcW w:w="6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See Appendix D.</w:t>
            </w: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120" w:type="dxa"/>
            <w:vAlign w:val="bottom"/>
            <w:tcBorders>
              <w:bottom w:val="single" w:sz="8" w:color="auto"/>
              <w:right w:val="single" w:sz="8" w:color="auto"/>
            </w:tcBorders>
          </w:tcPr>
          <w:p>
            <w:pPr>
              <w:spacing w:after="0"/>
              <w:rPr>
                <w:sz w:val="2"/>
                <w:szCs w:val="2"/>
                <w:color w:val="auto"/>
              </w:rPr>
            </w:pPr>
          </w:p>
        </w:tc>
      </w:tr>
      <w:tr>
        <w:trPr>
          <w:trHeight w:val="191"/>
        </w:trPr>
        <w:tc>
          <w:tcPr>
            <w:tcW w:w="2140" w:type="dxa"/>
            <w:vAlign w:val="bottom"/>
            <w:tcBorders>
              <w:left w:val="single" w:sz="8" w:color="auto"/>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Access to Your Money</w:t>
            </w:r>
          </w:p>
        </w:tc>
        <w:tc>
          <w:tcPr>
            <w:tcW w:w="6120" w:type="dxa"/>
            <w:vAlign w:val="bottom"/>
            <w:tcBorders>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You may withdraw some or all of your money at any time prior to the Annuity</w:t>
            </w:r>
          </w:p>
        </w:tc>
      </w:tr>
      <w:tr>
        <w:trPr>
          <w:trHeight w:val="189"/>
        </w:trPr>
        <w:tc>
          <w:tcPr>
            <w:tcW w:w="2140" w:type="dxa"/>
            <w:vAlign w:val="bottom"/>
            <w:tcBorders>
              <w:left w:val="single" w:sz="8" w:color="auto"/>
              <w:right w:val="single" w:sz="8" w:color="auto"/>
            </w:tcBorders>
            <w:shd w:val="clear" w:color="auto" w:fill="F0FFFF"/>
          </w:tcPr>
          <w:p>
            <w:pPr>
              <w:spacing w:after="0"/>
              <w:rPr>
                <w:sz w:val="16"/>
                <w:szCs w:val="16"/>
                <w:color w:val="auto"/>
              </w:rPr>
            </w:pPr>
          </w:p>
        </w:tc>
        <w:tc>
          <w:tcPr>
            <w:tcW w:w="6120" w:type="dxa"/>
            <w:vAlign w:val="bottom"/>
            <w:tcBorders>
              <w:right w:val="single" w:sz="8" w:color="auto"/>
            </w:tcBorders>
            <w:shd w:val="clear" w:color="auto" w:fill="F0FFFF"/>
          </w:tcPr>
          <w:p>
            <w:pPr>
              <w:ind w:left="100"/>
              <w:spacing w:after="0" w:line="189" w:lineRule="exact"/>
              <w:rPr>
                <w:sz w:val="20"/>
                <w:szCs w:val="20"/>
                <w:color w:val="auto"/>
              </w:rPr>
            </w:pPr>
            <w:r>
              <w:rPr>
                <w:rFonts w:ascii="Times New Roman" w:cs="Times New Roman" w:eastAsia="Times New Roman" w:hAnsi="Times New Roman"/>
                <w:sz w:val="18"/>
                <w:szCs w:val="18"/>
                <w:color w:val="auto"/>
              </w:rPr>
              <w:t>Date. For any withdrawal taken on a Term End Date, a Performance Rate</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Adjustment, as of the date of the withdrawal, will apply. For any withdrawal</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taken between the Term Start Date and the Term End Date, we use an Interim</w:t>
            </w:r>
          </w:p>
        </w:tc>
      </w:tr>
      <w:tr>
        <w:trPr>
          <w:trHeight w:val="189"/>
        </w:trPr>
        <w:tc>
          <w:tcPr>
            <w:tcW w:w="2140" w:type="dxa"/>
            <w:vAlign w:val="bottom"/>
            <w:tcBorders>
              <w:left w:val="single" w:sz="8" w:color="auto"/>
              <w:right w:val="single" w:sz="8" w:color="auto"/>
            </w:tcBorders>
            <w:shd w:val="clear" w:color="auto" w:fill="F0FFFF"/>
          </w:tcPr>
          <w:p>
            <w:pPr>
              <w:spacing w:after="0"/>
              <w:rPr>
                <w:sz w:val="16"/>
                <w:szCs w:val="16"/>
                <w:color w:val="auto"/>
              </w:rPr>
            </w:pPr>
          </w:p>
        </w:tc>
        <w:tc>
          <w:tcPr>
            <w:tcW w:w="6120" w:type="dxa"/>
            <w:vAlign w:val="bottom"/>
            <w:tcBorders>
              <w:right w:val="single" w:sz="8" w:color="auto"/>
            </w:tcBorders>
            <w:shd w:val="clear" w:color="auto" w:fill="F0FFFF"/>
          </w:tcPr>
          <w:p>
            <w:pPr>
              <w:ind w:left="100"/>
              <w:spacing w:after="0" w:line="189" w:lineRule="exact"/>
              <w:rPr>
                <w:sz w:val="20"/>
                <w:szCs w:val="20"/>
                <w:color w:val="auto"/>
              </w:rPr>
            </w:pPr>
            <w:r>
              <w:rPr>
                <w:rFonts w:ascii="Times New Roman" w:cs="Times New Roman" w:eastAsia="Times New Roman" w:hAnsi="Times New Roman"/>
                <w:sz w:val="18"/>
                <w:szCs w:val="18"/>
                <w:color w:val="auto"/>
              </w:rPr>
              <w:t>Value calculation, which will reduce the Investment Amount for that Shield</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Option by the percentage reduction in the Interim Value of that Shield Option. If</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you have exercised Performance Lock, a withdrawal will reduce your</w:t>
            </w:r>
          </w:p>
        </w:tc>
      </w:tr>
      <w:tr>
        <w:trPr>
          <w:trHeight w:val="189"/>
        </w:trPr>
        <w:tc>
          <w:tcPr>
            <w:tcW w:w="2140" w:type="dxa"/>
            <w:vAlign w:val="bottom"/>
            <w:tcBorders>
              <w:left w:val="single" w:sz="8" w:color="auto"/>
              <w:right w:val="single" w:sz="8" w:color="auto"/>
            </w:tcBorders>
            <w:shd w:val="clear" w:color="auto" w:fill="F0FFFF"/>
          </w:tcPr>
          <w:p>
            <w:pPr>
              <w:spacing w:after="0"/>
              <w:rPr>
                <w:sz w:val="16"/>
                <w:szCs w:val="16"/>
                <w:color w:val="auto"/>
              </w:rPr>
            </w:pPr>
          </w:p>
        </w:tc>
        <w:tc>
          <w:tcPr>
            <w:tcW w:w="6120" w:type="dxa"/>
            <w:vAlign w:val="bottom"/>
            <w:tcBorders>
              <w:right w:val="single" w:sz="8" w:color="auto"/>
            </w:tcBorders>
            <w:shd w:val="clear" w:color="auto" w:fill="F0FFFF"/>
          </w:tcPr>
          <w:p>
            <w:pPr>
              <w:ind w:left="100"/>
              <w:spacing w:after="0" w:line="189" w:lineRule="exact"/>
              <w:rPr>
                <w:sz w:val="20"/>
                <w:szCs w:val="20"/>
                <w:color w:val="auto"/>
              </w:rPr>
            </w:pPr>
            <w:r>
              <w:rPr>
                <w:rFonts w:ascii="Times New Roman" w:cs="Times New Roman" w:eastAsia="Times New Roman" w:hAnsi="Times New Roman"/>
                <w:sz w:val="18"/>
                <w:szCs w:val="18"/>
                <w:color w:val="auto"/>
              </w:rPr>
              <w:t>Performance Lock Value by the dollar amount of the withdrawal. The</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Performance Rate Adjustment and reduction (either proportionate or dollar for</w:t>
            </w:r>
          </w:p>
        </w:tc>
      </w:tr>
      <w:tr>
        <w:trPr>
          <w:trHeight w:val="203"/>
        </w:trPr>
        <w:tc>
          <w:tcPr>
            <w:tcW w:w="2140" w:type="dxa"/>
            <w:vAlign w:val="bottom"/>
            <w:tcBorders>
              <w:left w:val="single" w:sz="8" w:color="auto"/>
              <w:right w:val="single" w:sz="8" w:color="auto"/>
            </w:tcBorders>
            <w:shd w:val="clear" w:color="auto" w:fill="F0FFFF"/>
          </w:tcPr>
          <w:p>
            <w:pPr>
              <w:spacing w:after="0"/>
              <w:rPr>
                <w:sz w:val="17"/>
                <w:szCs w:val="17"/>
                <w:color w:val="auto"/>
              </w:rPr>
            </w:pPr>
          </w:p>
        </w:tc>
        <w:tc>
          <w:tcPr>
            <w:tcW w:w="6120" w:type="dxa"/>
            <w:vAlign w:val="bottom"/>
            <w:tcBorders>
              <w:right w:val="single" w:sz="8" w:color="auto"/>
            </w:tcBorders>
            <w:shd w:val="clear" w:color="auto" w:fill="F0FFFF"/>
          </w:tcPr>
          <w:p>
            <w:pPr>
              <w:ind w:left="100"/>
              <w:spacing w:after="0" w:line="202" w:lineRule="exact"/>
              <w:rPr>
                <w:sz w:val="20"/>
                <w:szCs w:val="20"/>
                <w:color w:val="auto"/>
              </w:rPr>
            </w:pPr>
            <w:r>
              <w:rPr>
                <w:rFonts w:ascii="Times New Roman" w:cs="Times New Roman" w:eastAsia="Times New Roman" w:hAnsi="Times New Roman"/>
                <w:sz w:val="18"/>
                <w:szCs w:val="18"/>
                <w:color w:val="auto"/>
              </w:rPr>
              <w:t>dollar) may be substantial. In addition, a withdrawal taken in excess of the Free</w:t>
            </w:r>
          </w:p>
        </w:tc>
      </w:tr>
      <w:tr>
        <w:trPr>
          <w:trHeight w:val="245"/>
        </w:trPr>
        <w:tc>
          <w:tcPr>
            <w:tcW w:w="2140" w:type="dxa"/>
            <w:vAlign w:val="bottom"/>
            <w:tcBorders>
              <w:left w:val="single" w:sz="8" w:color="auto"/>
              <w:bottom w:val="single" w:sz="8" w:color="auto"/>
              <w:right w:val="single" w:sz="8" w:color="auto"/>
            </w:tcBorders>
            <w:shd w:val="clear" w:color="auto" w:fill="F0FFFF"/>
          </w:tcPr>
          <w:p>
            <w:pPr>
              <w:spacing w:after="0"/>
              <w:rPr>
                <w:sz w:val="21"/>
                <w:szCs w:val="21"/>
                <w:color w:val="auto"/>
              </w:rPr>
            </w:pPr>
          </w:p>
        </w:tc>
        <w:tc>
          <w:tcPr>
            <w:tcW w:w="6120" w:type="dxa"/>
            <w:vAlign w:val="bottom"/>
            <w:tcBorders>
              <w:bottom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Withdrawal Amount may be subject to a Withdrawal Charge.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-5256530</wp:posOffset>
            </wp:positionV>
            <wp:extent cx="5229225" cy="1825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9225" cy="182562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-1604645</wp:posOffset>
            </wp:positionV>
            <wp:extent cx="522922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29225" cy="179705"/>
                    </a:xfrm>
                    <a:prstGeom prst="rect">
                      <a:avLst/>
                    </a:prstGeom>
                    <a:noFill/>
                  </pic:spPr>
                </pic:pic>
              </a:graphicData>
            </a:graphic>
          </wp:anchor>
        </w:drawing>
      </w:r>
    </w:p>
    <w:p>
      <w:pPr>
        <w:sectPr>
          <w:pgSz w:w="11900" w:h="16838" w:orient="portrait"/>
          <w:cols w:equalWidth="0" w:num="1">
            <w:col w:w="9019"/>
          </w:cols>
          <w:pgMar w:left="1440" w:top="1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372" w:right="1440" w:bottom="1440" w:gutter="0" w:footer="0" w:header="0"/>
          <w:type w:val="continuous"/>
        </w:sectPr>
      </w:pPr>
    </w:p>
    <w:bookmarkStart w:id="13" w:name="page14"/>
    <w:bookmarkEnd w:id="13"/>
    <w:tbl>
      <w:tblPr>
        <w:tblLayout w:type="fixed"/>
        <w:tblInd w:w="120" w:type="dxa"/>
        <w:tblCellMar>
          <w:top w:w="0" w:type="dxa"/>
          <w:left w:w="0" w:type="dxa"/>
          <w:bottom w:w="0" w:type="dxa"/>
          <w:right w:w="0" w:type="dxa"/>
        </w:tblCellMar>
      </w:tblPr>
      <w:tr>
        <w:trPr>
          <w:trHeight w:val="211"/>
        </w:trPr>
        <w:tc>
          <w:tcPr>
            <w:tcW w:w="20" w:type="dxa"/>
            <w:vAlign w:val="bottom"/>
            <w:tcBorders>
              <w:top w:val="single" w:sz="8" w:color="auto"/>
            </w:tcBorders>
            <w:shd w:val="clear" w:color="auto" w:fill="000000"/>
          </w:tcPr>
          <w:p>
            <w:pPr>
              <w:spacing w:after="0"/>
              <w:rPr>
                <w:sz w:val="18"/>
                <w:szCs w:val="18"/>
                <w:color w:val="auto"/>
              </w:rPr>
            </w:pPr>
          </w:p>
        </w:tc>
        <w:tc>
          <w:tcPr>
            <w:tcW w:w="18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Withdrawal Charge</w:t>
            </w:r>
          </w:p>
        </w:tc>
        <w:tc>
          <w:tcPr>
            <w:tcW w:w="400" w:type="dxa"/>
            <w:vAlign w:val="bottom"/>
            <w:tcBorders>
              <w:top w:val="single" w:sz="8" w:color="auto"/>
              <w:right w:val="single" w:sz="8" w:color="auto"/>
            </w:tcBorders>
          </w:tcPr>
          <w:p>
            <w:pPr>
              <w:spacing w:after="0"/>
              <w:rPr>
                <w:sz w:val="18"/>
                <w:szCs w:val="18"/>
                <w:color w:val="auto"/>
              </w:rPr>
            </w:pPr>
          </w:p>
        </w:tc>
        <w:tc>
          <w:tcPr>
            <w:tcW w:w="600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 percentage charge applied to withdrawals in excess of the Free Withdrawal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shd w:val="clear" w:color="auto" w:fill="000000"/>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000" w:type="dxa"/>
            <w:vAlign w:val="bottom"/>
            <w:tcBorders>
              <w:right w:val="single" w:sz="8" w:color="auto"/>
            </w:tcBorders>
            <w:gridSpan w:val="4"/>
          </w:tcPr>
          <w:p>
            <w:pPr>
              <w:ind w:left="80"/>
              <w:spacing w:after="0" w:line="189" w:lineRule="exact"/>
              <w:rPr>
                <w:sz w:val="20"/>
                <w:szCs w:val="20"/>
                <w:color w:val="auto"/>
              </w:rPr>
            </w:pPr>
            <w:r>
              <w:rPr>
                <w:rFonts w:ascii="Times New Roman" w:cs="Times New Roman" w:eastAsia="Times New Roman" w:hAnsi="Times New Roman"/>
                <w:sz w:val="18"/>
                <w:szCs w:val="18"/>
                <w:color w:val="auto"/>
              </w:rPr>
              <w:t>Amount.The Free Withdrawal Amount is 0% in the first Contract Year, and 10%</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shd w:val="clear" w:color="auto" w:fill="000000"/>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6000" w:type="dxa"/>
            <w:vAlign w:val="bottom"/>
            <w:tcBorders>
              <w:right w:val="single" w:sz="8" w:color="auto"/>
            </w:tcBorders>
            <w:gridSpan w:val="4"/>
          </w:tcPr>
          <w:p>
            <w:pPr>
              <w:ind w:left="80"/>
              <w:spacing w:after="0" w:line="202" w:lineRule="exact"/>
              <w:rPr>
                <w:sz w:val="20"/>
                <w:szCs w:val="20"/>
                <w:color w:val="auto"/>
              </w:rPr>
            </w:pPr>
            <w:r>
              <w:rPr>
                <w:rFonts w:ascii="Times New Roman" w:cs="Times New Roman" w:eastAsia="Times New Roman" w:hAnsi="Times New Roman"/>
                <w:sz w:val="18"/>
                <w:szCs w:val="18"/>
                <w:color w:val="auto"/>
              </w:rPr>
              <w:t>of Account Value in each subsequent Contract Year to the extent that amount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000000"/>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6000" w:type="dxa"/>
            <w:vAlign w:val="bottom"/>
            <w:tcBorders>
              <w:right w:val="single" w:sz="8" w:color="auto"/>
            </w:tcBorders>
            <w:gridSpan w:val="4"/>
          </w:tcPr>
          <w:p>
            <w:pPr>
              <w:ind w:left="80"/>
              <w:spacing w:after="0" w:line="202" w:lineRule="exact"/>
              <w:rPr>
                <w:sz w:val="20"/>
                <w:szCs w:val="20"/>
                <w:color w:val="auto"/>
              </w:rPr>
            </w:pPr>
            <w:r>
              <w:rPr>
                <w:rFonts w:ascii="Times New Roman" w:cs="Times New Roman" w:eastAsia="Times New Roman" w:hAnsi="Times New Roman"/>
                <w:sz w:val="18"/>
                <w:szCs w:val="18"/>
                <w:color w:val="auto"/>
              </w:rPr>
              <w:t>has not already been withdrawn that Contract Year.The Withdrawal Charge is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20" w:type="dxa"/>
            <w:vAlign w:val="bottom"/>
            <w:shd w:val="clear" w:color="auto" w:fill="000000"/>
          </w:tcPr>
          <w:p>
            <w:pPr>
              <w:spacing w:after="0"/>
              <w:rPr>
                <w:sz w:val="21"/>
                <w:szCs w:val="21"/>
                <w:color w:val="auto"/>
              </w:rPr>
            </w:pPr>
          </w:p>
        </w:tc>
        <w:tc>
          <w:tcPr>
            <w:tcW w:w="18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60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calculated at the time of each withdrawal in accordance with the following:</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1"/>
        </w:trPr>
        <w:tc>
          <w:tcPr>
            <w:tcW w:w="20" w:type="dxa"/>
            <w:vAlign w:val="bottom"/>
            <w:tcBorders>
              <w:bottom w:val="single" w:sz="8" w:color="auto"/>
            </w:tcBorders>
            <w:shd w:val="clear" w:color="auto" w:fill="000000"/>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45"/>
        </w:trPr>
        <w:tc>
          <w:tcPr>
            <w:tcW w:w="20" w:type="dxa"/>
            <w:vAlign w:val="bottom"/>
            <w:shd w:val="clear" w:color="auto" w:fill="000000"/>
          </w:tcPr>
          <w:p>
            <w:pPr>
              <w:spacing w:after="0"/>
              <w:rPr>
                <w:sz w:val="21"/>
                <w:szCs w:val="21"/>
                <w:color w:val="auto"/>
              </w:rPr>
            </w:pPr>
          </w:p>
        </w:tc>
        <w:tc>
          <w:tcPr>
            <w:tcW w:w="1840" w:type="dxa"/>
            <w:vAlign w:val="bottom"/>
            <w:tcBorders>
              <w:right w:val="single" w:sz="8" w:color="auto"/>
            </w:tcBorders>
            <w:shd w:val="clear" w:color="auto" w:fill="F0FFFF"/>
          </w:tcPr>
          <w:p>
            <w:pPr>
              <w:spacing w:after="0"/>
              <w:rPr>
                <w:sz w:val="21"/>
                <w:szCs w:val="21"/>
                <w:color w:val="auto"/>
              </w:rPr>
            </w:pPr>
          </w:p>
        </w:tc>
        <w:tc>
          <w:tcPr>
            <w:tcW w:w="400" w:type="dxa"/>
            <w:vAlign w:val="bottom"/>
            <w:tcBorders>
              <w:right w:val="single" w:sz="8" w:color="F0FFFF"/>
            </w:tcBorders>
            <w:shd w:val="clear" w:color="auto" w:fill="F0FFFF"/>
          </w:tcPr>
          <w:p>
            <w:pPr>
              <w:spacing w:after="0"/>
              <w:rPr>
                <w:sz w:val="21"/>
                <w:szCs w:val="21"/>
                <w:color w:val="auto"/>
              </w:rPr>
            </w:pPr>
          </w:p>
        </w:tc>
        <w:tc>
          <w:tcPr>
            <w:tcW w:w="1200" w:type="dxa"/>
            <w:vAlign w:val="bottom"/>
            <w:tcBorders>
              <w:right w:val="single" w:sz="8" w:color="auto"/>
            </w:tcBorders>
            <w:shd w:val="clear" w:color="auto" w:fill="F0FFFF"/>
          </w:tcPr>
          <w:p>
            <w:pPr>
              <w:spacing w:after="0"/>
              <w:rPr>
                <w:sz w:val="21"/>
                <w:szCs w:val="21"/>
                <w:color w:val="auto"/>
              </w:rPr>
            </w:pPr>
          </w:p>
        </w:tc>
        <w:tc>
          <w:tcPr>
            <w:tcW w:w="160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20" w:type="dxa"/>
            <w:vAlign w:val="bottom"/>
            <w:tcBorders>
              <w:right w:val="single" w:sz="8" w:color="auto"/>
            </w:tcBorders>
            <w:shd w:val="clear" w:color="auto" w:fill="F0FFFF"/>
          </w:tcPr>
          <w:p>
            <w:pPr>
              <w:spacing w:after="0"/>
              <w:rPr>
                <w:sz w:val="21"/>
                <w:szCs w:val="21"/>
                <w:color w:val="auto"/>
              </w:rPr>
            </w:pPr>
          </w:p>
        </w:tc>
        <w:tc>
          <w:tcPr>
            <w:tcW w:w="1580" w:type="dxa"/>
            <w:vAlign w:val="bottom"/>
            <w:tcBorders>
              <w:right w:val="single" w:sz="8" w:color="auto"/>
            </w:tcBorders>
            <w:shd w:val="clear" w:color="auto" w:fill="F0FFFF"/>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20" w:type="dxa"/>
            <w:vAlign w:val="bottom"/>
            <w:shd w:val="clear" w:color="auto" w:fill="000000"/>
          </w:tcPr>
          <w:p>
            <w:pPr>
              <w:spacing w:after="0"/>
              <w:rPr>
                <w:sz w:val="16"/>
                <w:szCs w:val="16"/>
                <w:color w:val="auto"/>
              </w:rPr>
            </w:pPr>
          </w:p>
        </w:tc>
        <w:tc>
          <w:tcPr>
            <w:tcW w:w="1840" w:type="dxa"/>
            <w:vAlign w:val="bottom"/>
            <w:tcBorders>
              <w:right w:val="single" w:sz="8" w:color="auto"/>
            </w:tcBorders>
            <w:shd w:val="clear" w:color="auto" w:fill="F0FFFF"/>
          </w:tcPr>
          <w:p>
            <w:pPr>
              <w:spacing w:after="0"/>
              <w:rPr>
                <w:sz w:val="16"/>
                <w:szCs w:val="16"/>
                <w:color w:val="auto"/>
              </w:rPr>
            </w:pPr>
          </w:p>
        </w:tc>
        <w:tc>
          <w:tcPr>
            <w:tcW w:w="400" w:type="dxa"/>
            <w:vAlign w:val="bottom"/>
            <w:tcBorders>
              <w:right w:val="single" w:sz="8" w:color="F0FFFF"/>
            </w:tcBorders>
            <w:shd w:val="clear" w:color="auto" w:fill="F0FFFF"/>
          </w:tcPr>
          <w:p>
            <w:pPr>
              <w:spacing w:after="0"/>
              <w:rPr>
                <w:sz w:val="16"/>
                <w:szCs w:val="16"/>
                <w:color w:val="auto"/>
              </w:rPr>
            </w:pPr>
          </w:p>
        </w:tc>
        <w:tc>
          <w:tcPr>
            <w:tcW w:w="1200" w:type="dxa"/>
            <w:vAlign w:val="bottom"/>
            <w:tcBorders>
              <w:right w:val="single" w:sz="8" w:color="auto"/>
            </w:tcBorders>
            <w:shd w:val="clear" w:color="auto" w:fill="F0FFFF"/>
          </w:tcPr>
          <w:p>
            <w:pPr>
              <w:spacing w:after="0"/>
              <w:rPr>
                <w:sz w:val="16"/>
                <w:szCs w:val="16"/>
                <w:color w:val="auto"/>
              </w:rPr>
            </w:pPr>
          </w:p>
        </w:tc>
        <w:tc>
          <w:tcPr>
            <w:tcW w:w="160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Complete</w:t>
            </w:r>
          </w:p>
        </w:tc>
        <w:tc>
          <w:tcPr>
            <w:tcW w:w="162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shd w:val="clear" w:color="auto" w:fill="000000"/>
          </w:tcPr>
          <w:p>
            <w:pPr>
              <w:spacing w:after="0"/>
              <w:rPr>
                <w:sz w:val="17"/>
                <w:szCs w:val="17"/>
                <w:color w:val="auto"/>
              </w:rPr>
            </w:pPr>
          </w:p>
        </w:tc>
        <w:tc>
          <w:tcPr>
            <w:tcW w:w="1840" w:type="dxa"/>
            <w:vAlign w:val="bottom"/>
            <w:tcBorders>
              <w:right w:val="single" w:sz="8" w:color="auto"/>
            </w:tcBorders>
            <w:shd w:val="clear" w:color="auto" w:fill="F0FFFF"/>
          </w:tcPr>
          <w:p>
            <w:pPr>
              <w:spacing w:after="0"/>
              <w:rPr>
                <w:sz w:val="17"/>
                <w:szCs w:val="17"/>
                <w:color w:val="auto"/>
              </w:rPr>
            </w:pPr>
          </w:p>
        </w:tc>
        <w:tc>
          <w:tcPr>
            <w:tcW w:w="400" w:type="dxa"/>
            <w:vAlign w:val="bottom"/>
            <w:tcBorders>
              <w:right w:val="single" w:sz="8" w:color="F0FFFF"/>
            </w:tcBorders>
            <w:shd w:val="clear" w:color="auto" w:fill="F0FFFF"/>
          </w:tcPr>
          <w:p>
            <w:pPr>
              <w:spacing w:after="0"/>
              <w:rPr>
                <w:sz w:val="17"/>
                <w:szCs w:val="17"/>
                <w:color w:val="auto"/>
              </w:rPr>
            </w:pPr>
          </w:p>
        </w:tc>
        <w:tc>
          <w:tcPr>
            <w:tcW w:w="1200" w:type="dxa"/>
            <w:vAlign w:val="bottom"/>
            <w:tcBorders>
              <w:right w:val="single" w:sz="8" w:color="auto"/>
            </w:tcBorders>
            <w:shd w:val="clear" w:color="auto" w:fill="F0FFFF"/>
          </w:tcPr>
          <w:p>
            <w:pPr>
              <w:spacing w:after="0"/>
              <w:rPr>
                <w:sz w:val="17"/>
                <w:szCs w:val="17"/>
                <w:color w:val="auto"/>
              </w:rPr>
            </w:pPr>
          </w:p>
        </w:tc>
        <w:tc>
          <w:tcPr>
            <w:tcW w:w="1600" w:type="dxa"/>
            <w:vAlign w:val="bottom"/>
            <w:tcBorders>
              <w:right w:val="single" w:sz="8" w:color="auto"/>
            </w:tcBorders>
            <w:shd w:val="clear" w:color="auto" w:fill="F0FF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Contract</w:t>
            </w:r>
          </w:p>
        </w:tc>
        <w:tc>
          <w:tcPr>
            <w:tcW w:w="1620" w:type="dxa"/>
            <w:vAlign w:val="bottom"/>
            <w:tcBorders>
              <w:right w:val="single" w:sz="8" w:color="auto"/>
            </w:tcBorders>
            <w:shd w:val="clear" w:color="auto" w:fill="F0FFFF"/>
          </w:tcPr>
          <w:p>
            <w:pPr>
              <w:jc w:val="center"/>
              <w:spacing w:after="0" w:line="202" w:lineRule="exact"/>
              <w:rPr>
                <w:sz w:val="20"/>
                <w:szCs w:val="20"/>
                <w:color w:val="auto"/>
              </w:rPr>
            </w:pPr>
            <w:r>
              <w:rPr>
                <w:rFonts w:ascii="Times New Roman" w:cs="Times New Roman" w:eastAsia="Times New Roman" w:hAnsi="Times New Roman"/>
                <w:sz w:val="18"/>
                <w:szCs w:val="18"/>
                <w:color w:val="auto"/>
              </w:rPr>
              <w:t>Withdrawal</w:t>
            </w:r>
          </w:p>
        </w:tc>
        <w:tc>
          <w:tcPr>
            <w:tcW w:w="1580" w:type="dxa"/>
            <w:vAlign w:val="bottom"/>
            <w:tcBorders>
              <w:right w:val="single" w:sz="8" w:color="auto"/>
            </w:tcBorders>
            <w:shd w:val="clear" w:color="auto" w:fill="F0FFFF"/>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shd w:val="clear" w:color="auto" w:fill="000000"/>
          </w:tcPr>
          <w:p>
            <w:pPr>
              <w:spacing w:after="0"/>
              <w:rPr>
                <w:sz w:val="16"/>
                <w:szCs w:val="16"/>
                <w:color w:val="auto"/>
              </w:rPr>
            </w:pPr>
          </w:p>
        </w:tc>
        <w:tc>
          <w:tcPr>
            <w:tcW w:w="1840" w:type="dxa"/>
            <w:vAlign w:val="bottom"/>
            <w:tcBorders>
              <w:right w:val="single" w:sz="8" w:color="auto"/>
            </w:tcBorders>
            <w:shd w:val="clear" w:color="auto" w:fill="F0FFFF"/>
          </w:tcPr>
          <w:p>
            <w:pPr>
              <w:spacing w:after="0"/>
              <w:rPr>
                <w:sz w:val="16"/>
                <w:szCs w:val="16"/>
                <w:color w:val="auto"/>
              </w:rPr>
            </w:pPr>
          </w:p>
        </w:tc>
        <w:tc>
          <w:tcPr>
            <w:tcW w:w="400" w:type="dxa"/>
            <w:vAlign w:val="bottom"/>
            <w:tcBorders>
              <w:right w:val="single" w:sz="8" w:color="F0FFFF"/>
            </w:tcBorders>
            <w:shd w:val="clear" w:color="auto" w:fill="F0FFFF"/>
          </w:tcPr>
          <w:p>
            <w:pPr>
              <w:spacing w:after="0"/>
              <w:rPr>
                <w:sz w:val="16"/>
                <w:szCs w:val="16"/>
                <w:color w:val="auto"/>
              </w:rPr>
            </w:pPr>
          </w:p>
        </w:tc>
        <w:tc>
          <w:tcPr>
            <w:tcW w:w="1200" w:type="dxa"/>
            <w:vAlign w:val="bottom"/>
            <w:tcBorders>
              <w:right w:val="single" w:sz="8" w:color="auto"/>
            </w:tcBorders>
            <w:shd w:val="clear" w:color="auto" w:fill="F0FFFF"/>
          </w:tcPr>
          <w:p>
            <w:pPr>
              <w:spacing w:after="0"/>
              <w:rPr>
                <w:sz w:val="16"/>
                <w:szCs w:val="16"/>
                <w:color w:val="auto"/>
              </w:rPr>
            </w:pPr>
          </w:p>
        </w:tc>
        <w:tc>
          <w:tcPr>
            <w:tcW w:w="160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Years since Issue</w:t>
            </w:r>
          </w:p>
        </w:tc>
        <w:tc>
          <w:tcPr>
            <w:tcW w:w="1620" w:type="dxa"/>
            <w:vAlign w:val="bottom"/>
            <w:tcBorders>
              <w:right w:val="single" w:sz="8" w:color="auto"/>
            </w:tcBorders>
            <w:shd w:val="clear" w:color="auto" w:fill="F0FF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Charge</w:t>
            </w:r>
          </w:p>
        </w:tc>
        <w:tc>
          <w:tcPr>
            <w:tcW w:w="1580" w:type="dxa"/>
            <w:vAlign w:val="bottom"/>
            <w:tcBorders>
              <w:right w:val="single" w:sz="8" w:color="auto"/>
            </w:tcBorders>
            <w:shd w:val="clear" w:color="auto" w:fill="F0FFFF"/>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20" w:type="dxa"/>
            <w:vAlign w:val="bottom"/>
            <w:tcBorders>
              <w:bottom w:val="single" w:sz="8" w:color="auto"/>
            </w:tcBorders>
            <w:shd w:val="clear" w:color="auto" w:fill="000000"/>
          </w:tcPr>
          <w:p>
            <w:pPr>
              <w:spacing w:after="0"/>
              <w:rPr>
                <w:sz w:val="22"/>
                <w:szCs w:val="22"/>
                <w:color w:val="auto"/>
              </w:rPr>
            </w:pPr>
          </w:p>
        </w:tc>
        <w:tc>
          <w:tcPr>
            <w:tcW w:w="1840" w:type="dxa"/>
            <w:vAlign w:val="bottom"/>
            <w:tcBorders>
              <w:bottom w:val="single" w:sz="8" w:color="F0FFFF"/>
              <w:right w:val="single" w:sz="8" w:color="auto"/>
            </w:tcBorders>
            <w:shd w:val="clear" w:color="auto" w:fill="F0FFFF"/>
          </w:tcPr>
          <w:p>
            <w:pPr>
              <w:spacing w:after="0"/>
              <w:rPr>
                <w:sz w:val="22"/>
                <w:szCs w:val="22"/>
                <w:color w:val="auto"/>
              </w:rPr>
            </w:pPr>
          </w:p>
        </w:tc>
        <w:tc>
          <w:tcPr>
            <w:tcW w:w="400" w:type="dxa"/>
            <w:vAlign w:val="bottom"/>
            <w:tcBorders>
              <w:bottom w:val="single" w:sz="8" w:color="F0FFFF"/>
              <w:right w:val="single" w:sz="8" w:color="F0FFFF"/>
            </w:tcBorders>
            <w:shd w:val="clear" w:color="auto" w:fill="F0FFFF"/>
          </w:tcPr>
          <w:p>
            <w:pPr>
              <w:spacing w:after="0"/>
              <w:rPr>
                <w:sz w:val="22"/>
                <w:szCs w:val="22"/>
                <w:color w:val="auto"/>
              </w:rPr>
            </w:pPr>
          </w:p>
        </w:tc>
        <w:tc>
          <w:tcPr>
            <w:tcW w:w="1200" w:type="dxa"/>
            <w:vAlign w:val="bottom"/>
            <w:tcBorders>
              <w:bottom w:val="single" w:sz="8" w:color="F0FFFF"/>
              <w:right w:val="single" w:sz="8" w:color="auto"/>
            </w:tcBorders>
            <w:shd w:val="clear" w:color="auto" w:fill="F0FFFF"/>
          </w:tcPr>
          <w:p>
            <w:pPr>
              <w:spacing w:after="0"/>
              <w:rPr>
                <w:sz w:val="22"/>
                <w:szCs w:val="22"/>
                <w:color w:val="auto"/>
              </w:rPr>
            </w:pPr>
          </w:p>
        </w:tc>
        <w:tc>
          <w:tcPr>
            <w:tcW w:w="16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6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percentage</w:t>
            </w:r>
          </w:p>
        </w:tc>
        <w:tc>
          <w:tcPr>
            <w:tcW w:w="1580" w:type="dxa"/>
            <w:vAlign w:val="bottom"/>
            <w:tcBorders>
              <w:bottom w:val="single" w:sz="8" w:color="F0FFFF"/>
              <w:right w:val="single" w:sz="8" w:color="auto"/>
            </w:tcBorders>
            <w:shd w:val="clear" w:color="auto" w:fill="F0FFFF"/>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20" w:type="dxa"/>
            <w:vAlign w:val="bottom"/>
            <w:shd w:val="clear" w:color="auto" w:fill="000000"/>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gridSpan w:val="2"/>
          </w:tcPr>
          <w:p>
            <w:pPr>
              <w:spacing w:after="0"/>
              <w:rPr>
                <w:sz w:val="24"/>
                <w:szCs w:val="24"/>
                <w:color w:val="auto"/>
              </w:rPr>
            </w:pP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tcBorders>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20" w:type="dxa"/>
            <w:vAlign w:val="bottom"/>
            <w:tcBorders>
              <w:bottom w:val="single" w:sz="8" w:color="auto"/>
            </w:tcBorders>
            <w:shd w:val="clear" w:color="auto" w:fill="000000"/>
          </w:tcPr>
          <w:p>
            <w:pPr>
              <w:spacing w:after="0"/>
              <w:rPr>
                <w:sz w:val="24"/>
                <w:szCs w:val="24"/>
                <w:color w:val="auto"/>
              </w:rPr>
            </w:pPr>
          </w:p>
        </w:tc>
        <w:tc>
          <w:tcPr>
            <w:tcW w:w="184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gridSpan w:val="2"/>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20" w:type="dxa"/>
            <w:vAlign w:val="bottom"/>
            <w:tcBorders>
              <w:top w:val="single" w:sz="8" w:color="auto"/>
            </w:tcBorders>
            <w:shd w:val="clear" w:color="auto" w:fill="000000"/>
          </w:tcPr>
          <w:p>
            <w:pPr>
              <w:spacing w:after="0"/>
              <w:rPr>
                <w:sz w:val="24"/>
                <w:szCs w:val="24"/>
                <w:color w:val="auto"/>
              </w:rPr>
            </w:pPr>
          </w:p>
        </w:tc>
        <w:tc>
          <w:tcPr>
            <w:tcW w:w="184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F0FFFF"/>
              <w:right w:val="single" w:sz="8" w:color="auto"/>
            </w:tcBorders>
            <w:gridSpan w:val="2"/>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Borders>
              <w:top w:val="single" w:sz="8" w:color="F0FFFF"/>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20" w:type="dxa"/>
            <w:vAlign w:val="bottom"/>
            <w:tcBorders>
              <w:bottom w:val="single" w:sz="8" w:color="auto"/>
            </w:tcBorders>
            <w:shd w:val="clear" w:color="auto" w:fill="000000"/>
          </w:tcPr>
          <w:p>
            <w:pPr>
              <w:spacing w:after="0"/>
              <w:rPr>
                <w:sz w:val="24"/>
                <w:szCs w:val="24"/>
                <w:color w:val="auto"/>
              </w:rPr>
            </w:pPr>
          </w:p>
        </w:tc>
        <w:tc>
          <w:tcPr>
            <w:tcW w:w="184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gridSpan w:val="2"/>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20" w:type="dxa"/>
            <w:vAlign w:val="bottom"/>
            <w:tcBorders>
              <w:top w:val="single" w:sz="8" w:color="auto"/>
            </w:tcBorders>
            <w:shd w:val="clear" w:color="auto" w:fill="000000"/>
          </w:tcPr>
          <w:p>
            <w:pPr>
              <w:spacing w:after="0"/>
              <w:rPr>
                <w:sz w:val="24"/>
                <w:szCs w:val="24"/>
                <w:color w:val="auto"/>
              </w:rPr>
            </w:pPr>
          </w:p>
        </w:tc>
        <w:tc>
          <w:tcPr>
            <w:tcW w:w="184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F0FFFF"/>
              <w:right w:val="single" w:sz="8" w:color="auto"/>
            </w:tcBorders>
            <w:gridSpan w:val="2"/>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tcBorders>
              <w:top w:val="single" w:sz="8" w:color="F0FFFF"/>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20" w:type="dxa"/>
            <w:vAlign w:val="bottom"/>
            <w:tcBorders>
              <w:bottom w:val="single" w:sz="8" w:color="auto"/>
            </w:tcBorders>
            <w:shd w:val="clear" w:color="auto" w:fill="000000"/>
          </w:tcPr>
          <w:p>
            <w:pPr>
              <w:spacing w:after="0"/>
              <w:rPr>
                <w:sz w:val="24"/>
                <w:szCs w:val="24"/>
                <w:color w:val="auto"/>
              </w:rPr>
            </w:pPr>
          </w:p>
        </w:tc>
        <w:tc>
          <w:tcPr>
            <w:tcW w:w="1840" w:type="dxa"/>
            <w:vAlign w:val="bottom"/>
            <w:tcBorders>
              <w:bottom w:val="single" w:sz="8" w:color="F0FFFF"/>
              <w:right w:val="single" w:sz="8" w:color="auto"/>
            </w:tcBorders>
            <w:shd w:val="clear" w:color="auto" w:fill="F0FFFF"/>
          </w:tcPr>
          <w:p>
            <w:pPr>
              <w:spacing w:after="0"/>
              <w:rPr>
                <w:sz w:val="24"/>
                <w:szCs w:val="24"/>
                <w:color w:val="auto"/>
              </w:rPr>
            </w:pPr>
          </w:p>
        </w:tc>
        <w:tc>
          <w:tcPr>
            <w:tcW w:w="1600" w:type="dxa"/>
            <w:vAlign w:val="bottom"/>
            <w:tcBorders>
              <w:bottom w:val="single" w:sz="8" w:color="F0FFFF"/>
              <w:right w:val="single" w:sz="8" w:color="auto"/>
            </w:tcBorders>
            <w:gridSpan w:val="2"/>
            <w:shd w:val="clear" w:color="auto" w:fill="F0FFFF"/>
          </w:tcPr>
          <w:p>
            <w:pPr>
              <w:spacing w:after="0"/>
              <w:rPr>
                <w:sz w:val="24"/>
                <w:szCs w:val="24"/>
                <w:color w:val="auto"/>
              </w:rPr>
            </w:pPr>
          </w:p>
        </w:tc>
        <w:tc>
          <w:tcPr>
            <w:tcW w:w="16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tcBorders>
              <w:bottom w:val="single" w:sz="8" w:color="F0FFFF"/>
              <w:right w:val="single" w:sz="8" w:color="auto"/>
            </w:tcBorders>
            <w:shd w:val="clear" w:color="auto" w:fill="F0FFFF"/>
          </w:tcPr>
          <w:p>
            <w:pPr>
              <w:jc w:val="right"/>
              <w:ind w:right="119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20" w:type="dxa"/>
            <w:vAlign w:val="bottom"/>
            <w:tcBorders>
              <w:top w:val="single" w:sz="8" w:color="auto"/>
            </w:tcBorders>
            <w:shd w:val="clear" w:color="auto" w:fill="000000"/>
          </w:tcPr>
          <w:p>
            <w:pPr>
              <w:spacing w:after="0"/>
              <w:rPr>
                <w:sz w:val="24"/>
                <w:szCs w:val="24"/>
                <w:color w:val="auto"/>
              </w:rPr>
            </w:pPr>
          </w:p>
        </w:tc>
        <w:tc>
          <w:tcPr>
            <w:tcW w:w="1840" w:type="dxa"/>
            <w:vAlign w:val="bottom"/>
            <w:tcBorders>
              <w:top w:val="single" w:sz="8" w:color="F0FFFF"/>
              <w:right w:val="single" w:sz="8" w:color="auto"/>
            </w:tcBorders>
          </w:tcPr>
          <w:p>
            <w:pPr>
              <w:spacing w:after="0"/>
              <w:rPr>
                <w:sz w:val="24"/>
                <w:szCs w:val="24"/>
                <w:color w:val="auto"/>
              </w:rPr>
            </w:pPr>
          </w:p>
        </w:tc>
        <w:tc>
          <w:tcPr>
            <w:tcW w:w="400" w:type="dxa"/>
            <w:vAlign w:val="bottom"/>
            <w:tcBorders>
              <w:top w:val="single" w:sz="8" w:color="F0FFFF"/>
            </w:tcBorders>
          </w:tcPr>
          <w:p>
            <w:pPr>
              <w:spacing w:after="0"/>
              <w:rPr>
                <w:sz w:val="24"/>
                <w:szCs w:val="24"/>
                <w:color w:val="auto"/>
              </w:rPr>
            </w:pPr>
          </w:p>
        </w:tc>
        <w:tc>
          <w:tcPr>
            <w:tcW w:w="1200" w:type="dxa"/>
            <w:vAlign w:val="bottom"/>
            <w:tcBorders>
              <w:top w:val="single" w:sz="8" w:color="F0FFFF"/>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 or more</w:t>
            </w:r>
          </w:p>
        </w:tc>
        <w:tc>
          <w:tcPr>
            <w:tcW w:w="1620" w:type="dxa"/>
            <w:vAlign w:val="bottom"/>
            <w:tcBorders>
              <w:top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top w:val="single" w:sz="8" w:color="F0FFFF"/>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13"/>
        </w:trPr>
        <w:tc>
          <w:tcPr>
            <w:tcW w:w="20" w:type="dxa"/>
            <w:vAlign w:val="bottom"/>
            <w:shd w:val="clear" w:color="auto" w:fill="000000"/>
          </w:tcPr>
          <w:p>
            <w:pPr>
              <w:spacing w:after="0"/>
              <w:rPr>
                <w:sz w:val="24"/>
                <w:szCs w:val="24"/>
                <w:color w:val="auto"/>
              </w:rPr>
            </w:pPr>
          </w:p>
        </w:tc>
        <w:tc>
          <w:tcPr>
            <w:tcW w:w="1840" w:type="dxa"/>
            <w:vAlign w:val="bottom"/>
            <w:tcBorders>
              <w:right w:val="single" w:sz="8" w:color="auto"/>
            </w:tcBorders>
            <w:shd w:val="clear" w:color="auto" w:fill="F0FFFF"/>
          </w:tcPr>
          <w:p>
            <w:pPr>
              <w:spacing w:after="0"/>
              <w:rPr>
                <w:sz w:val="24"/>
                <w:szCs w:val="24"/>
                <w:color w:val="auto"/>
              </w:rPr>
            </w:pPr>
          </w:p>
        </w:tc>
        <w:tc>
          <w:tcPr>
            <w:tcW w:w="6400" w:type="dxa"/>
            <w:vAlign w:val="bottom"/>
            <w:tcBorders>
              <w:right w:val="single" w:sz="8" w:color="auto"/>
            </w:tcBorders>
            <w:gridSpan w:val="5"/>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See “WITHDRAWAL PROVISIONS — When No Withdrawal Charge Applies” for a</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20" w:type="dxa"/>
            <w:vAlign w:val="bottom"/>
            <w:tcBorders>
              <w:bottom w:val="single" w:sz="8" w:color="auto"/>
            </w:tcBorders>
            <w:shd w:val="clear" w:color="auto" w:fill="000000"/>
          </w:tcPr>
          <w:p>
            <w:pPr>
              <w:spacing w:after="0"/>
              <w:rPr>
                <w:sz w:val="24"/>
                <w:szCs w:val="24"/>
                <w:color w:val="auto"/>
              </w:rPr>
            </w:pPr>
          </w:p>
        </w:tc>
        <w:tc>
          <w:tcPr>
            <w:tcW w:w="1840" w:type="dxa"/>
            <w:vAlign w:val="bottom"/>
            <w:tcBorders>
              <w:bottom w:val="single" w:sz="8" w:color="F0FFFF"/>
              <w:right w:val="single" w:sz="8" w:color="auto"/>
            </w:tcBorders>
            <w:shd w:val="clear" w:color="auto" w:fill="F0FFFF"/>
          </w:tcPr>
          <w:p>
            <w:pPr>
              <w:spacing w:after="0"/>
              <w:rPr>
                <w:sz w:val="24"/>
                <w:szCs w:val="24"/>
                <w:color w:val="auto"/>
              </w:rPr>
            </w:pPr>
          </w:p>
        </w:tc>
        <w:tc>
          <w:tcPr>
            <w:tcW w:w="3200" w:type="dxa"/>
            <w:vAlign w:val="bottom"/>
            <w:tcBorders>
              <w:bottom w:val="single" w:sz="8" w:color="F0FFFF"/>
              <w:right w:val="single" w:sz="8" w:color="F0FFFF"/>
            </w:tcBorders>
            <w:gridSpan w:val="3"/>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list of Withdrawal Charge waivers.</w:t>
            </w:r>
          </w:p>
        </w:tc>
        <w:tc>
          <w:tcPr>
            <w:tcW w:w="1620" w:type="dxa"/>
            <w:vAlign w:val="bottom"/>
            <w:tcBorders>
              <w:bottom w:val="single" w:sz="8" w:color="F0FFFF"/>
              <w:right w:val="single" w:sz="8" w:color="F0FFFF"/>
            </w:tcBorders>
            <w:shd w:val="clear" w:color="auto" w:fill="F0FFFF"/>
          </w:tcPr>
          <w:p>
            <w:pPr>
              <w:spacing w:after="0"/>
              <w:rPr>
                <w:sz w:val="24"/>
                <w:szCs w:val="24"/>
                <w:color w:val="auto"/>
              </w:rPr>
            </w:pPr>
          </w:p>
        </w:tc>
        <w:tc>
          <w:tcPr>
            <w:tcW w:w="1580" w:type="dxa"/>
            <w:vAlign w:val="bottom"/>
            <w:tcBorders>
              <w:bottom w:val="single" w:sz="8" w:color="F0FFFF"/>
              <w:right w:val="single" w:sz="8" w:color="auto"/>
            </w:tcBorders>
            <w:shd w:val="clear" w:color="auto" w:fill="F0FFFF"/>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20" w:type="dxa"/>
            <w:vAlign w:val="bottom"/>
            <w:tcBorders>
              <w:top w:val="single" w:sz="8" w:color="auto"/>
            </w:tcBorders>
          </w:tcPr>
          <w:p>
            <w:pPr>
              <w:spacing w:after="0"/>
              <w:rPr>
                <w:sz w:val="19"/>
                <w:szCs w:val="19"/>
                <w:color w:val="auto"/>
              </w:rPr>
            </w:pPr>
          </w:p>
        </w:tc>
        <w:tc>
          <w:tcPr>
            <w:tcW w:w="8880" w:type="dxa"/>
            <w:vAlign w:val="bottom"/>
            <w:tcBorders>
              <w:top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Systematic Withdrawal Program   You may elect the Systematic Withdrawal Program to provide automated</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processing of amounts withdrawn from your Contract, subject to program</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terms. We do not assess a charge for the program and you may terminate your</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participation in the program at any time. Withdrawals under the Systematic</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 Program are subject to the same Withdrawal Charge provisions and</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risks as any other withdrawals under the Contract. Moreover, since withdrawal</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amounts from a Shield Option will reduce the Investment Amount for that Shield</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Option by the percentage reduction in the Interim Value of that Shield Option, a</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 when Interim Value is less than the Investment Amount will cause a</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greater percentage reduction in the Investment Amount that remains in your</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Shield Option relative to the percentage reduction for the same withdrawal</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amount when Interim Value is greater than the Investment Amount. If you</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exercise Performance Lock on any Shield Option, the Performance Lock Value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for that Shield Option will be reduced by the dollar amount of any subsequent</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withdrawals. Since withdrawals under the Systematic Withdrawal Program are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automatic, you will have no control over the timing of those withdrawals. See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“WITHDRAWAL PROVISIONS – Systematic Withdrawal Program” for availability</w:t>
            </w: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and other restrictions.</w:t>
            </w: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For Owners age 81 or older at the Issue Date of the Contract, the standard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death benefit is the Account Value. For Owners age 80 or younger at the Issue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Date of the Contract, the standard death benefit (known as the Return of</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Premium death benefit) is the greater of the Account Value or your Purchase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Payment (reduced proportionally by the percentage reduction in Account Value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of the Shield Option(s), the Fixed Account, and the Holding Account for each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partial withdrawal (including any applicable Withdrawal Charge)). The Death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Benefit Amount is determined as of the end of the Business Day on which we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F0FFFF"/>
            </w:tcBorders>
            <w:shd w:val="clear" w:color="auto" w:fill="F0FFFF"/>
          </w:tcPr>
          <w:p>
            <w:pPr>
              <w:spacing w:after="0"/>
              <w:rPr>
                <w:sz w:val="18"/>
                <w:szCs w:val="18"/>
                <w:color w:val="auto"/>
              </w:rPr>
            </w:pPr>
          </w:p>
        </w:tc>
        <w:tc>
          <w:tcPr>
            <w:tcW w:w="400" w:type="dxa"/>
            <w:vAlign w:val="bottom"/>
            <w:tcBorders>
              <w:right w:val="single" w:sz="8" w:color="F0FFFF"/>
            </w:tcBorders>
            <w:shd w:val="clear" w:color="auto" w:fill="F0FFFF"/>
          </w:tcPr>
          <w:p>
            <w:pPr>
              <w:spacing w:after="0"/>
              <w:rPr>
                <w:sz w:val="18"/>
                <w:szCs w:val="18"/>
                <w:color w:val="auto"/>
              </w:rPr>
            </w:pPr>
          </w:p>
        </w:tc>
        <w:tc>
          <w:tcPr>
            <w:tcW w:w="6620" w:type="dxa"/>
            <w:vAlign w:val="bottom"/>
            <w:gridSpan w:val="5"/>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receive Notice of due proof of death and an acceptable election for the payment</w:t>
            </w:r>
          </w:p>
        </w:tc>
        <w:tc>
          <w:tcPr>
            <w:tcW w:w="20" w:type="dxa"/>
            <w:vAlign w:val="bottom"/>
          </w:tcPr>
          <w:p>
            <w:pPr>
              <w:spacing w:after="0"/>
              <w:rPr>
                <w:sz w:val="18"/>
                <w:szCs w:val="18"/>
                <w:color w:val="auto"/>
              </w:rPr>
            </w:pPr>
          </w:p>
        </w:tc>
      </w:tr>
      <w:tr>
        <w:trPr>
          <w:trHeight w:val="261"/>
        </w:trPr>
        <w:tc>
          <w:tcPr>
            <w:tcW w:w="20" w:type="dxa"/>
            <w:vAlign w:val="bottom"/>
          </w:tcPr>
          <w:p>
            <w:pPr>
              <w:spacing w:after="0"/>
              <w:rPr>
                <w:sz w:val="22"/>
                <w:szCs w:val="22"/>
                <w:color w:val="auto"/>
              </w:rPr>
            </w:pPr>
          </w:p>
        </w:tc>
        <w:tc>
          <w:tcPr>
            <w:tcW w:w="1840" w:type="dxa"/>
            <w:vAlign w:val="bottom"/>
            <w:tcBorders>
              <w:bottom w:val="single" w:sz="8" w:color="F0FFFF"/>
              <w:right w:val="single" w:sz="8" w:color="F0FFFF"/>
            </w:tcBorders>
            <w:shd w:val="clear" w:color="auto" w:fill="F0FFFF"/>
          </w:tcPr>
          <w:p>
            <w:pPr>
              <w:spacing w:after="0"/>
              <w:rPr>
                <w:sz w:val="22"/>
                <w:szCs w:val="22"/>
                <w:color w:val="auto"/>
              </w:rPr>
            </w:pPr>
          </w:p>
        </w:tc>
        <w:tc>
          <w:tcPr>
            <w:tcW w:w="400" w:type="dxa"/>
            <w:vAlign w:val="bottom"/>
            <w:tcBorders>
              <w:bottom w:val="single" w:sz="8" w:color="F0FFFF"/>
              <w:right w:val="single" w:sz="8" w:color="F0FFFF"/>
            </w:tcBorders>
            <w:shd w:val="clear" w:color="auto" w:fill="F0FFFF"/>
          </w:tcPr>
          <w:p>
            <w:pPr>
              <w:spacing w:after="0"/>
              <w:rPr>
                <w:sz w:val="22"/>
                <w:szCs w:val="22"/>
                <w:color w:val="auto"/>
              </w:rPr>
            </w:pPr>
          </w:p>
        </w:tc>
        <w:tc>
          <w:tcPr>
            <w:tcW w:w="2800" w:type="dxa"/>
            <w:vAlign w:val="bottom"/>
            <w:tcBorders>
              <w:bottom w:val="single" w:sz="8" w:color="F0FFFF"/>
              <w:right w:val="single" w:sz="8" w:color="F0FFFF"/>
            </w:tcBorders>
            <w:gridSpan w:val="2"/>
            <w:shd w:val="clear" w:color="auto" w:fill="F0FFFF"/>
          </w:tcPr>
          <w:p>
            <w:pPr>
              <w:ind w:left="400"/>
              <w:spacing w:after="0"/>
              <w:rPr>
                <w:sz w:val="20"/>
                <w:szCs w:val="20"/>
                <w:color w:val="auto"/>
              </w:rPr>
            </w:pPr>
            <w:r>
              <w:rPr>
                <w:rFonts w:ascii="Times New Roman" w:cs="Times New Roman" w:eastAsia="Times New Roman" w:hAnsi="Times New Roman"/>
                <w:sz w:val="18"/>
                <w:szCs w:val="18"/>
                <w:color w:val="auto"/>
              </w:rPr>
              <w:t>method.</w:t>
            </w:r>
          </w:p>
        </w:tc>
        <w:tc>
          <w:tcPr>
            <w:tcW w:w="1620" w:type="dxa"/>
            <w:vAlign w:val="bottom"/>
            <w:tcBorders>
              <w:bottom w:val="single" w:sz="8" w:color="F0FFFF"/>
              <w:right w:val="single" w:sz="8" w:color="F0FFFF"/>
            </w:tcBorders>
            <w:shd w:val="clear" w:color="auto" w:fill="F0FFFF"/>
          </w:tcPr>
          <w:p>
            <w:pPr>
              <w:spacing w:after="0"/>
              <w:rPr>
                <w:sz w:val="22"/>
                <w:szCs w:val="22"/>
                <w:color w:val="auto"/>
              </w:rPr>
            </w:pPr>
          </w:p>
        </w:tc>
        <w:tc>
          <w:tcPr>
            <w:tcW w:w="1580" w:type="dxa"/>
            <w:vAlign w:val="bottom"/>
            <w:tcBorders>
              <w:bottom w:val="single" w:sz="8" w:color="F0FFFF"/>
              <w:right w:val="single" w:sz="8" w:color="F0FFFF"/>
            </w:tcBorders>
            <w:shd w:val="clear" w:color="auto" w:fill="F0FFFF"/>
          </w:tcPr>
          <w:p>
            <w:pPr>
              <w:spacing w:after="0"/>
              <w:rPr>
                <w:sz w:val="22"/>
                <w:szCs w:val="22"/>
                <w:color w:val="auto"/>
              </w:rPr>
            </w:pPr>
          </w:p>
        </w:tc>
        <w:tc>
          <w:tcPr>
            <w:tcW w:w="6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191"/>
        </w:trPr>
        <w:tc>
          <w:tcPr>
            <w:tcW w:w="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Annuity Options</w:t>
            </w:r>
          </w:p>
        </w:tc>
        <w:tc>
          <w:tcPr>
            <w:tcW w:w="400" w:type="dxa"/>
            <w:vAlign w:val="bottom"/>
            <w:tcBorders>
              <w:top w:val="single" w:sz="8" w:color="auto"/>
            </w:tcBorders>
          </w:tcPr>
          <w:p>
            <w:pPr>
              <w:spacing w:after="0"/>
              <w:rPr>
                <w:sz w:val="16"/>
                <w:szCs w:val="16"/>
                <w:color w:val="auto"/>
              </w:rPr>
            </w:pPr>
          </w:p>
        </w:tc>
        <w:tc>
          <w:tcPr>
            <w:tcW w:w="6620" w:type="dxa"/>
            <w:vAlign w:val="bottom"/>
            <w:tcBorders>
              <w:top w:val="single" w:sz="8" w:color="auto"/>
            </w:tcBorders>
            <w:gridSpan w:val="5"/>
          </w:tcPr>
          <w:p>
            <w:pPr>
              <w:ind w:left="400"/>
              <w:spacing w:after="0" w:line="191" w:lineRule="exact"/>
              <w:rPr>
                <w:sz w:val="20"/>
                <w:szCs w:val="20"/>
                <w:color w:val="auto"/>
              </w:rPr>
            </w:pPr>
            <w:r>
              <w:rPr>
                <w:rFonts w:ascii="Times New Roman" w:cs="Times New Roman" w:eastAsia="Times New Roman" w:hAnsi="Times New Roman"/>
                <w:sz w:val="18"/>
                <w:szCs w:val="18"/>
                <w:color w:val="auto"/>
              </w:rPr>
              <w:t>You can choose an Annuity Option. After Annuity Payments begin, you cannot</w:t>
            </w:r>
          </w:p>
        </w:tc>
        <w:tc>
          <w:tcPr>
            <w:tcW w:w="20" w:type="dxa"/>
            <w:vAlign w:val="bottom"/>
            <w:tcBorders>
              <w:top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6"/>
          </w:tcPr>
          <w:p>
            <w:pPr>
              <w:ind w:left="400"/>
              <w:spacing w:after="0" w:line="189" w:lineRule="exact"/>
              <w:rPr>
                <w:sz w:val="20"/>
                <w:szCs w:val="20"/>
                <w:color w:val="auto"/>
              </w:rPr>
            </w:pPr>
            <w:r>
              <w:rPr>
                <w:rFonts w:ascii="Times New Roman" w:cs="Times New Roman" w:eastAsia="Times New Roman" w:hAnsi="Times New Roman"/>
                <w:sz w:val="18"/>
                <w:szCs w:val="18"/>
                <w:color w:val="auto"/>
              </w:rPr>
              <w:t>change the Annuity Option. You can choose one of the following Annuity Options</w:t>
            </w: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6"/>
          </w:tcPr>
          <w:p>
            <w:pPr>
              <w:ind w:left="400"/>
              <w:spacing w:after="0" w:line="202" w:lineRule="exact"/>
              <w:rPr>
                <w:sz w:val="20"/>
                <w:szCs w:val="20"/>
                <w:color w:val="auto"/>
              </w:rPr>
            </w:pPr>
            <w:r>
              <w:rPr>
                <w:rFonts w:ascii="Times New Roman" w:cs="Times New Roman" w:eastAsia="Times New Roman" w:hAnsi="Times New Roman"/>
                <w:sz w:val="18"/>
                <w:szCs w:val="18"/>
                <w:color w:val="auto"/>
              </w:rPr>
              <w:t>on a fixed payment basis or any other Annuity Option acceptable to us:</w:t>
            </w: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6"/>
          </w:tcPr>
          <w:p>
            <w:pPr>
              <w:ind w:left="400"/>
              <w:spacing w:after="0" w:line="202" w:lineRule="exact"/>
              <w:rPr>
                <w:sz w:val="20"/>
                <w:szCs w:val="20"/>
                <w:color w:val="auto"/>
              </w:rPr>
            </w:pPr>
            <w:r>
              <w:rPr>
                <w:rFonts w:ascii="Times New Roman" w:cs="Times New Roman" w:eastAsia="Times New Roman" w:hAnsi="Times New Roman"/>
                <w:sz w:val="18"/>
                <w:szCs w:val="18"/>
                <w:color w:val="auto"/>
              </w:rPr>
              <w:t>(i)   Life Annuity with 10 Years of Annuity Payments Guaranteed; and</w:t>
            </w: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6"/>
          </w:tcPr>
          <w:p>
            <w:pPr>
              <w:ind w:left="400"/>
              <w:spacing w:after="0" w:line="189" w:lineRule="exact"/>
              <w:rPr>
                <w:sz w:val="20"/>
                <w:szCs w:val="20"/>
                <w:color w:val="auto"/>
              </w:rPr>
            </w:pPr>
            <w:r>
              <w:rPr>
                <w:rFonts w:ascii="Times New Roman" w:cs="Times New Roman" w:eastAsia="Times New Roman" w:hAnsi="Times New Roman"/>
                <w:sz w:val="18"/>
                <w:szCs w:val="18"/>
                <w:color w:val="auto"/>
              </w:rPr>
              <w:t>(ii)  Joint and Last Survivor Annuity with 10 Years of Annuity Payments</w:t>
            </w: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Guaranteed.</w:t>
            </w:r>
          </w:p>
        </w:tc>
        <w:tc>
          <w:tcPr>
            <w:tcW w:w="1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-4700270</wp:posOffset>
            </wp:positionV>
            <wp:extent cx="5653405" cy="4916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491617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8"/>
          <w:szCs w:val="18"/>
          <w:color w:val="auto"/>
        </w:rPr>
        <w:t>The Annuity Options may be limited due to the requirements of the Code.</w:t>
      </w:r>
    </w:p>
    <w:p>
      <w:pPr>
        <w:sectPr>
          <w:pgSz w:w="11900" w:h="16838" w:orient="portrait"/>
          <w:cols w:equalWidth="0" w:num="1">
            <w:col w:w="9020"/>
          </w:cols>
          <w:pgMar w:left="1440" w:top="1375" w:right="14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20"/>
          </w:cols>
          <w:pgMar w:left="1440" w:top="1375" w:right="1439" w:bottom="1440" w:gutter="0" w:footer="0" w:header="0"/>
          <w:type w:val="continuous"/>
        </w:sectPr>
      </w:pPr>
    </w:p>
    <w:bookmarkStart w:id="14" w:name="page15"/>
    <w:bookmarkEnd w:id="14"/>
    <w:tbl>
      <w:tblPr>
        <w:tblLayout w:type="fixed"/>
        <w:tblInd w:w="130" w:type="dxa"/>
        <w:tblCellMar>
          <w:top w:w="0" w:type="dxa"/>
          <w:left w:w="0" w:type="dxa"/>
          <w:bottom w:w="0" w:type="dxa"/>
          <w:right w:w="0" w:type="dxa"/>
        </w:tblCellMar>
      </w:tblPr>
      <w:tr>
        <w:trPr>
          <w:trHeight w:val="241"/>
        </w:trPr>
        <w:tc>
          <w:tcPr>
            <w:tcW w:w="22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Charges and Expenses</w:t>
            </w:r>
          </w:p>
        </w:tc>
        <w:tc>
          <w:tcPr>
            <w:tcW w:w="60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You will bear the following charges and expenses:</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  Withdrawal Charges; and</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  Premium Tax and other taxes.</w:t>
            </w: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6040" w:type="dxa"/>
            <w:vAlign w:val="bottom"/>
            <w:tcBorders>
              <w:bottom w:val="single" w:sz="8" w:color="auto"/>
              <w:right w:val="single" w:sz="8" w:color="auto"/>
            </w:tcBorders>
          </w:tcPr>
          <w:p>
            <w:pPr>
              <w:spacing w:after="0"/>
              <w:rPr>
                <w:sz w:val="3"/>
                <w:szCs w:val="3"/>
                <w:color w:val="auto"/>
              </w:rPr>
            </w:pPr>
          </w:p>
        </w:tc>
      </w:tr>
      <w:tr>
        <w:trPr>
          <w:trHeight w:val="191"/>
        </w:trPr>
        <w:tc>
          <w:tcPr>
            <w:tcW w:w="2220" w:type="dxa"/>
            <w:vAlign w:val="bottom"/>
            <w:tcBorders>
              <w:left w:val="single" w:sz="8" w:color="auto"/>
              <w:right w:val="single" w:sz="8" w:color="auto"/>
            </w:tcBorders>
            <w:shd w:val="clear" w:color="auto" w:fill="F0FFFF"/>
          </w:tcPr>
          <w:p>
            <w:pPr>
              <w:ind w:left="100"/>
              <w:spacing w:after="0" w:line="191" w:lineRule="exact"/>
              <w:rPr>
                <w:sz w:val="20"/>
                <w:szCs w:val="20"/>
                <w:color w:val="auto"/>
              </w:rPr>
            </w:pPr>
            <w:r>
              <w:rPr>
                <w:rFonts w:ascii="Times New Roman" w:cs="Times New Roman" w:eastAsia="Times New Roman" w:hAnsi="Times New Roman"/>
                <w:sz w:val="18"/>
                <w:szCs w:val="18"/>
                <w:color w:val="auto"/>
              </w:rPr>
              <w:t>Your Right to Cancel</w:t>
            </w:r>
          </w:p>
        </w:tc>
        <w:tc>
          <w:tcPr>
            <w:tcW w:w="6040" w:type="dxa"/>
            <w:vAlign w:val="bottom"/>
            <w:tcBorders>
              <w:right w:val="single" w:sz="8" w:color="auto"/>
            </w:tcBorders>
            <w:shd w:val="clear" w:color="auto" w:fill="F0FFFF"/>
          </w:tcPr>
          <w:p>
            <w:pPr>
              <w:ind w:left="80"/>
              <w:spacing w:after="0" w:line="191" w:lineRule="exact"/>
              <w:rPr>
                <w:sz w:val="20"/>
                <w:szCs w:val="20"/>
                <w:color w:val="auto"/>
              </w:rPr>
            </w:pPr>
            <w:r>
              <w:rPr>
                <w:rFonts w:ascii="Times New Roman" w:cs="Times New Roman" w:eastAsia="Times New Roman" w:hAnsi="Times New Roman"/>
                <w:sz w:val="18"/>
                <w:szCs w:val="18"/>
                <w:color w:val="auto"/>
              </w:rPr>
              <w:t>You may cancel the Contract within 10 days after receiving it by mailing or</w:t>
            </w:r>
          </w:p>
        </w:tc>
      </w:tr>
      <w:tr>
        <w:trPr>
          <w:trHeight w:val="189"/>
        </w:trPr>
        <w:tc>
          <w:tcPr>
            <w:tcW w:w="2220" w:type="dxa"/>
            <w:vAlign w:val="bottom"/>
            <w:tcBorders>
              <w:left w:val="single" w:sz="8" w:color="auto"/>
              <w:right w:val="single" w:sz="8" w:color="auto"/>
            </w:tcBorders>
            <w:shd w:val="clear" w:color="auto" w:fill="F0FFFF"/>
          </w:tcPr>
          <w:p>
            <w:pPr>
              <w:spacing w:after="0"/>
              <w:rPr>
                <w:sz w:val="16"/>
                <w:szCs w:val="16"/>
                <w:color w:val="auto"/>
              </w:rPr>
            </w:pPr>
          </w:p>
        </w:tc>
        <w:tc>
          <w:tcPr>
            <w:tcW w:w="604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delivering the Contract to either us or the financial professional who sold it. This</w:t>
            </w:r>
          </w:p>
        </w:tc>
      </w:tr>
      <w:tr>
        <w:trPr>
          <w:trHeight w:val="203"/>
        </w:trPr>
        <w:tc>
          <w:tcPr>
            <w:tcW w:w="2220" w:type="dxa"/>
            <w:vAlign w:val="bottom"/>
            <w:tcBorders>
              <w:left w:val="single" w:sz="8" w:color="auto"/>
              <w:right w:val="single" w:sz="8" w:color="auto"/>
            </w:tcBorders>
            <w:shd w:val="clear" w:color="auto" w:fill="F0FFFF"/>
          </w:tcPr>
          <w:p>
            <w:pPr>
              <w:spacing w:after="0"/>
              <w:rPr>
                <w:sz w:val="17"/>
                <w:szCs w:val="17"/>
                <w:color w:val="auto"/>
              </w:rPr>
            </w:pPr>
          </w:p>
        </w:tc>
        <w:tc>
          <w:tcPr>
            <w:tcW w:w="60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is known as a “Free Look.” You will receive (i) whatever your Contract is worth,</w:t>
            </w:r>
          </w:p>
        </w:tc>
      </w:tr>
      <w:tr>
        <w:trPr>
          <w:trHeight w:val="203"/>
        </w:trPr>
        <w:tc>
          <w:tcPr>
            <w:tcW w:w="2220" w:type="dxa"/>
            <w:vAlign w:val="bottom"/>
            <w:tcBorders>
              <w:left w:val="single" w:sz="8" w:color="auto"/>
              <w:right w:val="single" w:sz="8" w:color="auto"/>
            </w:tcBorders>
            <w:shd w:val="clear" w:color="auto" w:fill="F0FFFF"/>
          </w:tcPr>
          <w:p>
            <w:pPr>
              <w:spacing w:after="0"/>
              <w:rPr>
                <w:sz w:val="17"/>
                <w:szCs w:val="17"/>
                <w:color w:val="auto"/>
              </w:rPr>
            </w:pPr>
          </w:p>
        </w:tc>
        <w:tc>
          <w:tcPr>
            <w:tcW w:w="60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plus (ii) the sum of all fees, taxes and charges deducted from the Purchase</w:t>
            </w:r>
          </w:p>
        </w:tc>
      </w:tr>
      <w:tr>
        <w:trPr>
          <w:trHeight w:val="189"/>
        </w:trPr>
        <w:tc>
          <w:tcPr>
            <w:tcW w:w="2220" w:type="dxa"/>
            <w:vAlign w:val="bottom"/>
            <w:tcBorders>
              <w:left w:val="single" w:sz="8" w:color="auto"/>
              <w:right w:val="single" w:sz="8" w:color="auto"/>
            </w:tcBorders>
            <w:shd w:val="clear" w:color="auto" w:fill="F0FFFF"/>
          </w:tcPr>
          <w:p>
            <w:pPr>
              <w:spacing w:after="0"/>
              <w:rPr>
                <w:sz w:val="16"/>
                <w:szCs w:val="16"/>
                <w:color w:val="auto"/>
              </w:rPr>
            </w:pPr>
          </w:p>
        </w:tc>
        <w:tc>
          <w:tcPr>
            <w:tcW w:w="604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Payment during the Free Look period, as of the effective date of the Free Look,</w:t>
            </w:r>
          </w:p>
        </w:tc>
      </w:tr>
      <w:tr>
        <w:trPr>
          <w:trHeight w:val="203"/>
        </w:trPr>
        <w:tc>
          <w:tcPr>
            <w:tcW w:w="2220" w:type="dxa"/>
            <w:vAlign w:val="bottom"/>
            <w:tcBorders>
              <w:left w:val="single" w:sz="8" w:color="auto"/>
              <w:right w:val="single" w:sz="8" w:color="auto"/>
            </w:tcBorders>
            <w:shd w:val="clear" w:color="auto" w:fill="F0FFFF"/>
          </w:tcPr>
          <w:p>
            <w:pPr>
              <w:spacing w:after="0"/>
              <w:rPr>
                <w:sz w:val="17"/>
                <w:szCs w:val="17"/>
                <w:color w:val="auto"/>
              </w:rPr>
            </w:pPr>
          </w:p>
        </w:tc>
        <w:tc>
          <w:tcPr>
            <w:tcW w:w="60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on the Business Day we receive your Contract and we will not deduct a</w:t>
            </w:r>
          </w:p>
        </w:tc>
      </w:tr>
      <w:tr>
        <w:trPr>
          <w:trHeight w:val="203"/>
        </w:trPr>
        <w:tc>
          <w:tcPr>
            <w:tcW w:w="2220" w:type="dxa"/>
            <w:vAlign w:val="bottom"/>
            <w:tcBorders>
              <w:left w:val="single" w:sz="8" w:color="auto"/>
              <w:right w:val="single" w:sz="8" w:color="auto"/>
            </w:tcBorders>
            <w:shd w:val="clear" w:color="auto" w:fill="F0FFFF"/>
          </w:tcPr>
          <w:p>
            <w:pPr>
              <w:spacing w:after="0"/>
              <w:rPr>
                <w:sz w:val="17"/>
                <w:szCs w:val="17"/>
                <w:color w:val="auto"/>
              </w:rPr>
            </w:pPr>
          </w:p>
        </w:tc>
        <w:tc>
          <w:tcPr>
            <w:tcW w:w="604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Withdrawal Charge. The amount you receive may be more or less than your</w:t>
            </w:r>
          </w:p>
        </w:tc>
      </w:tr>
      <w:tr>
        <w:trPr>
          <w:trHeight w:val="189"/>
        </w:trPr>
        <w:tc>
          <w:tcPr>
            <w:tcW w:w="2220" w:type="dxa"/>
            <w:vAlign w:val="bottom"/>
            <w:tcBorders>
              <w:left w:val="single" w:sz="8" w:color="auto"/>
              <w:right w:val="single" w:sz="8" w:color="auto"/>
            </w:tcBorders>
            <w:shd w:val="clear" w:color="auto" w:fill="F0FFFF"/>
          </w:tcPr>
          <w:p>
            <w:pPr>
              <w:spacing w:after="0"/>
              <w:rPr>
                <w:sz w:val="16"/>
                <w:szCs w:val="16"/>
                <w:color w:val="auto"/>
              </w:rPr>
            </w:pPr>
          </w:p>
        </w:tc>
        <w:tc>
          <w:tcPr>
            <w:tcW w:w="604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Purchase Payment depending on the Shield Options you allocated your</w:t>
            </w:r>
          </w:p>
        </w:tc>
      </w:tr>
      <w:tr>
        <w:trPr>
          <w:trHeight w:val="241"/>
        </w:trPr>
        <w:tc>
          <w:tcPr>
            <w:tcW w:w="2220" w:type="dxa"/>
            <w:vAlign w:val="bottom"/>
            <w:tcBorders>
              <w:left w:val="single" w:sz="8" w:color="auto"/>
              <w:bottom w:val="single" w:sz="8" w:color="F0FFFF"/>
              <w:right w:val="single" w:sz="8" w:color="auto"/>
            </w:tcBorders>
            <w:shd w:val="clear" w:color="auto" w:fill="F0FFFF"/>
          </w:tcPr>
          <w:p>
            <w:pPr>
              <w:spacing w:after="0"/>
              <w:rPr>
                <w:sz w:val="20"/>
                <w:szCs w:val="20"/>
                <w:color w:val="auto"/>
              </w:rPr>
            </w:pPr>
          </w:p>
        </w:tc>
        <w:tc>
          <w:tcPr>
            <w:tcW w:w="604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 to during the Free Look period.</w:t>
            </w:r>
          </w:p>
        </w:tc>
      </w:tr>
      <w:tr>
        <w:trPr>
          <w:trHeight w:val="20"/>
        </w:trPr>
        <w:tc>
          <w:tcPr>
            <w:tcW w:w="2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-1638935</wp:posOffset>
            </wp:positionV>
            <wp:extent cx="522922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29225" cy="462915"/>
                    </a:xfrm>
                    <a:prstGeom prst="rect">
                      <a:avLst/>
                    </a:prstGeom>
                    <a:noFill/>
                  </pic:spPr>
                </pic:pic>
              </a:graphicData>
            </a:graphic>
          </wp:anchor>
        </w:drawing>
      </w:r>
    </w:p>
    <w:p>
      <w:pPr>
        <w:spacing w:after="0" w:line="37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purchase of the Contract involves certain risks. You should carefully consider the following factors, in addition to the matters set forth elsewhere in the prospectus, prior to purchasing the Contract.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of loss</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There is a risk of substantial loss of your principal (unless you allocated your entire Purchase Payment to the Fixed Account) because you agree to absorb all losses that exceed the Shield Rate for the Shield Options you select under the Contract. This means that if a negative Index Performance for a Shield Option you select exceeds the corresponding Shield Rate at the Term End Date, you will bear the portion of the loss that exceeds the Shield Rate.</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To determine the Interim Value, we apply a formula which does not reflect the actual performance of the applicable Index, but rather a determination of the value of hypothetical underlying investments at the time of the Interim Value calculation. This amount could be more or less than the Investment Amount on the Term End Date. It also means that you could have negative Interim Value, even if the Index Value has increased at the time of the calculation.</w:t>
      </w:r>
    </w:p>
    <w:p>
      <w:pPr>
        <w:spacing w:after="0" w:line="7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Withdrawals before a Term End Date could have adverse impacts even if the Index Value has increased at the time of the calculation because an early withdrawal will not allow you to participate in the Index Performance for the Term with your entire Investment Amount. If you withdraw Account Value allocated to a Shield Option, the withdrawal will reduce the Investment Amount for that Shield Option by the percentage reduction in the Interim Value of that Shield Option. A proportional reduction may be larger than the dollar amount of your withdrawal even if the Index Value has increased. If you have exercised the Performance Lock, a withdrawal will reduce your Performance Lock Value by the dollar amount of the withdrawal.</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ownership of the underlying securities</w:t>
      </w:r>
    </w:p>
    <w:p>
      <w:pPr>
        <w:spacing w:after="0" w:line="121"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When you purchase the Contract and allocate your Purchase Payment to a Shield Option(s), you will not be investing in the Index for the Shield Options you select or in a mutual fund or exchange traded fund that also tracks the Index. Your Performance Rate Adjustment for a Shield Option is limited by a Cap Rate, Step Rate, or Edge Rate, which means your Investment Amount will be lower than if you had invested in a mutual fund or exchange traded fund designed to track the performance of the applicable Index and the performance is greater than your Cap Rate, Step Rate or Edge Rate.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Charges</w:t>
      </w:r>
    </w:p>
    <w:p>
      <w:pPr>
        <w:spacing w:after="0" w:line="121" w:lineRule="exact"/>
        <w:rPr>
          <w:sz w:val="20"/>
          <w:szCs w:val="20"/>
          <w:color w:val="auto"/>
        </w:rPr>
      </w:pPr>
    </w:p>
    <w:p>
      <w:pPr>
        <w:jc w:val="both"/>
        <w:ind w:left="120" w:right="639" w:firstLine="360"/>
        <w:spacing w:after="0" w:line="248" w:lineRule="auto"/>
        <w:rPr>
          <w:sz w:val="20"/>
          <w:szCs w:val="20"/>
          <w:color w:val="auto"/>
        </w:rPr>
      </w:pPr>
      <w:r>
        <w:rPr>
          <w:rFonts w:ascii="Times New Roman" w:cs="Times New Roman" w:eastAsia="Times New Roman" w:hAnsi="Times New Roman"/>
          <w:sz w:val="18"/>
          <w:szCs w:val="18"/>
          <w:color w:val="auto"/>
        </w:rPr>
        <w:t>You may withdraw some or all of your money at any time prior to the Annuity Date; however, any applicable Withdrawal Charge is calculated as a percentage of the amount withdrawn. After the first Contract Year, the Contract provides for limited free access to your money, called the Free Withdrawal Amount. If you withdraw an amount that is greater than the Free Withdrawal Amount for your Contract, you may be subject to a Withdrawal Charge which will reduce the amount that is payable to you. For example, assume you make a $100,000 Purchase Payment at Contract issue. If your Account Value is $80,000 in the beginning of the sixth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Contract Year and you take a full withdrawal from your Contract, the Free Withdrawal Amount is $8,000 (10% of $80,000) and a Withdrawal Charge percentage of 3% is applied to the remaining amount. This is a 3% reduction of your Account Value, less the Free Withdrawal Amount ($72,000 = $80,000 – $8,000). The Withdrawal Charge would be $2,160 (3% of $72,000). This results in a cash value of $77,840 paid to you ($77,840 = $80,000 – $2,160). For any withdrawal taken on a Term End Date, a Performance Rate Adjustment, as of the date of the withdrawal, will apply. For any withdrawal taken between the Term Start Date and the Term End Date, we use an Interim Value calculation, which will reduce the Investment Amount for that Shield Option by the percentage reduction in the Interim Value of that Shield</w:t>
      </w:r>
    </w:p>
    <w:p>
      <w:pPr>
        <w:sectPr>
          <w:pgSz w:w="11900" w:h="16838" w:orient="portrait"/>
          <w:cols w:equalWidth="0" w:num="1">
            <w:col w:w="9019"/>
          </w:cols>
          <w:pgMar w:left="1440" w:top="1372" w:right="1440" w:bottom="758" w:gutter="0" w:footer="0" w:header="0"/>
        </w:sectPr>
      </w:pPr>
    </w:p>
    <w:p>
      <w:pPr>
        <w:spacing w:after="0" w:line="28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1372" w:right="1440" w:bottom="758" w:gutter="0" w:footer="0" w:header="0"/>
          <w:type w:val="continuous"/>
        </w:sectPr>
      </w:pPr>
    </w:p>
    <w:bookmarkStart w:id="15" w:name="page16"/>
    <w:bookmarkEnd w:id="15"/>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Option. If you have exercised Performance Lock, a withdrawal will reduce your Performance Lock Value by the dollar amount of the withdrawal. The Performance Rate Adjustment and reduction (either proportionate or dollar for dollar) may be substantial. Since withdrawal amounts from a Shield Option will reduce the Investment Amount for that Shield Option by the percentage reduction in the Interim Value of that Shield Option, a withdrawal when Interim Value is less than the Investment Amount will cause a greater percentage reduction in the Investment Amount that remains in your Shield Option relative to the percentage reduction for the same withdrawal amount when Interim Value is greater than the Investment Amount.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Withdrawals, Surrender, Annuitization or Death</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method we use in calculating your Interim Value may result in an amount that is less than the amount you would receive had you held the investment until the Term End Date. If you take a withdrawal when Index Performance is negative, your remaining Investment Amount may be significantly less than if you waited to take the withdrawal when Index Performance was positive. For more information on how we determine Interim Value and the potential adverse impacts of a withdrawal before the Term End Date, see “Risk of Loss” above.</w:t>
      </w:r>
    </w:p>
    <w:p>
      <w:pPr>
        <w:spacing w:after="0" w:line="89" w:lineRule="exact"/>
        <w:rPr>
          <w:sz w:val="20"/>
          <w:szCs w:val="20"/>
          <w:color w:val="auto"/>
        </w:rPr>
      </w:pPr>
    </w:p>
    <w:p>
      <w:pPr>
        <w:jc w:val="both"/>
        <w:ind w:left="680" w:right="739" w:hanging="208"/>
        <w:spacing w:after="0" w:line="261"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take a withdrawal, including RMDs, your Account Value will be reduced by the amount withdrawn proportionally from your Shield Options, the Fixed Account, and the Holding Account unless you tell us from which specific Allocation Options, in which you currently have any Account Value, where the withdrawal should be taken.</w:t>
      </w:r>
    </w:p>
    <w:p>
      <w:pPr>
        <w:spacing w:after="0" w:line="85"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die (unless your Contract was issued with the Return of Premium death benefit), or Surrender your Contract prior to the Term End Date, we will pay either (i) the Interim Value, which may be less than if you held the Contract until all of your Shield Options reached their Term End Dates or (ii) the Performance Lock Value, which may be less than if you had not exercised Performance Lock before the Term End Date.</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Contract is annuitized between the Term Start Date and Term End Date, we will use either the Interim Value or the Performance Lock Value to calculate the Annuity Payments you will receive based on the applicable Annuity Option. In deciding on an Annuity Date, you should take into consideration the Term End Dates of your Shield Options relative to the Annuity Date you have chosen.</w:t>
      </w:r>
    </w:p>
    <w:p>
      <w:pPr>
        <w:spacing w:after="0" w:line="85"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not exercised the Performance Lock on a Shield Option, the amount that is available before the Term End Date for annuitization, death benefits, withdrawals, Surrenders, and Performance Lock will be the Interim Value. If you have exercised the Performance Lock on a Shield Option, the amount that is available before the Term End Date for annuitization, death benefits, withdrawals, and Surrenders will be the Performance Lock Value.</w:t>
      </w:r>
    </w:p>
    <w:p>
      <w:pPr>
        <w:spacing w:after="0" w:line="88"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Account Value falls below the Minimum Account Value as a result of a withdrawal, we may terminate your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Transfers</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You may make transfers between the Fixed Account and the Shield Option(s) and from the Holding Account to the Fixed Account and the Shield Options only during the Transfer Period. Unless you have a Shield Option with Performance Lock Value, you cannot make transfers outside the Transfer Period and you cannot (i) transfer out of a current Shield Option to another Shield Option or the Fixed Account until the Term End Date of the current Shield Option, (ii) transfer out of the Fixed Account to a Shield Option until the Fixed Account Term End Date (which will not be less than one (1) year), or (iii) transfer from the Holding Account to a Shield Option or the Fixed Account until the next Contract Anniversary. In all cases, the amount transferred can only be transferred to new Shield Options or the Fixed Account. This may limit your ability to react to market conditions.</w:t>
      </w:r>
    </w:p>
    <w:p>
      <w:pPr>
        <w:spacing w:after="0" w:line="84" w:lineRule="exact"/>
        <w:rPr>
          <w:sz w:val="20"/>
          <w:szCs w:val="20"/>
          <w:color w:val="auto"/>
        </w:rPr>
      </w:pPr>
    </w:p>
    <w:p>
      <w:pPr>
        <w:jc w:val="both"/>
        <w:ind w:left="120" w:right="639" w:firstLine="360"/>
        <w:spacing w:after="0" w:line="281" w:lineRule="auto"/>
        <w:rPr>
          <w:sz w:val="20"/>
          <w:szCs w:val="20"/>
          <w:color w:val="auto"/>
        </w:rPr>
      </w:pPr>
      <w:r>
        <w:rPr>
          <w:rFonts w:ascii="Times New Roman" w:cs="Times New Roman" w:eastAsia="Times New Roman" w:hAnsi="Times New Roman"/>
          <w:sz w:val="17"/>
          <w:szCs w:val="17"/>
          <w:color w:val="auto"/>
        </w:rPr>
        <w:t>If you remain in your current Shield Option with the Performance Lock Value until the Term End Date and decide to transfer the Investment Amount to a new Shield Option, the Investment Amount on the Term Start Date of your new Shield Option will be the Performance Lock Value for that option, which may be higher or lower than the Investment Amount would have been on the Term End Date had you not exercised the Performance Lock.</w:t>
      </w:r>
    </w:p>
    <w:p>
      <w:pPr>
        <w:spacing w:after="0" w:line="5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addition, you should understand that for renewals into the same Shield Option, a new Cap Rate, Step Rate or Edge Rate, as applicable, will be declared and will go into effect on the Contract Anniversary that coincides with the beginning of the new Shield Option.</w:t>
      </w:r>
    </w:p>
    <w:p>
      <w:pPr>
        <w:spacing w:after="0" w:line="68"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Moreover, at the Term End Date, the Investment Amount allocated to the Shield Option that has reached its Term End Date will be automatically renewed into the same Shield Option unless you instruct us to transfer such amount into a different Shield Option(s) or the Fixed Account. You have the Transfer Period to notify us that you want to transfer some or all of your Investment Amount to a new Shield Option(s) or the Fixed Account. Thus, failure to provide such instructions during the Transfer Period will result in an automatic renewal for a period of at least one (1) year.</w:t>
      </w:r>
    </w:p>
    <w:p>
      <w:pPr>
        <w:sectPr>
          <w:pgSz w:w="11900" w:h="16838" w:orient="portrait"/>
          <w:cols w:equalWidth="0" w:num="1">
            <w:col w:w="9019"/>
          </w:cols>
          <w:pgMar w:left="1440" w:top="1377" w:right="1440" w:bottom="92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1377" w:right="1440" w:bottom="920" w:gutter="0" w:footer="0" w:header="0"/>
          <w:type w:val="continuous"/>
        </w:sectPr>
      </w:pPr>
    </w:p>
    <w:bookmarkStart w:id="16" w:name="page17"/>
    <w:bookmarkEnd w:id="16"/>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you have exercised the Performance Lock for a Shield Option you may transfer on any Contract Anniversary prior to the end of the Term and on the Term End Date. You may only transfer the entire amount of your Performance Lock Value of that Shield Option on a Contract Anniversary that is not a Term End Date. On the Term End Date, you have the Transfer Period to transfer all or a portion of your Performance Lock Value.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Partial transfers of Performance Lock Value prior to the Term End Date are not permitted.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Shield Options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Your selling firm may limit the Shield Options available through that firm when your Contract is issued or at Term End Date. Additionally, we may stop selling certain Shield Options. We are not obligated to offer any one particular Shield Option, but after your Contract is issued, there will always be one Shield Option available, although it may not be substantially similar to one of the currently available Shield Options. Consequently,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Fixed Account Term End Date), surrender your Contract and/or invest in another investment vehicle. If you surrender your Contract, you might incur taxes, tax penalties or other adjustments. If you invest in another investment vehicle, that investment may have different features, fees and risks than your Contract. Similarly, a particular Shield Option may not be available for you to transfer your Investment Amount or Fixed Account Value into after a Term End Date or the Fixed Account Term End Date. If the same Shield Option is no longer available at the Term End Date, the Investment Amount in the applicable Shield Option(s) will automatically transfer into the Fixed Account at the Term End Date, unless you instruct us otherwise. The amounts transferred to the Fixed Account must remain in the Fixed Account until the Fixed Account Term End Date (which, currently, will not be less than one (1) year). The Investment Amount held in the Fixed Account may earn a return that is less than the return you might have earned if those amounts were held in a Shield Option. If we exercise this right, your ability to increase your Account Value and, consequently, increase your death benefit will be limited. If the Fixed Account is not available, the Investment Amount will automatically transfer into the Holding Account, unless you instruct us otherwise.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the Referenced Indices</w:t>
      </w:r>
    </w:p>
    <w:p>
      <w:pPr>
        <w:spacing w:after="0" w:line="104" w:lineRule="exact"/>
        <w:rPr>
          <w:sz w:val="20"/>
          <w:szCs w:val="20"/>
          <w:color w:val="auto"/>
        </w:rPr>
      </w:pPr>
    </w:p>
    <w:p>
      <w:pPr>
        <w:jc w:val="both"/>
        <w:ind w:left="120" w:right="659" w:firstLine="360"/>
        <w:spacing w:after="0"/>
        <w:rPr>
          <w:sz w:val="20"/>
          <w:szCs w:val="20"/>
          <w:color w:val="auto"/>
        </w:rPr>
      </w:pPr>
      <w:r>
        <w:rPr>
          <w:rFonts w:ascii="Times New Roman" w:cs="Times New Roman" w:eastAsia="Times New Roman" w:hAnsi="Times New Roman"/>
          <w:sz w:val="18"/>
          <w:szCs w:val="18"/>
          <w:color w:val="auto"/>
        </w:rPr>
        <w:t>Because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(Price Return Index), the MSCI EAFE Index (Price Return Index), and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(Price Return Index)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“SHIELD RATES.”)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Index may be Substituted</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have the right to substitute a comparable index prior to the Term End Date if any Index is discontinued or we determine that our use of such Index should be discontinued because we are no longer licensed to use the Index, the method of calculation of the Index Value is substantially changed, or if Index Values become unavailable for any reason. We would attempt to choose a substitute index that has a similar investment objective and risk profile to the replaced index. The substituted Index may not be acceptable to you. Upon substitution of an Index, we will calculate your Index Performance on the replaced Index up until the date of substitution and the substitute Index from the date of substitution to the Term End Date. If you have exercised Performance Lock, a subsequent index substitution will have no impact on the Performance Lock Value of that Shield Option.</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An Index substitution will not change the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Shield Rate Risks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all Shield Options, if negative Index Performance exceeds the corresponding Shield Rate at the Term End Date, you will bear the portion of the loss that exceeds the Shield Rate. For Shield Options with Step Rate Edge, there could be situations when a small difference in the Index Performance results in significantly different Performance Rates. For example, if Index Performance is -9.5%, the Shield Rate is 10% and the Edge Rate is 7%, the Performance Rate will equal the Edge Rate, or 7%. On the other hand, if Index Performance is -10.5% and the Shield Rate is 10%, the Performance Rate will equal -0.5%.</w:t>
      </w:r>
    </w:p>
    <w:p>
      <w:pPr>
        <w:sectPr>
          <w:pgSz w:w="11900" w:h="16838" w:orient="portrait"/>
          <w:cols w:equalWidth="0" w:num="1">
            <w:col w:w="9019"/>
          </w:cols>
          <w:pgMar w:left="1440" w:top="1377" w:right="1440" w:bottom="1440"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377" w:right="1440" w:bottom="1440" w:gutter="0" w:footer="0" w:header="0"/>
          <w:type w:val="continuous"/>
        </w:sectPr>
      </w:pPr>
    </w:p>
    <w:bookmarkStart w:id="17" w:name="page18"/>
    <w:bookmarkEnd w:id="1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Shield Options with Higher Shield Rates</w:t>
      </w:r>
    </w:p>
    <w:p>
      <w:pPr>
        <w:spacing w:after="0" w:line="13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 This is because of the additional protection provided by the higher Shield Rates.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Lock Risks</w:t>
      </w:r>
    </w:p>
    <w:p>
      <w:pPr>
        <w:spacing w:after="0" w:line="13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With the Performance Lock Value you may receive less than you would have received had you not exercised the Performance Lock. Furthermore, once the Performance Lock is exercised, it is irrevocable for the remainder of that Term. You will no longer participate in Index Performance, positive or negative, for the remainder of the Term after you exercise Performance Lock. This means that under no circumstances will your Performance Lock Value increase during the remainder of the Term, and you will not receive a Performance Rate Adjustment on any Performance Lock Value on the Term End Date.</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We use the Interim Value calculated at the end of the current Business Day on which you exercise Performance Lock to determine your Performance Lock Value. This means you will not be able to determine in advance your Performance Lock Value, and it may be higher or lower than it was at the point in time you requested the Performance Lock. If the Performance Lock is exercised when the Interim Value is less than the Investment Amount, you will lock in any loss, which could be below the Shield Rate. It is possible that you would have realized less of a loss or no loss if the Performance Lock occurred at a later time, or if the Shield Option was not locked.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Issuing Company</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No company other than BLNY has any legal responsibility to pay amounts that BLNY owes under the Contract. An Owner should look to the financial strength of BLNY for its claims-paying ability.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and Certain Business Continuity Risks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Our business is largely conducted through complex information technology and communications systems operated by us and our service providers and business partners (e.g., the firms involved in the distribution and sale of our products). Our operations rely on the secure processing, storage and transmission of confidential and other information in our systems and the systems of third party service providers. For example, many routine operations, such as processing your requests and elections and day-to-day record keeping, are all executed through computer networks and systems.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“cyber-attack”). Despite these protocols, the techniques used to attack systems and networks change frequently, are becoming more sophisticated, and can originate from a wide variety of sources including terrorists, nation states, financially motivated actors, internal actors, or third parties, such as external service providers, and the techniques used change frequently or are often not recognized until after they have been launched. The rapid evolution and increased adoption of artificial intelligence technologies may intensify our cybersecurity risks, including the deployment of artificial intelligence technologies by threat actors. There may be an increased risk of cyber-attacks during periods of geo-political or military conflict.</w:t>
      </w:r>
    </w:p>
    <w:p>
      <w:pPr>
        <w:spacing w:after="0" w:line="88" w:lineRule="exact"/>
        <w:rPr>
          <w:sz w:val="20"/>
          <w:szCs w:val="20"/>
          <w:color w:val="auto"/>
        </w:rPr>
      </w:pPr>
    </w:p>
    <w:p>
      <w:pPr>
        <w:jc w:val="both"/>
        <w:ind w:left="120" w:right="639" w:firstLine="360"/>
        <w:spacing w:after="0" w:line="267" w:lineRule="auto"/>
        <w:rPr>
          <w:sz w:val="20"/>
          <w:szCs w:val="20"/>
          <w:color w:val="auto"/>
        </w:rPr>
      </w:pPr>
      <w:r>
        <w:rPr>
          <w:rFonts w:ascii="Times New Roman" w:cs="Times New Roman" w:eastAsia="Times New Roman" w:hAnsi="Times New Roman"/>
          <w:sz w:val="17"/>
          <w:szCs w:val="17"/>
          <w:color w:val="auto"/>
        </w:rPr>
        <w:t>A cyber-attack could have a material, negative impact on BLNY, as well as individual Owners and their Contracts. There are inherent limitations in our plans and systems, including the possibility that certain risks have not been identified or that unknown threats may emerge in the future. Unanticipated problems with, or failures, of, our disaster recovery systems and business continuity plans could have a material impact on our ability to conduct business and on our financial condition and operations, and such events could result in regulatory fines or sanctions, litigation, penalties or financial losses, reputational harm, loss of customers, and/or additional compliance costs for us. Our operations also could be negatively impacted by a cyber-attack affecting a third party, such as a service provider, business partner, another participant in the financial markets or a governmental or regulatory authority. Potential attacks can occur through a variety of sources, including, but not limited to, cyber-attacks, phishing attacks, account takeover attempts, the introduction of computer viruses or malicious code,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Malicious actors may attempt to fraudulently induce employees, customers, or other users of our systems to disclose credentials or other similar sensitive information in order to gain access to our systems or data, or that of our customers, through social engineering, phishing, mobile phone malware, and other methods. Cybersecurity threats can originate from a wide variety of sources including, but not limited to, natural catastrophe, military or terrorist actions, public health crises (such as the COVID-19 pandemic), and unanticipated problems with our or our service providers’ disaster recovery systems. Such</w:t>
      </w:r>
    </w:p>
    <w:p>
      <w:pPr>
        <w:sectPr>
          <w:pgSz w:w="11900" w:h="16838" w:orient="portrait"/>
          <w:cols w:equalWidth="0" w:num="1">
            <w:col w:w="9019"/>
          </w:cols>
          <w:pgMar w:left="1440" w:top="1373" w:right="1440" w:bottom="758" w:gutter="0" w:footer="0" w:header="0"/>
        </w:sectPr>
      </w:pPr>
    </w:p>
    <w:p>
      <w:pPr>
        <w:spacing w:after="0" w:line="200" w:lineRule="exact"/>
        <w:rPr>
          <w:sz w:val="20"/>
          <w:szCs w:val="20"/>
          <w:color w:val="auto"/>
        </w:rPr>
      </w:pPr>
    </w:p>
    <w:p>
      <w:pPr>
        <w:spacing w:after="0" w:line="28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1373" w:right="1440" w:bottom="758" w:gutter="0" w:footer="0" w:header="0"/>
          <w:type w:val="continuous"/>
        </w:sectPr>
      </w:pPr>
    </w:p>
    <w:bookmarkStart w:id="18" w:name="page19"/>
    <w:bookmarkEnd w:id="18"/>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disasters and events may adversely affect our ability to conduct business or administer the contract, particularly if our employees or the employees of our service providers are unable or unwilling to perform their responsibilities as a result of any such event.</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Cyber-attacks, disruptions or failures to our business operations can interfere with our processing of Contract transactions, including the processing of transfer orders from our website; impact our ability to calculate values; cause the release and/or possible loss, misappropriation or corruption of confidential Owner or business information; or impede order processing or cause other operational issues. There can be no assurance that we or our service providers will avoid losses affecting your Contract due to cyber-attacks, disruptions or failures in the future. Although we continually make efforts to identify and reduce our exposure to cybersecurity risk, there is no guarantee that we will be able to successfully manage and mitigate this risk at all times. Furthermore, we cannot control the cybersecurity plans and systems implemented by third parties, including service providers.</w:t>
      </w:r>
    </w:p>
    <w:p>
      <w:pPr>
        <w:spacing w:after="0" w:line="2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THE ANNUITY CONTRACT</w:t>
      </w:r>
    </w:p>
    <w:p>
      <w:pPr>
        <w:spacing w:after="0" w:line="118" w:lineRule="exact"/>
        <w:rPr>
          <w:sz w:val="20"/>
          <w:szCs w:val="20"/>
          <w:color w:val="auto"/>
        </w:rPr>
      </w:pPr>
    </w:p>
    <w:p>
      <w:pPr>
        <w:jc w:val="both"/>
        <w:ind w:left="120" w:right="639" w:firstLine="360"/>
        <w:spacing w:after="0" w:line="235" w:lineRule="auto"/>
        <w:rPr>
          <w:sz w:val="20"/>
          <w:szCs w:val="20"/>
          <w:color w:val="auto"/>
        </w:rPr>
      </w:pPr>
      <w:r>
        <w:rPr>
          <w:rFonts w:ascii="Times New Roman" w:cs="Times New Roman" w:eastAsia="Times New Roman" w:hAnsi="Times New Roman"/>
          <w:sz w:val="18"/>
          <w:szCs w:val="18"/>
          <w:color w:val="auto"/>
        </w:rPr>
        <w:t>This prospectus describes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issued by us and describes all the material features of the Contract.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a contract between you as the Owner, and us, the insurance company, where you agree to make a Purchase Payment to us and we agree to make a series of payments at a later date you select (the “Annuity Date”).</w:t>
      </w:r>
    </w:p>
    <w:p>
      <w:pPr>
        <w:spacing w:after="0" w:line="106"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The Contract, like all deferred annuity contracts, has two periods: the Accumulation Period and the Annuity Period. During the Accumulation Period, Account Value accumulates on a tax-deferred basis and is taxed as income when you make a withdrawal. If you make a withdrawal during the Accumulation Period, we may assess a Withdrawal Charge of up to 7%. Withdrawals (including any applicable Withdrawal Charge), depending on the amount and timing, may negatively impact the benefits and guarantees provided by your Contract. You should carefully consider whether a withdrawal under a particular circumstance will have any negative impact to your benefits or guarantees. The Annuity Period occurs when you or a designated payee begin receiving regular Annuity Payments from your Contract.</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maximum issue age for this Contract is 85.</w:t>
      </w:r>
    </w:p>
    <w:p>
      <w:pPr>
        <w:spacing w:after="0" w:line="117"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When you purchase the Contract, you can choose one or more of the available Shield Options and the Fixed Account. A Purchase Payment applied to the Shield Options is allocated to the Separate Account. You do not share in the investment performance of assets allocated to the Separate Account. We are obligated to pay all money we owe under the Contract, including death benefits and Annuity Payments. Any such amount that exceeds the assets in the Separate Account is paid from our General Account, subject to our financial strength and claims-paying ability and our long-term ability to make such payments, and is not guaranteed by any other party. (See “THE SEPARATE ACCOUNT.”)</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Contract is intended for retirement savings or other long-term investment purposes. The Contract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professional for guidance as to whether this contract may be appropriate for you. Please bear in mind that your financial professional, or any financial firm or financial professional with whom you consult for advice, acts on your behalf, not ours. We are not party to any agreement between you and your financial professional. See “DISTRIBUTION OF THE CONTRACTS” for information on firms that sell the Contract.</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Contract benefits from tax deferral. Tax deferral means that you are not taxed on Account Value or appreciation on the assets in your Contract until you take money out of your Contract. Non-qualified annuity Contracts (which are not retirement plans) owned by a non-natural person such as a corporation or certain other legal entities (other than a trust that holds the Contract as an agent for a natural person), do not receive tax deferral on earnings. In addition, for any tax qualified account (e.g., an IRA), the tax deferred accrual feature is provided by the tax qualified retirement plan. Therefore, there should be reasons other than tax deferral for acquiring the Contract by a corporation, certain legal entities or within a qualified plan. (See “FEDERAL TAX CONSIDERATIONS.”)</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Currently, a Fixed Account is available. However, the Fixed Account may not always be available. You should consult your financial professional for information regarding the Fixed Account, if available. See Appendix D for certain information regarding the Fixed Account. The Fixed Account offers an interest rate that is guaranteed by us. The minimum interest rate depends on the date your Contract is issued and will not be less than 1% annually. Your financial professional can tell you the current and minimum interest rates that apply. If you select the Fixed Account, your money will be placed with our other General Account assets, and the amount of money you are able to accumulate in your Contract during the Accumulation Period depends upon the total interest credited to your Contract. The Fixed Account is part of our General Account. Our General</w:t>
      </w:r>
    </w:p>
    <w:p>
      <w:pPr>
        <w:sectPr>
          <w:pgSz w:w="11900" w:h="16838" w:orient="portrait"/>
          <w:cols w:equalWidth="0" w:num="1">
            <w:col w:w="9019"/>
          </w:cols>
          <w:pgMar w:left="1440" w:top="1377" w:right="1440" w:bottom="1055" w:gutter="0" w:footer="0" w:header="0"/>
        </w:sectPr>
      </w:pPr>
    </w:p>
    <w:p>
      <w:pPr>
        <w:spacing w:after="0" w:line="2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019"/>
          </w:cols>
          <w:pgMar w:left="1440" w:top="1377" w:right="1440" w:bottom="1055" w:gutter="0" w:footer="0" w:header="0"/>
          <w:type w:val="continuous"/>
        </w:sectPr>
      </w:pPr>
    </w:p>
    <w:bookmarkStart w:id="19" w:name="page20"/>
    <w:bookmarkEnd w:id="19"/>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Account consists of all assets owned by us other than those in the Separate Account and our other separate accounts. We have sole discretion over the investment of assets in the General Account and the Separate Account. If you select an Annuity Option, payments are made from our General Account assets.</w:t>
      </w:r>
    </w:p>
    <w:p>
      <w:pPr>
        <w:spacing w:after="0" w:line="8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Holding Account is a limited purpose account and only under certain circumstances will we transfer amounts to the Holding Account. (See Appendix E for a full description of the Holding Account). You may not allocate your Purchase Payment or Account Value to the Holding Account. Amounts will remain in the Holding Account until you provide us new allocation instructions. Once we receive allocation instructions from you, we will transfer the amounts in the Holding Account to the Shield Option(s) on the next Contract Anniversary. 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in the Contract specifications pages. Your financial professional can tell you the current and minimum interest rates that apply. We reserve the right to change the Holding Account interest rate.</w:t>
      </w:r>
    </w:p>
    <w:p>
      <w:pPr>
        <w:spacing w:after="0" w:line="8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amount of the Annuity Payments you receive during the Annuity Period from an Annuity Payment option will remain level for the entire Annuity Period, subject to the payout chosen. (See “ANNUITY PAYMENTS (THE ANNUITY PERIOD)” for more information.)</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As Owner, you exercise all interests and rights under the Contract. You can change the Owner at any time, subject to our underwriting requirements. The Contract may be owned generally by Joint Owners (limited to natural persons). (See “OWNERSHIP PROVISIONS.”)</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Any Internal Revenue Code reference to “spouse” includes those persons who are married spouses under state law, regardless of sex.</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Replacement of Contracts</w:t>
      </w:r>
    </w:p>
    <w:p>
      <w:pPr>
        <w:spacing w:after="0" w:line="11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Generally you can exchange one non-qualified annuity contract for another in a tax-free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under Section 1035 of the Code. Before making an exchange, you should compare both annuities carefully. If you exchange another annuity for the one described in this prospectus, you might have to pay a withdrawal charge on your old annuity, and there will be a new Withdrawal Charge period for the Contract. Other charges may be higher (or lower) and the benefits may be different. Also, because we will not issue the Contract until we have received the initial premium from your existing insurance company, the issuance of the Contract may be delayed. Generally, it is not advisable to purchase a Contract as a replacement for an existing annuity contract. Before you exchange another annuity for our Contract, ask your financial professional whether the exchange would be advantageous, given the Contract features, benefits and charges.</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Exchange Programs.</w:t>
      </w:r>
      <w:r>
        <w:rPr>
          <w:rFonts w:ascii="Times New Roman" w:cs="Times New Roman" w:eastAsia="Times New Roman" w:hAnsi="Times New Roman"/>
          <w:sz w:val="18"/>
          <w:szCs w:val="18"/>
          <w:color w:val="auto"/>
        </w:rPr>
        <w:t xml:space="preserve">  From time to time we may make available programs under which certain annuity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previously issued by us or one of our affiliates may be exchanged for the Contracts offered by this prospectus. Currently, with respect to exchanges from certain of our annuity contracts to the Contract, an existing contract is eligible for exchange if a surrender of the existing contract would not trigger a withdrawal charge. You should carefully consider whether an exchange is appropriate for you by comparing the benefits and other guarantees provided by the contract you currently own to the benefits and guarantees that would be provided by the new Contract offered by this prospectus. Then, you should compare the fees and charges of your current contract to the fees and charges of the new Contract, which may be higher than your current contract. The programs we offer will be made available on terms and conditions determined by us, and any such programs will comply with applicable law. We believe the exchanges will be tax free for Federal income tax purposes; however, you should consult your tax advisor before making any such exchange.</w:t>
      </w:r>
    </w:p>
    <w:p>
      <w:pPr>
        <w:spacing w:after="0" w:line="29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PURCHASE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Contract may not be available for purchase through your broker dealer (“selling firm”) during certain periods. There are a number of reasons why the Contract periodically may not be available, including that the insurance company wants to limit the volume of sales of the Contract. You may wish to speak to your financial professional about how this may affect your purchase. For example, you may be required to submit your purchase application in Good Order prior to or on a stipulated date in order to purchase a Contract, and a delay in such process could result in your not being able to purchase a Contract. Your selling firm may offer the Contract with a lower maximum issue age for the Contract compared to what other selling firms may offer. Your selling firm may limit the Shield Options available through that firm when your Contract is issued or at the Term End Date. However, at the end of your initial Shield Option(s), you may transfer into any Shield Option(s) available under the Contract, subject to any transfer restrictions (see “TRANSFERS”). Please be aware that your financial professional may not be able to provide you information or answer questions you may have with regard to those Shield Options that your selling firm does not make available. Therefore, you may contact us directly. See “REQUESTS AND ELECTIONS” for specific contact information.</w:t>
      </w:r>
    </w:p>
    <w:p>
      <w:pPr>
        <w:sectPr>
          <w:pgSz w:w="11900" w:h="16838" w:orient="portrait"/>
          <w:cols w:equalWidth="0" w:num="1">
            <w:col w:w="9019"/>
          </w:cols>
          <w:pgMar w:left="1440" w:top="1377" w:right="1440" w:bottom="1001" w:gutter="0" w:footer="0" w:header="0"/>
        </w:sectPr>
      </w:pPr>
    </w:p>
    <w:p>
      <w:pPr>
        <w:spacing w:after="0" w:line="2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1377" w:right="1440" w:bottom="1001" w:gutter="0" w:footer="0" w:header="0"/>
          <w:type w:val="continuous"/>
        </w:sectPr>
      </w:pPr>
    </w:p>
    <w:bookmarkStart w:id="20" w:name="page21"/>
    <w:bookmarkEnd w:id="20"/>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We offer other individual single premium deferred indexed-linked separate account contracts. However, not every contract we issue is available through every selling firm. In addition, these other contracts may have different Shield Options, Shield Rates, Cap Rates, Step Rates, and Edge Rates.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A Purchase Payment is the total amount of money you give us to invest in the Contract. The Purchase Payment is due on the date the Contract is issued.</w:t>
      </w:r>
    </w:p>
    <w:p>
      <w:pPr>
        <w:spacing w:after="0" w:line="67" w:lineRule="exact"/>
        <w:rPr>
          <w:sz w:val="20"/>
          <w:szCs w:val="20"/>
          <w:color w:val="auto"/>
        </w:rPr>
      </w:pPr>
    </w:p>
    <w:p>
      <w:pPr>
        <w:ind w:left="680" w:hanging="20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Purchase Payment we will accept is $25,000.</w:t>
      </w:r>
    </w:p>
    <w:p>
      <w:pPr>
        <w:spacing w:after="0" w:line="130"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want to make a Purchase Payment of less than $25,000 or $1,000,000 or more, you will need our prior approval.</w:t>
      </w:r>
    </w:p>
    <w:p>
      <w:pPr>
        <w:spacing w:after="0" w:line="53"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the right to refuse a Purchase Payment made via a personal check in excess of $100,000. A Purchase Payment over $100,000 may be accepted in other forms, including, but not limited to, EFT/wire transfers, certified checks, corporate checks, and checks written on financial institutions.</w:t>
      </w:r>
    </w:p>
    <w:p>
      <w:pPr>
        <w:spacing w:after="0" w:line="81"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accept a Purchase Payment made with cash, money orders, or travelers checks.</w:t>
      </w:r>
    </w:p>
    <w:p>
      <w:pPr>
        <w:spacing w:after="0" w:line="130"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and other legal entities we approve, may purchase the Contract; however, we will not accept a Purchase Payment made by a corporation or other legal entity (other than a trust that holds the Contract as agent for a natural person) to fund any type of qualified or non-qualified retirement plan.</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reserve the right to reject any application.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 of the Purchase Payment</w:t>
      </w:r>
    </w:p>
    <w:p>
      <w:pPr>
        <w:spacing w:after="0" w:line="135"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You may allocate your Purchase Payment to one or more of the available Shield Options or into the Fixed Account. On your Issue Date, your Purchase Payment is allocated to the Shield Option(s) and/or the Fixed Account, as you specified on the application, unless we receive Notice of any changes from you before we have issued your Contract. All allocations must be in whole percentages that total 100% or in whole dollars. Once your Purchase Payment is allocated to the Shield Options and/or the Fixed Account, they become part of your Account Value.</w:t>
      </w:r>
    </w:p>
    <w:p>
      <w:pPr>
        <w:spacing w:after="0" w:line="29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SHIELD OPTIONS</w:t>
      </w:r>
    </w:p>
    <w:p>
      <w:pPr>
        <w:spacing w:after="0" w:line="104" w:lineRule="exact"/>
        <w:rPr>
          <w:sz w:val="20"/>
          <w:szCs w:val="20"/>
          <w:color w:val="auto"/>
        </w:rPr>
      </w:pPr>
    </w:p>
    <w:p>
      <w:pPr>
        <w:jc w:val="both"/>
        <w:ind w:left="120" w:right="639" w:firstLine="360"/>
        <w:spacing w:after="0" w:line="250"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a variable annuity where your account value varies based on the investment performance of the underlying portfolios you choose, rather the Shield Options offer potential interest based upon index performance. This potential interest—the Performance Rate Adjustment—may be a positive or negative percentage or zero. You may allocate your Purchase Payment to one or more of the available Shield Options and the Fixed Account. Based upon the Index Performance of the Index associated with the Shield Option, a Performance Rate Adjustment will be applied to the Investment Amount in that Shield Option on the Term End Date. Given that Index Performance may be positive, zero or negative, your Performance Rate Adjustment may be positive, zero or negative. We calculate the Interim Value of each Shield Option on any Business Day other than the Term Start Date and Term End Date. The Interim Value is the amount that is available for annuitization, death benefits, withdrawals, Surrenders, and Performance Lock.</w:t>
      </w:r>
    </w:p>
    <w:p>
      <w:pPr>
        <w:spacing w:after="0" w:line="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For any Shield Option, once during each Term you may elect to lock the Interim Value. Once Performance Lock is exercised, it is irrevocable for the remainder of that Term. The Performance Lock Value will be used as the value of the Shield Option for the remainder of the Term. This means you will no longer participate in Index Performance, positive or negative, and you will not receive a Performance Rate Adjustment on any Performance Lock Value on the Term End Date.</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It is possible for you to lose a portion of the Purchase Payment and any earnings invested in the Contract. The Performance Rate Adjustment is based on a certain amount of protection against decreases in an Index Value and a limitation on potential interest based on an Index Value. The extent of the downside protection varies by the Shield Rate you select. If you access amounts in the Shield Options before the Term End Date, we will instead calculate an Interim Value on each Business Day between the Term Start Date and the Term End Date. (See “INTERIM VALUE CALCULATION.”)</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You have the opportunity to allocate your Investment Amount to any of the Shield Options described below, subject to the requirements, limitations and procedures disclosed in the prospectus. We are not obligated to offer any one particular Shield Option and your selling firm may limit the Shield Options available through that firm when your Contract is issued. After the Contract is issued, there will always be at least one Shield Option available although it may not be substantially similar to one of the currently available Shield Options. If we were to offer only one Shield Option, you would be limited to investing in that one Shield Option. If that Shield Option does not meet your investment objectives or financial goals, you could transfer to the</w:t>
      </w:r>
    </w:p>
    <w:p>
      <w:pPr>
        <w:sectPr>
          <w:pgSz w:w="11900" w:h="16838" w:orient="portrait"/>
          <w:cols w:equalWidth="0" w:num="1">
            <w:col w:w="9019"/>
          </w:cols>
          <w:pgMar w:left="1440" w:top="1377" w:right="1440" w:bottom="798"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1377" w:right="1440" w:bottom="798" w:gutter="0" w:footer="0" w:header="0"/>
          <w:type w:val="continuous"/>
        </w:sectPr>
      </w:pPr>
    </w:p>
    <w:bookmarkStart w:id="21" w:name="page22"/>
    <w:bookmarkEnd w:id="21"/>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Fixed Account, surrender your Contract and/or invest in another investment vehicle. If you surrender your Contract, you might incur taxes, tax penalties or other adjustments. If you invest in another investment vehicle, that investment may have different features, fees, and risks than your Contract. Each Shield Option has an associated (i) Term, (ii) Index, (iii) Shield Rate and (iv) Rate Crediting Type you select.</w:t>
      </w:r>
    </w:p>
    <w:p>
      <w:pPr>
        <w:spacing w:after="0" w:line="72"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lists the Shield Options (each of which is issued with a Cap Rate unless otherwise noted as a Step Rate or Step Rate Edge) currently available, Performance Lock is available on all Shield Options.</w:t>
      </w:r>
    </w:p>
    <w:p>
      <w:pPr>
        <w:spacing w:after="0" w:line="103"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2580" w:type="dxa"/>
            <w:vAlign w:val="bottom"/>
            <w:tcBorders>
              <w:top w:val="single" w:sz="8" w:color="auto"/>
              <w:left w:val="single" w:sz="8" w:color="auto"/>
            </w:tcBorders>
          </w:tcPr>
          <w:p>
            <w:pPr>
              <w:spacing w:after="0"/>
              <w:rPr>
                <w:sz w:val="19"/>
                <w:szCs w:val="19"/>
                <w:color w:val="auto"/>
              </w:rPr>
            </w:pPr>
          </w:p>
        </w:tc>
        <w:tc>
          <w:tcPr>
            <w:tcW w:w="5680" w:type="dxa"/>
            <w:vAlign w:val="bottom"/>
            <w:tcBorders>
              <w:top w:val="single" w:sz="8" w:color="auto"/>
              <w:right w:val="single" w:sz="8" w:color="auto"/>
            </w:tcBorders>
            <w:gridSpan w:val="2"/>
          </w:tcPr>
          <w:p>
            <w:pPr>
              <w:jc w:val="center"/>
              <w:ind w:right="2511"/>
              <w:spacing w:after="0"/>
              <w:rPr>
                <w:sz w:val="20"/>
                <w:szCs w:val="20"/>
                <w:color w:val="auto"/>
              </w:rPr>
            </w:pPr>
            <w:r>
              <w:rPr>
                <w:rFonts w:ascii="Times New Roman" w:cs="Times New Roman" w:eastAsia="Times New Roman" w:hAnsi="Times New Roman"/>
                <w:sz w:val="14"/>
                <w:szCs w:val="14"/>
                <w:b w:val="1"/>
                <w:bCs w:val="1"/>
                <w:color w:val="auto"/>
              </w:rPr>
              <w:t>SHIELD OPTIONS</w:t>
            </w:r>
          </w:p>
        </w:tc>
      </w:tr>
      <w:tr>
        <w:trPr>
          <w:trHeight w:val="23"/>
        </w:trPr>
        <w:tc>
          <w:tcPr>
            <w:tcW w:w="258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28"/>
        </w:trPr>
        <w:tc>
          <w:tcPr>
            <w:tcW w:w="2580" w:type="dxa"/>
            <w:vAlign w:val="bottom"/>
            <w:tcBorders>
              <w:left w:val="single" w:sz="8" w:color="auto"/>
              <w:bottom w:val="single" w:sz="8" w:color="F0FFFF"/>
            </w:tcBorders>
            <w:shd w:val="clear" w:color="auto" w:fill="F0FFFF"/>
          </w:tcPr>
          <w:p>
            <w:pPr>
              <w:ind w:left="17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540" w:type="dxa"/>
            <w:vAlign w:val="bottom"/>
            <w:tcBorders>
              <w:bottom w:val="single" w:sz="8" w:color="F0FFFF"/>
              <w:right w:val="single" w:sz="8" w:color="auto"/>
            </w:tcBorders>
            <w:shd w:val="clear" w:color="auto" w:fill="F0FFFF"/>
          </w:tcPr>
          <w:p>
            <w:pPr>
              <w:spacing w:after="0"/>
              <w:rPr>
                <w:sz w:val="19"/>
                <w:szCs w:val="19"/>
                <w:color w:val="auto"/>
              </w:rPr>
            </w:pPr>
          </w:p>
        </w:tc>
        <w:tc>
          <w:tcPr>
            <w:tcW w:w="4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218"/>
        </w:trPr>
        <w:tc>
          <w:tcPr>
            <w:tcW w:w="2580" w:type="dxa"/>
            <w:vAlign w:val="bottom"/>
            <w:tcBorders>
              <w:top w:val="single" w:sz="8" w:color="auto"/>
              <w:left w:val="single" w:sz="8" w:color="auto"/>
            </w:tcBorders>
          </w:tcPr>
          <w:p>
            <w:pPr>
              <w:spacing w:after="0"/>
              <w:rPr>
                <w:sz w:val="18"/>
                <w:szCs w:val="18"/>
                <w:color w:val="auto"/>
              </w:rPr>
            </w:pPr>
          </w:p>
        </w:tc>
        <w:tc>
          <w:tcPr>
            <w:tcW w:w="5680" w:type="dxa"/>
            <w:vAlign w:val="bottom"/>
            <w:tcBorders>
              <w:top w:val="single" w:sz="8" w:color="auto"/>
              <w:right w:val="single" w:sz="8" w:color="auto"/>
            </w:tcBorders>
            <w:gridSpan w:val="2"/>
          </w:tcPr>
          <w:p>
            <w:pPr>
              <w:jc w:val="center"/>
              <w:ind w:right="2491"/>
              <w:spacing w:after="0"/>
              <w:rPr>
                <w:sz w:val="20"/>
                <w:szCs w:val="20"/>
                <w:color w:val="auto"/>
              </w:rPr>
            </w:pPr>
            <w:r>
              <w:rPr>
                <w:rFonts w:ascii="Times New Roman" w:cs="Times New Roman" w:eastAsia="Times New Roman" w:hAnsi="Times New Roman"/>
                <w:sz w:val="18"/>
                <w:szCs w:val="18"/>
                <w:color w:val="auto"/>
                <w:w w:val="99"/>
              </w:rPr>
              <w:t>SHIELD 25</w:t>
            </w:r>
          </w:p>
        </w:tc>
      </w:tr>
      <w:tr>
        <w:trPr>
          <w:trHeight w:val="234"/>
        </w:trPr>
        <w:tc>
          <w:tcPr>
            <w:tcW w:w="2580" w:type="dxa"/>
            <w:vAlign w:val="bottom"/>
            <w:tcBorders>
              <w:left w:val="single" w:sz="8" w:color="auto"/>
            </w:tcBorders>
          </w:tcPr>
          <w:p>
            <w:pPr>
              <w:spacing w:after="0"/>
              <w:rPr>
                <w:sz w:val="20"/>
                <w:szCs w:val="20"/>
                <w:color w:val="auto"/>
              </w:rPr>
            </w:pPr>
          </w:p>
        </w:tc>
        <w:tc>
          <w:tcPr>
            <w:tcW w:w="5680" w:type="dxa"/>
            <w:vAlign w:val="bottom"/>
            <w:tcBorders>
              <w:right w:val="single" w:sz="8" w:color="auto"/>
            </w:tcBorders>
            <w:gridSpan w:val="2"/>
          </w:tcPr>
          <w:p>
            <w:pPr>
              <w:jc w:val="center"/>
              <w:ind w:right="2511"/>
              <w:spacing w:after="0"/>
              <w:rPr>
                <w:sz w:val="20"/>
                <w:szCs w:val="20"/>
                <w:color w:val="auto"/>
              </w:rPr>
            </w:pPr>
            <w:r>
              <w:rPr>
                <w:rFonts w:ascii="Times New Roman" w:cs="Times New Roman" w:eastAsia="Times New Roman" w:hAnsi="Times New Roman"/>
                <w:sz w:val="18"/>
                <w:szCs w:val="18"/>
                <w:color w:val="auto"/>
                <w:w w:val="99"/>
              </w:rPr>
              <w:t>(up to 25% downside protection)</w:t>
            </w:r>
          </w:p>
        </w:tc>
      </w:tr>
      <w:tr>
        <w:trPr>
          <w:trHeight w:val="27"/>
        </w:trPr>
        <w:tc>
          <w:tcPr>
            <w:tcW w:w="258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15"/>
        </w:trPr>
        <w:tc>
          <w:tcPr>
            <w:tcW w:w="25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1 Year</w:t>
            </w: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shd w:val="clear" w:color="auto" w:fill="F0FFFF"/>
          </w:tcPr>
          <w:p>
            <w:pPr>
              <w:spacing w:after="0"/>
              <w:rPr>
                <w:sz w:val="21"/>
                <w:szCs w:val="21"/>
                <w:color w:val="auto"/>
              </w:rPr>
            </w:pPr>
          </w:p>
        </w:tc>
        <w:tc>
          <w:tcPr>
            <w:tcW w:w="15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shd w:val="clear" w:color="auto" w:fill="F0FFFF"/>
          </w:tcPr>
          <w:p>
            <w:pPr>
              <w:spacing w:after="0"/>
              <w:rPr>
                <w:sz w:val="17"/>
                <w:szCs w:val="17"/>
                <w:color w:val="auto"/>
              </w:rPr>
            </w:pPr>
          </w:p>
        </w:tc>
        <w:tc>
          <w:tcPr>
            <w:tcW w:w="15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shd w:val="clear" w:color="auto" w:fill="F0FFFF"/>
          </w:tcPr>
          <w:p>
            <w:pPr>
              <w:spacing w:after="0"/>
              <w:rPr>
                <w:sz w:val="24"/>
                <w:szCs w:val="24"/>
                <w:color w:val="auto"/>
              </w:rPr>
            </w:pPr>
          </w:p>
        </w:tc>
        <w:tc>
          <w:tcPr>
            <w:tcW w:w="15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15"/>
        </w:trPr>
        <w:tc>
          <w:tcPr>
            <w:tcW w:w="2580" w:type="dxa"/>
            <w:vAlign w:val="bottom"/>
            <w:tcBorders>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6 Year</w:t>
            </w: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18"/>
        </w:trPr>
        <w:tc>
          <w:tcPr>
            <w:tcW w:w="2580" w:type="dxa"/>
            <w:vAlign w:val="bottom"/>
            <w:tcBorders>
              <w:left w:val="single" w:sz="8" w:color="auto"/>
            </w:tcBorders>
            <w:shd w:val="clear" w:color="auto" w:fill="F0FFFF"/>
          </w:tcPr>
          <w:p>
            <w:pPr>
              <w:spacing w:after="0"/>
              <w:rPr>
                <w:sz w:val="18"/>
                <w:szCs w:val="18"/>
                <w:color w:val="auto"/>
              </w:rPr>
            </w:pPr>
          </w:p>
        </w:tc>
        <w:tc>
          <w:tcPr>
            <w:tcW w:w="5680" w:type="dxa"/>
            <w:vAlign w:val="bottom"/>
            <w:tcBorders>
              <w:right w:val="single" w:sz="8" w:color="auto"/>
            </w:tcBorders>
            <w:gridSpan w:val="2"/>
            <w:shd w:val="clear" w:color="auto" w:fill="F0FFFF"/>
          </w:tcPr>
          <w:p>
            <w:pPr>
              <w:jc w:val="center"/>
              <w:ind w:right="2491"/>
              <w:spacing w:after="0"/>
              <w:rPr>
                <w:sz w:val="20"/>
                <w:szCs w:val="20"/>
                <w:color w:val="auto"/>
              </w:rPr>
            </w:pPr>
            <w:r>
              <w:rPr>
                <w:rFonts w:ascii="Times New Roman" w:cs="Times New Roman" w:eastAsia="Times New Roman" w:hAnsi="Times New Roman"/>
                <w:sz w:val="18"/>
                <w:szCs w:val="18"/>
                <w:color w:val="auto"/>
                <w:w w:val="99"/>
              </w:rPr>
              <w:t>SHIELD 15</w:t>
            </w:r>
          </w:p>
        </w:tc>
      </w:tr>
      <w:tr>
        <w:trPr>
          <w:trHeight w:val="266"/>
        </w:trPr>
        <w:tc>
          <w:tcPr>
            <w:tcW w:w="2580" w:type="dxa"/>
            <w:vAlign w:val="bottom"/>
            <w:tcBorders>
              <w:left w:val="single" w:sz="8" w:color="auto"/>
              <w:bottom w:val="single" w:sz="8" w:color="F0FFFF"/>
            </w:tcBorders>
            <w:shd w:val="clear" w:color="auto" w:fill="F0FFFF"/>
          </w:tcPr>
          <w:p>
            <w:pPr>
              <w:spacing w:after="0"/>
              <w:rPr>
                <w:sz w:val="22"/>
                <w:szCs w:val="22"/>
                <w:color w:val="auto"/>
              </w:rPr>
            </w:pPr>
          </w:p>
        </w:tc>
        <w:tc>
          <w:tcPr>
            <w:tcW w:w="5680" w:type="dxa"/>
            <w:vAlign w:val="bottom"/>
            <w:tcBorders>
              <w:bottom w:val="single" w:sz="8" w:color="F0FFFF"/>
              <w:right w:val="single" w:sz="8" w:color="auto"/>
            </w:tcBorders>
            <w:gridSpan w:val="2"/>
            <w:shd w:val="clear" w:color="auto" w:fill="F0FFFF"/>
          </w:tcPr>
          <w:p>
            <w:pPr>
              <w:jc w:val="center"/>
              <w:ind w:right="2511"/>
              <w:spacing w:after="0"/>
              <w:rPr>
                <w:sz w:val="20"/>
                <w:szCs w:val="20"/>
                <w:color w:val="auto"/>
              </w:rPr>
            </w:pPr>
            <w:r>
              <w:rPr>
                <w:rFonts w:ascii="Times New Roman" w:cs="Times New Roman" w:eastAsia="Times New Roman" w:hAnsi="Times New Roman"/>
                <w:sz w:val="18"/>
                <w:szCs w:val="18"/>
                <w:color w:val="auto"/>
                <w:w w:val="99"/>
              </w:rPr>
              <w:t>(up to 15% downside protection)</w:t>
            </w:r>
          </w:p>
        </w:tc>
      </w:tr>
      <w:tr>
        <w:trPr>
          <w:trHeight w:val="215"/>
        </w:trPr>
        <w:tc>
          <w:tcPr>
            <w:tcW w:w="2580" w:type="dxa"/>
            <w:vAlign w:val="bottom"/>
            <w:tcBorders>
              <w:top w:val="single" w:sz="8" w:color="auto"/>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 Year</w:t>
            </w:r>
          </w:p>
        </w:tc>
        <w:tc>
          <w:tcPr>
            <w:tcW w:w="1540" w:type="dxa"/>
            <w:vAlign w:val="bottom"/>
            <w:tcBorders>
              <w:top w:val="single" w:sz="8" w:color="auto"/>
              <w:right w:val="single" w:sz="8" w:color="auto"/>
            </w:tcBorders>
          </w:tcPr>
          <w:p>
            <w:pPr>
              <w:spacing w:after="0"/>
              <w:rPr>
                <w:sz w:val="18"/>
                <w:szCs w:val="18"/>
                <w:color w:val="auto"/>
              </w:rPr>
            </w:pPr>
          </w:p>
        </w:tc>
        <w:tc>
          <w:tcPr>
            <w:tcW w:w="41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29"/>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580" w:type="dxa"/>
            <w:vAlign w:val="bottom"/>
            <w:tcBorders>
              <w:lef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5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w:t>
            </w:r>
          </w:p>
        </w:tc>
      </w:tr>
      <w:tr>
        <w:trPr>
          <w:trHeight w:val="216"/>
        </w:trPr>
        <w:tc>
          <w:tcPr>
            <w:tcW w:w="25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5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30"/>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29"/>
        </w:trPr>
        <w:tc>
          <w:tcPr>
            <w:tcW w:w="258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580" w:type="dxa"/>
            <w:vAlign w:val="bottom"/>
            <w:tcBorders>
              <w:left w:val="single" w:sz="8" w:color="auto"/>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5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2 Year</w:t>
            </w: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30"/>
        </w:trPr>
        <w:tc>
          <w:tcPr>
            <w:tcW w:w="2580" w:type="dxa"/>
            <w:vAlign w:val="bottom"/>
            <w:tcBorders>
              <w:left w:val="single" w:sz="8" w:color="auto"/>
            </w:tcBorders>
            <w:shd w:val="clear" w:color="auto" w:fill="F0FFFF"/>
          </w:tcPr>
          <w:p>
            <w:pPr>
              <w:spacing w:after="0"/>
              <w:rPr>
                <w:sz w:val="19"/>
                <w:szCs w:val="19"/>
                <w:color w:val="auto"/>
              </w:rPr>
            </w:pPr>
          </w:p>
        </w:tc>
        <w:tc>
          <w:tcPr>
            <w:tcW w:w="15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29"/>
        </w:trPr>
        <w:tc>
          <w:tcPr>
            <w:tcW w:w="2580" w:type="dxa"/>
            <w:vAlign w:val="bottom"/>
            <w:tcBorders>
              <w:left w:val="single" w:sz="8" w:color="auto"/>
            </w:tcBorders>
            <w:shd w:val="clear" w:color="auto" w:fill="F0FFFF"/>
          </w:tcPr>
          <w:p>
            <w:pPr>
              <w:spacing w:after="0"/>
              <w:rPr>
                <w:sz w:val="19"/>
                <w:szCs w:val="19"/>
                <w:color w:val="auto"/>
              </w:rPr>
            </w:pPr>
          </w:p>
        </w:tc>
        <w:tc>
          <w:tcPr>
            <w:tcW w:w="15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580" w:type="dxa"/>
            <w:vAlign w:val="bottom"/>
            <w:tcBorders>
              <w:left w:val="single" w:sz="8" w:color="auto"/>
            </w:tcBorders>
            <w:shd w:val="clear" w:color="auto" w:fill="F0FFFF"/>
          </w:tcPr>
          <w:p>
            <w:pPr>
              <w:spacing w:after="0"/>
              <w:rPr>
                <w:sz w:val="21"/>
                <w:szCs w:val="21"/>
                <w:color w:val="auto"/>
              </w:rPr>
            </w:pPr>
          </w:p>
        </w:tc>
        <w:tc>
          <w:tcPr>
            <w:tcW w:w="15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580" w:type="dxa"/>
            <w:vAlign w:val="bottom"/>
            <w:tcBorders>
              <w:left w:val="single" w:sz="8" w:color="auto"/>
            </w:tcBorders>
            <w:shd w:val="clear" w:color="auto" w:fill="F0FFFF"/>
          </w:tcPr>
          <w:p>
            <w:pPr>
              <w:spacing w:after="0"/>
              <w:rPr>
                <w:sz w:val="18"/>
                <w:szCs w:val="18"/>
                <w:color w:val="auto"/>
              </w:rPr>
            </w:pP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580" w:type="dxa"/>
            <w:vAlign w:val="bottom"/>
            <w:tcBorders>
              <w:left w:val="single" w:sz="8" w:color="auto"/>
            </w:tcBorders>
            <w:shd w:val="clear" w:color="auto" w:fill="F0FFFF"/>
          </w:tcPr>
          <w:p>
            <w:pPr>
              <w:spacing w:after="0"/>
              <w:rPr>
                <w:sz w:val="17"/>
                <w:szCs w:val="17"/>
                <w:color w:val="auto"/>
              </w:rPr>
            </w:pPr>
          </w:p>
        </w:tc>
        <w:tc>
          <w:tcPr>
            <w:tcW w:w="15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30"/>
        </w:trPr>
        <w:tc>
          <w:tcPr>
            <w:tcW w:w="2580" w:type="dxa"/>
            <w:vAlign w:val="bottom"/>
            <w:tcBorders>
              <w:left w:val="single" w:sz="8" w:color="auto"/>
            </w:tcBorders>
            <w:shd w:val="clear" w:color="auto" w:fill="F0FFFF"/>
          </w:tcPr>
          <w:p>
            <w:pPr>
              <w:spacing w:after="0"/>
              <w:rPr>
                <w:sz w:val="19"/>
                <w:szCs w:val="19"/>
                <w:color w:val="auto"/>
              </w:rPr>
            </w:pPr>
          </w:p>
        </w:tc>
        <w:tc>
          <w:tcPr>
            <w:tcW w:w="15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580" w:type="dxa"/>
            <w:vAlign w:val="bottom"/>
            <w:tcBorders>
              <w:left w:val="single" w:sz="8" w:color="auto"/>
              <w:bottom w:val="single" w:sz="8" w:color="auto"/>
            </w:tcBorders>
            <w:shd w:val="clear" w:color="auto" w:fill="F0FFFF"/>
          </w:tcPr>
          <w:p>
            <w:pPr>
              <w:spacing w:after="0"/>
              <w:rPr>
                <w:sz w:val="24"/>
                <w:szCs w:val="24"/>
                <w:color w:val="auto"/>
              </w:rPr>
            </w:pPr>
          </w:p>
        </w:tc>
        <w:tc>
          <w:tcPr>
            <w:tcW w:w="15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580" w:type="dxa"/>
            <w:vAlign w:val="bottom"/>
            <w:tcBorders>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3 Year</w:t>
            </w:r>
          </w:p>
        </w:tc>
        <w:tc>
          <w:tcPr>
            <w:tcW w:w="15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15"/>
        </w:trPr>
        <w:tc>
          <w:tcPr>
            <w:tcW w:w="25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6 Year</w:t>
            </w:r>
          </w:p>
        </w:tc>
        <w:tc>
          <w:tcPr>
            <w:tcW w:w="15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580" w:type="dxa"/>
            <w:vAlign w:val="bottom"/>
            <w:tcBorders>
              <w:left w:val="single" w:sz="8" w:color="auto"/>
            </w:tcBorders>
            <w:shd w:val="clear" w:color="auto" w:fill="F0FFFF"/>
          </w:tcPr>
          <w:p>
            <w:pPr>
              <w:spacing w:after="0"/>
              <w:rPr>
                <w:sz w:val="21"/>
                <w:szCs w:val="21"/>
                <w:color w:val="auto"/>
              </w:rPr>
            </w:pPr>
          </w:p>
        </w:tc>
        <w:tc>
          <w:tcPr>
            <w:tcW w:w="15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580" w:type="dxa"/>
            <w:vAlign w:val="bottom"/>
            <w:tcBorders>
              <w:left w:val="single" w:sz="8" w:color="auto"/>
            </w:tcBorders>
            <w:shd w:val="clear" w:color="auto" w:fill="F0FFFF"/>
          </w:tcPr>
          <w:p>
            <w:pPr>
              <w:spacing w:after="0"/>
              <w:rPr>
                <w:sz w:val="17"/>
                <w:szCs w:val="17"/>
                <w:color w:val="auto"/>
              </w:rPr>
            </w:pPr>
          </w:p>
        </w:tc>
        <w:tc>
          <w:tcPr>
            <w:tcW w:w="15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580" w:type="dxa"/>
            <w:vAlign w:val="bottom"/>
            <w:tcBorders>
              <w:left w:val="single" w:sz="8" w:color="auto"/>
              <w:bottom w:val="single" w:sz="8" w:color="auto"/>
            </w:tcBorders>
            <w:shd w:val="clear" w:color="auto" w:fill="F0FFFF"/>
          </w:tcPr>
          <w:p>
            <w:pPr>
              <w:spacing w:after="0"/>
              <w:rPr>
                <w:sz w:val="24"/>
                <w:szCs w:val="24"/>
                <w:color w:val="auto"/>
              </w:rPr>
            </w:pPr>
          </w:p>
        </w:tc>
        <w:tc>
          <w:tcPr>
            <w:tcW w:w="15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191"/>
        </w:trPr>
        <w:tc>
          <w:tcPr>
            <w:tcW w:w="2580" w:type="dxa"/>
            <w:vAlign w:val="bottom"/>
            <w:tcBorders>
              <w:left w:val="single" w:sz="8" w:color="auto"/>
            </w:tcBorders>
          </w:tcPr>
          <w:p>
            <w:pPr>
              <w:spacing w:after="0"/>
              <w:rPr>
                <w:sz w:val="16"/>
                <w:szCs w:val="16"/>
                <w:color w:val="auto"/>
              </w:rPr>
            </w:pPr>
          </w:p>
        </w:tc>
        <w:tc>
          <w:tcPr>
            <w:tcW w:w="5680" w:type="dxa"/>
            <w:vAlign w:val="bottom"/>
            <w:tcBorders>
              <w:right w:val="single" w:sz="8" w:color="auto"/>
            </w:tcBorders>
            <w:gridSpan w:val="2"/>
          </w:tcPr>
          <w:p>
            <w:pPr>
              <w:jc w:val="center"/>
              <w:ind w:right="2491"/>
              <w:spacing w:after="0" w:line="191" w:lineRule="exact"/>
              <w:rPr>
                <w:sz w:val="20"/>
                <w:szCs w:val="20"/>
                <w:color w:val="auto"/>
              </w:rPr>
            </w:pPr>
            <w:r>
              <w:rPr>
                <w:rFonts w:ascii="Times New Roman" w:cs="Times New Roman" w:eastAsia="Times New Roman" w:hAnsi="Times New Roman"/>
                <w:sz w:val="18"/>
                <w:szCs w:val="18"/>
                <w:color w:val="auto"/>
                <w:w w:val="99"/>
              </w:rPr>
              <w:t>SHIELD 10</w:t>
            </w:r>
          </w:p>
        </w:tc>
      </w:tr>
      <w:tr>
        <w:trPr>
          <w:trHeight w:val="245"/>
        </w:trPr>
        <w:tc>
          <w:tcPr>
            <w:tcW w:w="2580" w:type="dxa"/>
            <w:vAlign w:val="bottom"/>
            <w:tcBorders>
              <w:left w:val="single" w:sz="8" w:color="auto"/>
              <w:bottom w:val="single" w:sz="8" w:color="auto"/>
            </w:tcBorders>
          </w:tcPr>
          <w:p>
            <w:pPr>
              <w:spacing w:after="0"/>
              <w:rPr>
                <w:sz w:val="21"/>
                <w:szCs w:val="21"/>
                <w:color w:val="auto"/>
              </w:rPr>
            </w:pPr>
          </w:p>
        </w:tc>
        <w:tc>
          <w:tcPr>
            <w:tcW w:w="5680" w:type="dxa"/>
            <w:vAlign w:val="bottom"/>
            <w:tcBorders>
              <w:bottom w:val="single" w:sz="8" w:color="auto"/>
              <w:right w:val="single" w:sz="8" w:color="auto"/>
            </w:tcBorders>
            <w:gridSpan w:val="2"/>
          </w:tcPr>
          <w:p>
            <w:pPr>
              <w:jc w:val="center"/>
              <w:ind w:right="2511"/>
              <w:spacing w:after="0"/>
              <w:rPr>
                <w:sz w:val="20"/>
                <w:szCs w:val="20"/>
                <w:color w:val="auto"/>
              </w:rPr>
            </w:pPr>
            <w:r>
              <w:rPr>
                <w:rFonts w:ascii="Times New Roman" w:cs="Times New Roman" w:eastAsia="Times New Roman" w:hAnsi="Times New Roman"/>
                <w:sz w:val="18"/>
                <w:szCs w:val="18"/>
                <w:color w:val="auto"/>
                <w:w w:val="99"/>
              </w:rPr>
              <w:t>(up to 10% downside protection)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-6662420</wp:posOffset>
            </wp:positionV>
            <wp:extent cx="522922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2922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-6353810</wp:posOffset>
            </wp:positionV>
            <wp:extent cx="5229225"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29225"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-5419090</wp:posOffset>
            </wp:positionV>
            <wp:extent cx="5229225" cy="617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29225" cy="61722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-4485005</wp:posOffset>
            </wp:positionV>
            <wp:extent cx="5229225" cy="1765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29225" cy="176593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-1527175</wp:posOffset>
            </wp:positionV>
            <wp:extent cx="5229225"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29225" cy="61722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-292735</wp:posOffset>
            </wp:positionV>
            <wp:extent cx="5229225"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9225" cy="28257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1377" w:right="1440" w:bottom="1440" w:gutter="0" w:footer="0" w:header="0"/>
          <w:type w:val="continuous"/>
        </w:sectPr>
      </w:pPr>
    </w:p>
    <w:bookmarkStart w:id="22" w:name="page23"/>
    <w:bookmarkEnd w:id="22"/>
    <w:tbl>
      <w:tblPr>
        <w:tblLayout w:type="fixed"/>
        <w:tblInd w:w="13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tcBorders>
          </w:tcPr>
          <w:p>
            <w:pPr>
              <w:spacing w:after="0"/>
              <w:rPr>
                <w:sz w:val="19"/>
                <w:szCs w:val="19"/>
                <w:color w:val="auto"/>
              </w:rPr>
            </w:pPr>
          </w:p>
        </w:tc>
        <w:tc>
          <w:tcPr>
            <w:tcW w:w="5380" w:type="dxa"/>
            <w:vAlign w:val="bottom"/>
            <w:tcBorders>
              <w:top w:val="single" w:sz="8" w:color="auto"/>
              <w:right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SHIELD OPTIONS</w:t>
            </w:r>
          </w:p>
        </w:tc>
      </w:tr>
      <w:tr>
        <w:trPr>
          <w:trHeight w:val="23"/>
        </w:trPr>
        <w:tc>
          <w:tcPr>
            <w:tcW w:w="28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28"/>
        </w:trPr>
        <w:tc>
          <w:tcPr>
            <w:tcW w:w="2880" w:type="dxa"/>
            <w:vAlign w:val="bottom"/>
            <w:tcBorders>
              <w:left w:val="single" w:sz="8" w:color="auto"/>
              <w:bottom w:val="single" w:sz="8" w:color="F0FFFF"/>
            </w:tcBorders>
            <w:shd w:val="clear" w:color="auto" w:fill="F0FFFF"/>
          </w:tcPr>
          <w:p>
            <w:pPr>
              <w:ind w:left="17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40" w:type="dxa"/>
            <w:vAlign w:val="bottom"/>
            <w:tcBorders>
              <w:bottom w:val="single" w:sz="8" w:color="F0FFFF"/>
              <w:right w:val="single" w:sz="8" w:color="auto"/>
            </w:tcBorders>
            <w:shd w:val="clear" w:color="auto" w:fill="F0FFFF"/>
          </w:tcPr>
          <w:p>
            <w:pPr>
              <w:spacing w:after="0"/>
              <w:rPr>
                <w:sz w:val="19"/>
                <w:szCs w:val="19"/>
                <w:color w:val="auto"/>
              </w:rPr>
            </w:pPr>
          </w:p>
        </w:tc>
        <w:tc>
          <w:tcPr>
            <w:tcW w:w="41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215"/>
        </w:trPr>
        <w:tc>
          <w:tcPr>
            <w:tcW w:w="2880" w:type="dxa"/>
            <w:vAlign w:val="bottom"/>
            <w:tcBorders>
              <w:top w:val="single" w:sz="8" w:color="auto"/>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 Year</w:t>
            </w:r>
          </w:p>
        </w:tc>
        <w:tc>
          <w:tcPr>
            <w:tcW w:w="1240" w:type="dxa"/>
            <w:vAlign w:val="bottom"/>
            <w:tcBorders>
              <w:top w:val="single" w:sz="8" w:color="auto"/>
              <w:right w:val="single" w:sz="8" w:color="auto"/>
            </w:tcBorders>
          </w:tcPr>
          <w:p>
            <w:pPr>
              <w:spacing w:after="0"/>
              <w:rPr>
                <w:sz w:val="18"/>
                <w:szCs w:val="18"/>
                <w:color w:val="auto"/>
              </w:rPr>
            </w:pPr>
          </w:p>
        </w:tc>
        <w:tc>
          <w:tcPr>
            <w:tcW w:w="414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30"/>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230"/>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880" w:type="dxa"/>
            <w:vAlign w:val="bottom"/>
            <w:tcBorders>
              <w:lef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8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MSCI EAFE Index</w:t>
            </w:r>
          </w:p>
        </w:tc>
      </w:tr>
      <w:tr>
        <w:trPr>
          <w:trHeight w:val="216"/>
        </w:trPr>
        <w:tc>
          <w:tcPr>
            <w:tcW w:w="28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880" w:type="dxa"/>
            <w:vAlign w:val="bottom"/>
            <w:tcBorders>
              <w:lef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229"/>
        </w:trPr>
        <w:tc>
          <w:tcPr>
            <w:tcW w:w="28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88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880" w:type="dxa"/>
            <w:vAlign w:val="bottom"/>
            <w:tcBorders>
              <w:left w:val="single" w:sz="8" w:color="auto"/>
            </w:tcBorders>
            <w:shd w:val="clear" w:color="auto" w:fill="F0FFFF"/>
          </w:tcPr>
          <w:p>
            <w:pPr>
              <w:ind w:left="1760"/>
              <w:spacing w:after="0"/>
              <w:rPr>
                <w:sz w:val="20"/>
                <w:szCs w:val="20"/>
                <w:color w:val="auto"/>
              </w:rPr>
            </w:pPr>
            <w:r>
              <w:rPr>
                <w:rFonts w:ascii="Times New Roman" w:cs="Times New Roman" w:eastAsia="Times New Roman" w:hAnsi="Times New Roman"/>
                <w:sz w:val="18"/>
                <w:szCs w:val="18"/>
                <w:color w:val="auto"/>
              </w:rPr>
              <w:t>2 Year</w:t>
            </w:r>
          </w:p>
        </w:tc>
        <w:tc>
          <w:tcPr>
            <w:tcW w:w="12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line="214"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29"/>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S&amp;P 500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30"/>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w:t>
            </w:r>
          </w:p>
        </w:tc>
      </w:tr>
      <w:tr>
        <w:trPr>
          <w:trHeight w:val="246"/>
        </w:trPr>
        <w:tc>
          <w:tcPr>
            <w:tcW w:w="2880" w:type="dxa"/>
            <w:vAlign w:val="bottom"/>
            <w:tcBorders>
              <w:left w:val="single" w:sz="8" w:color="auto"/>
            </w:tcBorders>
            <w:shd w:val="clear" w:color="auto" w:fill="F0FFFF"/>
          </w:tcPr>
          <w:p>
            <w:pPr>
              <w:spacing w:after="0"/>
              <w:rPr>
                <w:sz w:val="21"/>
                <w:szCs w:val="21"/>
                <w:color w:val="auto"/>
              </w:rPr>
            </w:pPr>
          </w:p>
        </w:tc>
        <w:tc>
          <w:tcPr>
            <w:tcW w:w="1240" w:type="dxa"/>
            <w:vAlign w:val="bottom"/>
            <w:tcBorders>
              <w:right w:val="single" w:sz="8" w:color="auto"/>
            </w:tcBorders>
            <w:shd w:val="clear" w:color="auto" w:fill="F0FFFF"/>
          </w:tcPr>
          <w:p>
            <w:pPr>
              <w:spacing w:after="0"/>
              <w:rPr>
                <w:sz w:val="21"/>
                <w:szCs w:val="21"/>
                <w:color w:val="auto"/>
              </w:rPr>
            </w:pPr>
          </w:p>
        </w:tc>
        <w:tc>
          <w:tcPr>
            <w:tcW w:w="4140" w:type="dxa"/>
            <w:vAlign w:val="bottom"/>
            <w:tcBorders>
              <w:right w:val="single" w:sz="8" w:color="auto"/>
            </w:tcBorders>
            <w:shd w:val="clear" w:color="auto" w:fill="F0FFFF"/>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 Step Rate Edge</w:t>
            </w:r>
          </w:p>
        </w:tc>
      </w:tr>
      <w:tr>
        <w:trPr>
          <w:trHeight w:val="216"/>
        </w:trPr>
        <w:tc>
          <w:tcPr>
            <w:tcW w:w="2880" w:type="dxa"/>
            <w:vAlign w:val="bottom"/>
            <w:tcBorders>
              <w:left w:val="single" w:sz="8" w:color="auto"/>
            </w:tcBorders>
            <w:shd w:val="clear" w:color="auto" w:fill="F0FFFF"/>
          </w:tcPr>
          <w:p>
            <w:pPr>
              <w:spacing w:after="0"/>
              <w:rPr>
                <w:sz w:val="18"/>
                <w:szCs w:val="18"/>
                <w:color w:val="auto"/>
              </w:rPr>
            </w:pPr>
          </w:p>
        </w:tc>
        <w:tc>
          <w:tcPr>
            <w:tcW w:w="1240" w:type="dxa"/>
            <w:vAlign w:val="bottom"/>
            <w:tcBorders>
              <w:right w:val="single" w:sz="8" w:color="auto"/>
            </w:tcBorders>
            <w:shd w:val="clear" w:color="auto" w:fill="F0FFFF"/>
          </w:tcPr>
          <w:p>
            <w:pPr>
              <w:spacing w:after="0"/>
              <w:rPr>
                <w:sz w:val="18"/>
                <w:szCs w:val="18"/>
                <w:color w:val="auto"/>
              </w:rPr>
            </w:pPr>
          </w:p>
        </w:tc>
        <w:tc>
          <w:tcPr>
            <w:tcW w:w="41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MSCI EAFE Index Step Rate</w:t>
            </w:r>
          </w:p>
        </w:tc>
      </w:tr>
      <w:tr>
        <w:trPr>
          <w:trHeight w:val="199"/>
        </w:trPr>
        <w:tc>
          <w:tcPr>
            <w:tcW w:w="2880" w:type="dxa"/>
            <w:vAlign w:val="bottom"/>
            <w:tcBorders>
              <w:left w:val="single" w:sz="8" w:color="auto"/>
            </w:tcBorders>
            <w:shd w:val="clear" w:color="auto" w:fill="F0FFFF"/>
          </w:tcPr>
          <w:p>
            <w:pPr>
              <w:spacing w:after="0"/>
              <w:rPr>
                <w:sz w:val="17"/>
                <w:szCs w:val="17"/>
                <w:color w:val="auto"/>
              </w:rPr>
            </w:pPr>
          </w:p>
        </w:tc>
        <w:tc>
          <w:tcPr>
            <w:tcW w:w="1240" w:type="dxa"/>
            <w:vAlign w:val="bottom"/>
            <w:tcBorders>
              <w:right w:val="single" w:sz="8" w:color="auto"/>
            </w:tcBorders>
            <w:shd w:val="clear" w:color="auto" w:fill="F0FFFF"/>
          </w:tcPr>
          <w:p>
            <w:pPr>
              <w:spacing w:after="0"/>
              <w:rPr>
                <w:sz w:val="17"/>
                <w:szCs w:val="17"/>
                <w:color w:val="auto"/>
              </w:rPr>
            </w:pPr>
          </w:p>
        </w:tc>
        <w:tc>
          <w:tcPr>
            <w:tcW w:w="4140" w:type="dxa"/>
            <w:vAlign w:val="bottom"/>
            <w:tcBorders>
              <w:right w:val="single" w:sz="8" w:color="auto"/>
            </w:tcBorders>
            <w:shd w:val="clear" w:color="auto" w:fill="F0FF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 Step Rate Edge</w:t>
            </w:r>
          </w:p>
        </w:tc>
      </w:tr>
      <w:tr>
        <w:trPr>
          <w:trHeight w:val="229"/>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Step Rate</w:t>
            </w:r>
          </w:p>
        </w:tc>
      </w:tr>
      <w:tr>
        <w:trPr>
          <w:trHeight w:val="292"/>
        </w:trPr>
        <w:tc>
          <w:tcPr>
            <w:tcW w:w="2880" w:type="dxa"/>
            <w:vAlign w:val="bottom"/>
            <w:tcBorders>
              <w:left w:val="single" w:sz="8" w:color="auto"/>
              <w:bottom w:val="single" w:sz="8" w:color="auto"/>
            </w:tcBorders>
            <w:shd w:val="clear" w:color="auto" w:fill="F0FFFF"/>
          </w:tcPr>
          <w:p>
            <w:pPr>
              <w:spacing w:after="0"/>
              <w:rPr>
                <w:sz w:val="24"/>
                <w:szCs w:val="24"/>
                <w:color w:val="auto"/>
              </w:rPr>
            </w:pPr>
          </w:p>
        </w:tc>
        <w:tc>
          <w:tcPr>
            <w:tcW w:w="12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7"/>
              </w:rPr>
              <w:t>Nasdaq-100 Index</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Step Rate Edge</w:t>
            </w:r>
          </w:p>
        </w:tc>
      </w:tr>
      <w:tr>
        <w:trPr>
          <w:trHeight w:val="215"/>
        </w:trPr>
        <w:tc>
          <w:tcPr>
            <w:tcW w:w="2880" w:type="dxa"/>
            <w:vAlign w:val="bottom"/>
            <w:tcBorders>
              <w:lef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3 Year</w:t>
            </w:r>
          </w:p>
        </w:tc>
        <w:tc>
          <w:tcPr>
            <w:tcW w:w="124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46"/>
        </w:trPr>
        <w:tc>
          <w:tcPr>
            <w:tcW w:w="2880" w:type="dxa"/>
            <w:vAlign w:val="bottom"/>
            <w:tcBorders>
              <w:lef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4140" w:type="dxa"/>
            <w:vAlign w:val="bottom"/>
            <w:tcBorders>
              <w:right w:val="single" w:sz="8" w:color="auto"/>
            </w:tcBorders>
          </w:tcPr>
          <w:p>
            <w:pPr>
              <w:jc w:val="center"/>
              <w:spacing w:after="0" w:line="246"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99"/>
        </w:trPr>
        <w:tc>
          <w:tcPr>
            <w:tcW w:w="2880" w:type="dxa"/>
            <w:vAlign w:val="bottom"/>
            <w:tcBorders>
              <w:lef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4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2"/>
        </w:trPr>
        <w:tc>
          <w:tcPr>
            <w:tcW w:w="288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r>
        <w:trPr>
          <w:trHeight w:val="188"/>
        </w:trPr>
        <w:tc>
          <w:tcPr>
            <w:tcW w:w="2880" w:type="dxa"/>
            <w:vAlign w:val="bottom"/>
            <w:tcBorders>
              <w:left w:val="single" w:sz="8" w:color="auto"/>
            </w:tcBorders>
            <w:shd w:val="clear" w:color="auto" w:fill="F0FFFF"/>
          </w:tcPr>
          <w:p>
            <w:pPr>
              <w:ind w:left="1760"/>
              <w:spacing w:after="0" w:line="188" w:lineRule="exact"/>
              <w:rPr>
                <w:sz w:val="20"/>
                <w:szCs w:val="20"/>
                <w:color w:val="auto"/>
              </w:rPr>
            </w:pPr>
            <w:r>
              <w:rPr>
                <w:rFonts w:ascii="Times New Roman" w:cs="Times New Roman" w:eastAsia="Times New Roman" w:hAnsi="Times New Roman"/>
                <w:sz w:val="18"/>
                <w:szCs w:val="18"/>
                <w:color w:val="auto"/>
              </w:rPr>
              <w:t>6 Year</w:t>
            </w:r>
          </w:p>
        </w:tc>
        <w:tc>
          <w:tcPr>
            <w:tcW w:w="1240" w:type="dxa"/>
            <w:vAlign w:val="bottom"/>
            <w:tcBorders>
              <w:right w:val="single" w:sz="8" w:color="auto"/>
            </w:tcBorders>
            <w:shd w:val="clear" w:color="auto" w:fill="F0FFFF"/>
          </w:tcPr>
          <w:p>
            <w:pPr>
              <w:spacing w:after="0"/>
              <w:rPr>
                <w:sz w:val="16"/>
                <w:szCs w:val="16"/>
                <w:color w:val="auto"/>
              </w:rPr>
            </w:pPr>
          </w:p>
        </w:tc>
        <w:tc>
          <w:tcPr>
            <w:tcW w:w="4140" w:type="dxa"/>
            <w:vAlign w:val="bottom"/>
            <w:tcBorders>
              <w:right w:val="single" w:sz="8" w:color="auto"/>
            </w:tcBorders>
            <w:shd w:val="clear" w:color="auto" w:fill="F0FFFF"/>
          </w:tcPr>
          <w:p>
            <w:pPr>
              <w:jc w:val="center"/>
              <w:spacing w:after="0" w:line="188" w:lineRule="exact"/>
              <w:rPr>
                <w:sz w:val="20"/>
                <w:szCs w:val="20"/>
                <w:color w:val="auto"/>
              </w:rPr>
            </w:pPr>
            <w:r>
              <w:rPr>
                <w:rFonts w:ascii="Times New Roman" w:cs="Times New Roman" w:eastAsia="Times New Roman" w:hAnsi="Times New Roman"/>
                <w:sz w:val="17"/>
                <w:szCs w:val="17"/>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Index</w:t>
            </w:r>
          </w:p>
        </w:tc>
      </w:tr>
      <w:tr>
        <w:trPr>
          <w:trHeight w:val="219"/>
        </w:trPr>
        <w:tc>
          <w:tcPr>
            <w:tcW w:w="2880" w:type="dxa"/>
            <w:vAlign w:val="bottom"/>
            <w:tcBorders>
              <w:left w:val="single" w:sz="8" w:color="auto"/>
            </w:tcBorders>
            <w:shd w:val="clear" w:color="auto" w:fill="F0FFFF"/>
          </w:tcPr>
          <w:p>
            <w:pPr>
              <w:spacing w:after="0"/>
              <w:rPr>
                <w:sz w:val="19"/>
                <w:szCs w:val="19"/>
                <w:color w:val="auto"/>
              </w:rPr>
            </w:pPr>
          </w:p>
        </w:tc>
        <w:tc>
          <w:tcPr>
            <w:tcW w:w="1240" w:type="dxa"/>
            <w:vAlign w:val="bottom"/>
            <w:tcBorders>
              <w:right w:val="single" w:sz="8" w:color="auto"/>
            </w:tcBorders>
            <w:shd w:val="clear" w:color="auto" w:fill="F0FFFF"/>
          </w:tcPr>
          <w:p>
            <w:pPr>
              <w:spacing w:after="0"/>
              <w:rPr>
                <w:sz w:val="19"/>
                <w:szCs w:val="19"/>
                <w:color w:val="auto"/>
              </w:rPr>
            </w:pPr>
          </w:p>
        </w:tc>
        <w:tc>
          <w:tcPr>
            <w:tcW w:w="4140" w:type="dxa"/>
            <w:vAlign w:val="bottom"/>
            <w:tcBorders>
              <w:right w:val="single" w:sz="8" w:color="auto"/>
            </w:tcBorders>
            <w:shd w:val="clear" w:color="auto" w:fill="F0FFFF"/>
          </w:tcPr>
          <w:p>
            <w:pPr>
              <w:jc w:val="center"/>
              <w:spacing w:after="0" w:line="220" w:lineRule="exact"/>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186"/>
        </w:trPr>
        <w:tc>
          <w:tcPr>
            <w:tcW w:w="2880" w:type="dxa"/>
            <w:vAlign w:val="bottom"/>
            <w:tcBorders>
              <w:left w:val="single" w:sz="8" w:color="auto"/>
            </w:tcBorders>
            <w:shd w:val="clear" w:color="auto" w:fill="F0FFFF"/>
          </w:tcPr>
          <w:p>
            <w:pPr>
              <w:spacing w:after="0"/>
              <w:rPr>
                <w:sz w:val="16"/>
                <w:szCs w:val="16"/>
                <w:color w:val="auto"/>
              </w:rPr>
            </w:pPr>
          </w:p>
        </w:tc>
        <w:tc>
          <w:tcPr>
            <w:tcW w:w="1240" w:type="dxa"/>
            <w:vAlign w:val="bottom"/>
            <w:tcBorders>
              <w:right w:val="single" w:sz="8" w:color="auto"/>
            </w:tcBorders>
            <w:shd w:val="clear" w:color="auto" w:fill="F0FFFF"/>
          </w:tcPr>
          <w:p>
            <w:pPr>
              <w:spacing w:after="0"/>
              <w:rPr>
                <w:sz w:val="16"/>
                <w:szCs w:val="16"/>
                <w:color w:val="auto"/>
              </w:rPr>
            </w:pPr>
          </w:p>
        </w:tc>
        <w:tc>
          <w:tcPr>
            <w:tcW w:w="4140" w:type="dxa"/>
            <w:vAlign w:val="bottom"/>
            <w:tcBorders>
              <w:right w:val="single" w:sz="8" w:color="auto"/>
            </w:tcBorders>
            <w:shd w:val="clear" w:color="auto" w:fill="F0FF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MSCI EAFE Index</w:t>
            </w:r>
          </w:p>
        </w:tc>
      </w:tr>
      <w:tr>
        <w:trPr>
          <w:trHeight w:val="290"/>
        </w:trPr>
        <w:tc>
          <w:tcPr>
            <w:tcW w:w="2880" w:type="dxa"/>
            <w:vAlign w:val="bottom"/>
            <w:tcBorders>
              <w:left w:val="single" w:sz="8" w:color="auto"/>
              <w:bottom w:val="single" w:sz="8" w:color="auto"/>
            </w:tcBorders>
            <w:shd w:val="clear" w:color="auto" w:fill="F0FFFF"/>
          </w:tcPr>
          <w:p>
            <w:pPr>
              <w:spacing w:after="0"/>
              <w:rPr>
                <w:sz w:val="24"/>
                <w:szCs w:val="24"/>
                <w:color w:val="auto"/>
              </w:rPr>
            </w:pPr>
          </w:p>
        </w:tc>
        <w:tc>
          <w:tcPr>
            <w:tcW w:w="1240" w:type="dxa"/>
            <w:vAlign w:val="bottom"/>
            <w:tcBorders>
              <w:bottom w:val="single" w:sz="8" w:color="auto"/>
              <w:right w:val="single" w:sz="8" w:color="auto"/>
            </w:tcBorders>
            <w:shd w:val="clear" w:color="auto" w:fill="F0FFFF"/>
          </w:tcPr>
          <w:p>
            <w:pPr>
              <w:spacing w:after="0"/>
              <w:rPr>
                <w:sz w:val="24"/>
                <w:szCs w:val="24"/>
                <w:color w:val="auto"/>
              </w:rPr>
            </w:pPr>
          </w:p>
        </w:tc>
        <w:tc>
          <w:tcPr>
            <w:tcW w:w="41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Nasdaq-100 Index</w:t>
            </w:r>
            <w:r>
              <w:rPr>
                <w:rFonts w:ascii="Times New Roman" w:cs="Times New Roman" w:eastAsia="Times New Roman" w:hAnsi="Times New Roman"/>
                <w:sz w:val="23"/>
                <w:szCs w:val="23"/>
                <w:color w:val="auto"/>
                <w:w w:val="98"/>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-4458970</wp:posOffset>
            </wp:positionV>
            <wp:extent cx="5229225" cy="2074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29225" cy="2074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-1193165</wp:posOffset>
            </wp:positionV>
            <wp:extent cx="5229225" cy="617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9225" cy="617220"/>
                    </a:xfrm>
                    <a:prstGeom prst="rect">
                      <a:avLst/>
                    </a:prstGeom>
                    <a:noFill/>
                  </pic:spPr>
                </pic:pic>
              </a:graphicData>
            </a:graphic>
          </wp:anchor>
        </w:drawing>
      </w:r>
    </w:p>
    <w:p>
      <w:pPr>
        <w:spacing w:after="0" w:line="174"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Indices are described in more detail below, under the heading “Indices.” For each new Shield Option we declare a new Cap Rate, Step Rate, or Edge Rate, as applicable, for each Term. The initial Cap Rate, Step Rate, or Edge Rate, as applicable, for each Shield Option is declared on the Issue Date. Thereafter the Cap Rate, Step Rate, or Edge Rate, as applicable, for each subsequent Shield Option is declared for each subsequent Term. See “Cap Rate” "Step Rate” and “Step Rate Edge”.</w:t>
      </w:r>
    </w:p>
    <w:p>
      <w:pPr>
        <w:spacing w:after="0" w:line="71" w:lineRule="exact"/>
        <w:rPr>
          <w:sz w:val="20"/>
          <w:szCs w:val="20"/>
          <w:color w:val="auto"/>
        </w:rPr>
      </w:pPr>
    </w:p>
    <w:p>
      <w:pPr>
        <w:jc w:val="both"/>
        <w:ind w:left="120" w:right="639" w:firstLine="360"/>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Please note, Shield Options with higher Shield Rates tend to have lower Cap Rates, Step Rates, and Edge Rates, as applicable, than other Shield Options that use the same Index and Term but provide lower Shield Rates. </w:t>
      </w:r>
      <w:r>
        <w:rPr>
          <w:rFonts w:ascii="Times New Roman" w:cs="Times New Roman" w:eastAsia="Times New Roman" w:hAnsi="Times New Roman"/>
          <w:sz w:val="18"/>
          <w:szCs w:val="18"/>
          <w:color w:val="auto"/>
        </w:rPr>
        <w:t>For example, a Shield Option with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Index with a 3-Year Term and a Shield 15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 to have a Cap Rate that is lower than a Shield Option with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3-Year Term and a Shield 10.</w:t>
      </w:r>
    </w:p>
    <w:p>
      <w:pPr>
        <w:spacing w:after="0" w:line="93"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 Shield Option will always be available; however, we reserve the right to change the duration of any new Shield Options, stop offering any of the Shield Options or suspend offering any of the Shield Options. We may also add Shield Options in the future.</w:t>
      </w:r>
    </w:p>
    <w:p>
      <w:pPr>
        <w:spacing w:after="0" w:line="28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Term is the number of years that a Shield Option is in effect. For specific Shield Options we currently offer Terms of 1 year, 2 years, 3 years, or 6 years. An initial Term(s) begins on the Issue Date. A Term ends and a subsequent Term begins on the Contract Anniversary coinciding with the duration of the then current Term for the Shield Option you have selected.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Each Shield Option will have a Term Start Date, which is the Contract Anniversary on which a Shield Option is established. The initial Term Start Date(s) begins on the Issue Date, and thereafter, will be the Contract Anniversary coinciding with the duration of the Term for the Shield Option completed.</w:t>
      </w:r>
    </w:p>
    <w:p>
      <w:pPr>
        <w:sectPr>
          <w:pgSz w:w="11900" w:h="16838" w:orient="portrait"/>
          <w:cols w:equalWidth="0" w:num="1">
            <w:col w:w="9019"/>
          </w:cols>
          <w:pgMar w:left="1440" w:top="1372" w:right="1440" w:bottom="1440"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1372" w:right="1440" w:bottom="1440" w:gutter="0" w:footer="0" w:header="0"/>
          <w:type w:val="continuous"/>
        </w:sectPr>
      </w:pPr>
    </w:p>
    <w:bookmarkStart w:id="23" w:name="page24"/>
    <w:bookmarkEnd w:id="2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Term End Date</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Each Shield Option will have a Term End Date, which is the Contract Anniversary on which a Shield Option ends. Thirty (30) days in advance of the Term End Date, we will send you written notification stating that your current Shield Option is maturing and that, at the Term End Date, the Investment Amount allocated to that Shield Option will automatically be renewed into the same Shield Option unless you instruct us to transfer such amount into a different Shield Option(s) or the Fixed Account, if available. The notification will inform you of what your maturing Shield Options are and explain how you can obtain the different Shield Options available at the Term End Date, including the renewal Cap Rates, Step Rates, and Edge Rates, and the interest rate for the Fixed</w:t>
      </w:r>
    </w:p>
    <w:p>
      <w:pPr>
        <w:spacing w:after="0" w:line="3" w:lineRule="exact"/>
        <w:rPr>
          <w:sz w:val="20"/>
          <w:szCs w:val="20"/>
          <w:color w:val="auto"/>
        </w:rPr>
      </w:pPr>
    </w:p>
    <w:p>
      <w:pPr>
        <w:jc w:val="both"/>
        <w:ind w:left="120" w:right="639"/>
        <w:spacing w:after="0" w:line="251" w:lineRule="auto"/>
        <w:rPr>
          <w:sz w:val="20"/>
          <w:szCs w:val="20"/>
          <w:color w:val="auto"/>
        </w:rPr>
      </w:pPr>
      <w:r>
        <w:rPr>
          <w:rFonts w:ascii="Times New Roman" w:cs="Times New Roman" w:eastAsia="Times New Roman" w:hAnsi="Times New Roman"/>
          <w:sz w:val="18"/>
          <w:szCs w:val="18"/>
          <w:color w:val="auto"/>
        </w:rPr>
        <w:t>Account. You may also access information on our website at https://www.brighthousefinancial.com/products/annuities/shield-annuities/shield-rates/renewal-rates/ where at least two months of available Shield Options and renewal rates are posted. If the same Shield Option is no longer available at the Term End Date, the Investment Amount will automatically transfer into the Fixed Account at the Term End Date, unless you instruct us otherwise. The amounts transferred to the Fixed Account must remain in the Fixed Account until the Fixed Account Term End Date (which, currently, will not be less than one (1) year). If the Fixed Account is not available, the Investment Amount will automatically transfer into the Holding Account, unless you instruct us otherwise. You have the Transfer Period to notify us that you want to transfer some or all of your Investment Amount to a new Shield Option(s) or the Fixed Account. For renewals into the same Shield Option, a new Cap Rate, Step Rate, or Edge Rate, as applicable, will be declared and will go into effect on the Contract Anniversary that coincides with the beginning of the new Term in the Shield Option that just ended. The amount transferred to the new Shield Option is the Investment Amount as of the Contract Anniversary.</w:t>
      </w:r>
    </w:p>
    <w:p>
      <w:pPr>
        <w:spacing w:after="0" w:line="2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INDICES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Performance Rate of a Shield Option is based on the performance of the associated Index. We currently offer Shield Options with indices based on the performance of securities. In the future we may offer Shield Options based on other types of indices. We may also add or remove indices for new Contracts at our discretion.</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Indices are currently available:</w:t>
      </w:r>
    </w:p>
    <w:p>
      <w:pPr>
        <w:spacing w:after="0" w:line="98" w:lineRule="exact"/>
        <w:rPr>
          <w:sz w:val="20"/>
          <w:szCs w:val="20"/>
          <w:color w:val="auto"/>
        </w:rPr>
      </w:pPr>
    </w:p>
    <w:p>
      <w:pPr>
        <w:jc w:val="both"/>
        <w:ind w:left="120" w:right="639" w:firstLine="360"/>
        <w:spacing w:after="0" w:line="236" w:lineRule="auto"/>
        <w:rPr>
          <w:sz w:val="20"/>
          <w:szCs w:val="20"/>
          <w:color w:val="auto"/>
        </w:rPr>
      </w:pPr>
      <w:r>
        <w:rPr>
          <w:rFonts w:ascii="Times New Roman" w:cs="Times New Roman" w:eastAsia="Times New Roman" w:hAnsi="Times New Roman"/>
          <w:sz w:val="18"/>
          <w:szCs w:val="18"/>
          <w:i w:val="1"/>
          <w:iCs w:val="1"/>
          <w:color w:val="auto"/>
        </w:rPr>
        <w:t>S&amp;P 500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Index (Price Return Index).</w:t>
      </w:r>
      <w:r>
        <w:rPr>
          <w:rFonts w:ascii="Times New Roman" w:cs="Times New Roman" w:eastAsia="Times New Roman" w:hAnsi="Times New Roman"/>
          <w:sz w:val="18"/>
          <w:szCs w:val="18"/>
          <w:color w:val="auto"/>
        </w:rPr>
        <w:t xml:space="preserve">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includes 500 large cap stocks from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leading industries of the U.S. economy, capturing approximately 80% coverage of U.S. equities by market capitalization.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does not include dividends declared by any of the companies in this Index.</w:t>
      </w:r>
    </w:p>
    <w:p>
      <w:pPr>
        <w:spacing w:after="0" w:line="72" w:lineRule="exact"/>
        <w:rPr>
          <w:sz w:val="20"/>
          <w:szCs w:val="20"/>
          <w:color w:val="auto"/>
        </w:rPr>
      </w:pPr>
    </w:p>
    <w:p>
      <w:pPr>
        <w:jc w:val="both"/>
        <w:ind w:left="120" w:right="65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Russell 2000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Index (Price Return Index).</w:t>
      </w:r>
      <w:r>
        <w:rPr>
          <w:rFonts w:ascii="Times New Roman" w:cs="Times New Roman" w:eastAsia="Times New Roman" w:hAnsi="Times New Roman"/>
          <w:sz w:val="18"/>
          <w:szCs w:val="18"/>
          <w:color w:val="auto"/>
        </w:rPr>
        <w:t xml:space="preserve">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measures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small-cap segment of the U.S. equity universe. The Russell 2000 is a subset of the Russell 3000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representing approximately 10% of the total market capitalization of that index. It includes approximately 2000 of the smallest securities based on a combination of their market cap and current index membership.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does not include dividends declared by any of the companies in this Index.</w:t>
      </w:r>
    </w:p>
    <w:p>
      <w:pPr>
        <w:spacing w:after="0" w:line="48"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MSCI EAFE Index (Price Return Index).</w:t>
      </w:r>
      <w:r>
        <w:rPr>
          <w:rFonts w:ascii="Times New Roman" w:cs="Times New Roman" w:eastAsia="Times New Roman" w:hAnsi="Times New Roman"/>
          <w:sz w:val="18"/>
          <w:szCs w:val="18"/>
          <w:color w:val="auto"/>
        </w:rPr>
        <w:t xml:space="preserve">  The MSCI EAFE Index (Europe, Australasia, Far East) is a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 Netherlands, New Zealand, Norway, Portugal, Singapore, Spain, Sweden, Switzerland, and the United Kingdom. The MSCI EAFE Index does not include dividends declared by any of the companies in this Index. Index Value and Index Performance will be calculated without any exchange rate adjustment.</w:t>
      </w:r>
    </w:p>
    <w:p>
      <w:pPr>
        <w:spacing w:after="0" w:line="60" w:lineRule="exact"/>
        <w:rPr>
          <w:sz w:val="20"/>
          <w:szCs w:val="20"/>
          <w:color w:val="auto"/>
        </w:rPr>
      </w:pPr>
    </w:p>
    <w:p>
      <w:pPr>
        <w:jc w:val="both"/>
        <w:ind w:left="120" w:right="639" w:firstLine="360"/>
        <w:spacing w:after="0"/>
        <w:rPr>
          <w:sz w:val="20"/>
          <w:szCs w:val="20"/>
          <w:color w:val="auto"/>
        </w:rPr>
      </w:pPr>
      <w:r>
        <w:rPr>
          <w:rFonts w:ascii="Times New Roman" w:cs="Times New Roman" w:eastAsia="Times New Roman" w:hAnsi="Times New Roman"/>
          <w:sz w:val="18"/>
          <w:szCs w:val="18"/>
          <w:i w:val="1"/>
          <w:iCs w:val="1"/>
          <w:color w:val="auto"/>
        </w:rPr>
        <w:t>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(Price Return Index). </w:t>
      </w:r>
      <w:r>
        <w:rPr>
          <w:rFonts w:ascii="Times New Roman" w:cs="Times New Roman" w:eastAsia="Times New Roman" w:hAnsi="Times New Roman"/>
          <w:sz w:val="18"/>
          <w:szCs w:val="18"/>
          <w:color w:val="auto"/>
        </w:rPr>
        <w:t>The 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100 of the largest domestic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non-financial securities listed on the Nasdaq Stock Market based on market capitalization. The Index reflects companies across major industry groups including computer hardware and software, telecommunications, retail/wholesale trade and biotechnology. It does not contain securities of financial companies including investment companies. The Nasdaq-100 Index</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does not include dividends declared by any of the companies in this Index.</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A for important information regarding the publishers of the Indices.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Discontinuation or Substantial Change to an Index.</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If any Index is discontinued or we determine that 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We will send you written notification thirty (30) days in advance of such substitution or as soon as reasonably possible. The substituted Index may not be acceptable to you. Upon substitution of an Index, we will calculate your Index Performance on the existing Index up until the date of substitution and the substitute Index from the date of substitution to the Term End Date. The Index</w:t>
      </w:r>
    </w:p>
    <w:p>
      <w:pPr>
        <w:sectPr>
          <w:pgSz w:w="11900" w:h="16838" w:orient="portrait"/>
          <w:cols w:equalWidth="0" w:num="1">
            <w:col w:w="9019"/>
          </w:cols>
          <w:pgMar w:left="1440" w:top="1373" w:right="1440" w:bottom="474"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1373" w:right="1440" w:bottom="474" w:gutter="0" w:footer="0" w:header="0"/>
          <w:type w:val="continuous"/>
        </w:sectPr>
      </w:pPr>
    </w:p>
    <w:bookmarkStart w:id="24" w:name="page25"/>
    <w:bookmarkEnd w:id="24"/>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Performance as of the Term End Date will be equal to the return from having invested in the initial Index up to the substitution date and then investing in the substitute Index from the date of substitution to the Term End Date assuming no withdrawals or transfers based on the following formula: (initial Index at Index substitution date ÷ initial Index at Term Start Date) x (substituted Index at Term End Date ÷ substituted Index at substitution date) –</w:t>
      </w:r>
    </w:p>
    <w:p>
      <w:pPr>
        <w:spacing w:after="0" w:line="3" w:lineRule="exact"/>
        <w:rPr>
          <w:sz w:val="20"/>
          <w:szCs w:val="20"/>
          <w:color w:val="auto"/>
        </w:rPr>
      </w:pPr>
    </w:p>
    <w:p>
      <w:pPr>
        <w:jc w:val="both"/>
        <w:ind w:left="120" w:right="659" w:hanging="8"/>
        <w:spacing w:after="0" w:line="255"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Index substitution will not change the Term,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B for an Index substitution Investment Amount example.</w:t>
      </w:r>
    </w:p>
    <w:p>
      <w:pPr>
        <w:spacing w:after="0" w:line="13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have exercised the Performance Lock, a subsequent index substitution will have no impact on the Performance Lock Value of that Shield Option.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 Value</w:t>
      </w:r>
    </w:p>
    <w:p>
      <w:pPr>
        <w:spacing w:after="0" w:line="135"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Index Value of an Index, on a Business Day, is the published closing value of the Index on that Business Day. The Index Value on any day that is not a Business Day is the value as of the prior Business Day. If an Index Value is not published on a Business Day, the closing Index Value on the next Business Day in which the Index Value is published will be used. We will use consistent sources to obtain Index Values. If these sources are no longer available for specific indices, we will select an alternative published source(s) for these Index Values.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 Performance</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Index Performance is the percentage change in an Index Value measured from the Term Start Date to any day, including the Term End Date, within the Term. The Index Performance can be positive, zero or negative. The Performance Rate of a Shield Option is based on the performance of an Index. We calculate the Performance Rate only on the Term End Date. Any increase or reduction in the Investment Amount in a particular Shield Option is determined by multiplying the Performance Rate by the Investment Amount of the Shield Option on the last day of the Term.</w:t>
      </w:r>
    </w:p>
    <w:p>
      <w:pPr>
        <w:spacing w:after="0" w:line="2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SHIELD RATES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Shield Rate only applies if you hold the Shield Option until the Term End Date. The Shield Rate for each Shield Option is the amount of any negative Index Performance that is absorbed by us at the Term End Date. Any negative Index Performance beyond the Shield Rate will reduce the Investment Amount.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currently offer the following Shield Rates—Shield 10, Shield 15 and Shield 25:</w:t>
      </w:r>
    </w:p>
    <w:p>
      <w:pPr>
        <w:spacing w:after="0" w:line="166" w:lineRule="exact"/>
        <w:rPr>
          <w:sz w:val="20"/>
          <w:szCs w:val="20"/>
          <w:color w:val="auto"/>
        </w:rPr>
      </w:pPr>
    </w:p>
    <w:tbl>
      <w:tblPr>
        <w:tblLayout w:type="fixed"/>
        <w:tblInd w:w="1970" w:type="dxa"/>
        <w:tblCellMar>
          <w:top w:w="0" w:type="dxa"/>
          <w:left w:w="0" w:type="dxa"/>
          <w:bottom w:w="0" w:type="dxa"/>
          <w:right w:w="0" w:type="dxa"/>
        </w:tblCellMar>
      </w:tblPr>
      <w:tr>
        <w:trPr>
          <w:trHeight w:val="223"/>
        </w:trPr>
        <w:tc>
          <w:tcPr>
            <w:tcW w:w="2280" w:type="dxa"/>
            <w:vAlign w:val="bottom"/>
            <w:tcBorders>
              <w:top w:val="single" w:sz="8" w:color="auto"/>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Shield Rate</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Downside Protection</w:t>
            </w:r>
          </w:p>
        </w:tc>
      </w:tr>
      <w:tr>
        <w:trPr>
          <w:trHeight w:val="23"/>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68"/>
        </w:trPr>
        <w:tc>
          <w:tcPr>
            <w:tcW w:w="2280" w:type="dxa"/>
            <w:vAlign w:val="bottom"/>
            <w:tcBorders>
              <w:left w:val="single" w:sz="8" w:color="auto"/>
              <w:bottom w:val="single" w:sz="8" w:color="F0FFFF"/>
              <w:right w:val="single" w:sz="8" w:color="auto"/>
            </w:tcBorders>
            <w:shd w:val="clear" w:color="auto" w:fill="F0FFFF"/>
          </w:tcPr>
          <w:p>
            <w:pPr>
              <w:ind w:left="740"/>
              <w:spacing w:after="0"/>
              <w:rPr>
                <w:sz w:val="20"/>
                <w:szCs w:val="20"/>
                <w:color w:val="auto"/>
              </w:rPr>
            </w:pPr>
            <w:r>
              <w:rPr>
                <w:rFonts w:ascii="Times New Roman" w:cs="Times New Roman" w:eastAsia="Times New Roman" w:hAnsi="Times New Roman"/>
                <w:sz w:val="18"/>
                <w:szCs w:val="18"/>
                <w:color w:val="auto"/>
              </w:rPr>
              <w:t>Shield 10</w:t>
            </w:r>
          </w:p>
        </w:tc>
        <w:tc>
          <w:tcPr>
            <w:tcW w:w="22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up to 10%</w:t>
            </w:r>
          </w:p>
        </w:tc>
      </w:tr>
      <w:tr>
        <w:trPr>
          <w:trHeight w:val="237"/>
        </w:trPr>
        <w:tc>
          <w:tcPr>
            <w:tcW w:w="2280" w:type="dxa"/>
            <w:vAlign w:val="bottom"/>
            <w:tcBorders>
              <w:top w:val="single" w:sz="8" w:color="auto"/>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Shield 15</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 to 15%</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0"/>
        </w:trPr>
        <w:tc>
          <w:tcPr>
            <w:tcW w:w="2280" w:type="dxa"/>
            <w:vAlign w:val="bottom"/>
            <w:tcBorders>
              <w:left w:val="single" w:sz="8" w:color="auto"/>
              <w:bottom w:val="single" w:sz="8" w:color="F0FFFF"/>
              <w:right w:val="single" w:sz="8" w:color="auto"/>
            </w:tcBorders>
            <w:shd w:val="clear" w:color="auto" w:fill="F0FFFF"/>
          </w:tcPr>
          <w:p>
            <w:pPr>
              <w:ind w:left="740"/>
              <w:spacing w:after="0"/>
              <w:rPr>
                <w:sz w:val="20"/>
                <w:szCs w:val="20"/>
                <w:color w:val="auto"/>
              </w:rPr>
            </w:pPr>
            <w:r>
              <w:rPr>
                <w:rFonts w:ascii="Times New Roman" w:cs="Times New Roman" w:eastAsia="Times New Roman" w:hAnsi="Times New Roman"/>
                <w:sz w:val="18"/>
                <w:szCs w:val="18"/>
                <w:color w:val="auto"/>
              </w:rPr>
              <w:t>Shield 25</w:t>
            </w:r>
          </w:p>
        </w:tc>
        <w:tc>
          <w:tcPr>
            <w:tcW w:w="22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up to 25%</w:t>
            </w:r>
          </w:p>
        </w:tc>
      </w:tr>
      <w:tr>
        <w:trPr>
          <w:trHeight w:val="20"/>
        </w:trPr>
        <w:tc>
          <w:tcPr>
            <w:tcW w:w="2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-687070</wp:posOffset>
            </wp:positionV>
            <wp:extent cx="287147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1470" cy="15430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-353060</wp:posOffset>
            </wp:positionV>
            <wp:extent cx="287147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71470" cy="179705"/>
                    </a:xfrm>
                    <a:prstGeom prst="rect">
                      <a:avLst/>
                    </a:prstGeom>
                    <a:noFill/>
                  </pic:spPr>
                </pic:pic>
              </a:graphicData>
            </a:graphic>
          </wp:anchor>
        </w:drawing>
      </w:r>
    </w:p>
    <w:p>
      <w:pPr>
        <w:spacing w:after="0" w:line="17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For example, a -15% Index Performance with a 10% Shield Rate will result in a -5% Performance Rate; or a -10% Index Performance with a 15% Shield Rate will result in a 0% Performance Rate (unless you have a Shield Option with Step Rate Edge). </w:t>
      </w:r>
      <w:r>
        <w:rPr>
          <w:rFonts w:ascii="Times New Roman" w:cs="Times New Roman" w:eastAsia="Times New Roman" w:hAnsi="Times New Roman"/>
          <w:sz w:val="18"/>
          <w:szCs w:val="18"/>
          <w:b w:val="1"/>
          <w:bCs w:val="1"/>
          <w:color w:val="auto"/>
        </w:rPr>
        <w:t>The Shield Rate may vary between Shield Options and, unless you have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Shield Option with a 1-year Term, is not an annual rate.</w:t>
      </w:r>
    </w:p>
    <w:p>
      <w:pPr>
        <w:spacing w:after="0" w:line="68"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w:t>
      </w:r>
    </w:p>
    <w:p>
      <w:pPr>
        <w:spacing w:after="0" w:line="27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RATE CREDITING TYPES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Cap Rate is the maximum rate that may be credited at the Term End Date based on Index Performance. For example, a 15% Index Performance with a 10% Cap Rate will result in a 10% Performance Rate; or, a 5% Index Performance with a 10% Cap Rate will result in a 5% Performance Rate. </w:t>
      </w:r>
      <w:r>
        <w:rPr>
          <w:rFonts w:ascii="Times New Roman" w:cs="Times New Roman" w:eastAsia="Times New Roman" w:hAnsi="Times New Roman"/>
          <w:sz w:val="18"/>
          <w:szCs w:val="18"/>
          <w:b w:val="1"/>
          <w:bCs w:val="1"/>
          <w:color w:val="auto"/>
        </w:rPr>
        <w:t>The Cap Rate may vary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Shield Options and, unless you have a Shield Option with a 1-year Term, is not an annual rate. </w:t>
      </w:r>
      <w:r>
        <w:rPr>
          <w:rFonts w:ascii="Times New Roman" w:cs="Times New Roman" w:eastAsia="Times New Roman" w:hAnsi="Times New Roman"/>
          <w:sz w:val="18"/>
          <w:szCs w:val="18"/>
          <w:color w:val="auto"/>
        </w:rPr>
        <w:t>The Cap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only applies if you hold the Shield Option until the Term End Date. In some cases we may declare a Cap Rate for a Shield Option as “uncapped” in which case the Performance Rate that can be received is equal to the Index Performance, subject to the Shield Rate.</w:t>
      </w:r>
    </w:p>
    <w:p>
      <w:pPr>
        <w:sectPr>
          <w:pgSz w:w="11900" w:h="16838" w:orient="portrait"/>
          <w:cols w:equalWidth="0" w:num="1">
            <w:col w:w="9019"/>
          </w:cols>
          <w:pgMar w:left="1440" w:top="1377" w:right="1440" w:bottom="144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1377" w:right="1440" w:bottom="1440" w:gutter="0" w:footer="0" w:header="0"/>
          <w:type w:val="continuous"/>
        </w:sectPr>
      </w:pPr>
    </w:p>
    <w:bookmarkStart w:id="25" w:name="page26"/>
    <w:bookmarkEnd w:id="25"/>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For renewals into the same Shield Option a new Cap Rate is declared for each subsequent Term. The actual Minimum Guaranteed Cap Rates for your Contract are the amounts shown on your Contract Schedule, but the rates will not be less than what is shown in the Minimum Guaranteed Cap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86995</wp:posOffset>
            </wp:positionV>
            <wp:extent cx="5250180" cy="878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50180" cy="878205"/>
                    </a:xfrm>
                    <a:prstGeom prst="rect">
                      <a:avLst/>
                    </a:prstGeom>
                    <a:noFill/>
                  </pic:spPr>
                </pic:pic>
              </a:graphicData>
            </a:graphic>
          </wp:anchor>
        </w:drawing>
      </w:r>
    </w:p>
    <w:p>
      <w:pPr>
        <w:spacing w:after="0" w:line="14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Minimum Guaranteed Cap Rates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2020" w:type="dxa"/>
            <w:vAlign w:val="bottom"/>
            <w:tcBorders>
              <w:top w:val="single" w:sz="8" w:color="auto"/>
              <w:bottom w:val="single" w:sz="8" w:color="F0FFFF"/>
              <w:right w:val="single" w:sz="8" w:color="auto"/>
            </w:tcBorders>
            <w:shd w:val="clear" w:color="auto" w:fill="F0FF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Shield Rate</w:t>
            </w:r>
          </w:p>
        </w:tc>
        <w:tc>
          <w:tcPr>
            <w:tcW w:w="2100" w:type="dxa"/>
            <w:vAlign w:val="bottom"/>
            <w:tcBorders>
              <w:top w:val="single" w:sz="8" w:color="auto"/>
              <w:bottom w:val="single" w:sz="8" w:color="F0FFFF"/>
              <w:right w:val="single" w:sz="8" w:color="auto"/>
            </w:tcBorders>
            <w:shd w:val="clear" w:color="auto" w:fill="F0FFFF"/>
          </w:tcPr>
          <w:p>
            <w:pPr>
              <w:ind w:left="540"/>
              <w:spacing w:after="0"/>
              <w:rPr>
                <w:sz w:val="20"/>
                <w:szCs w:val="20"/>
                <w:color w:val="auto"/>
              </w:rPr>
            </w:pPr>
            <w:r>
              <w:rPr>
                <w:rFonts w:ascii="Times New Roman" w:cs="Times New Roman" w:eastAsia="Times New Roman" w:hAnsi="Times New Roman"/>
                <w:sz w:val="18"/>
                <w:szCs w:val="18"/>
                <w:b w:val="1"/>
                <w:bCs w:val="1"/>
                <w:color w:val="auto"/>
              </w:rPr>
              <w:t>1-Year Term</w:t>
            </w:r>
          </w:p>
        </w:tc>
        <w:tc>
          <w:tcPr>
            <w:tcW w:w="2120" w:type="dxa"/>
            <w:vAlign w:val="bottom"/>
            <w:tcBorders>
              <w:top w:val="single" w:sz="8" w:color="auto"/>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3-Year Term</w:t>
            </w:r>
          </w:p>
        </w:tc>
        <w:tc>
          <w:tcPr>
            <w:tcW w:w="2000" w:type="dxa"/>
            <w:vAlign w:val="bottom"/>
            <w:tcBorders>
              <w:top w:val="single" w:sz="8" w:color="auto"/>
              <w:bottom w:val="single" w:sz="8" w:color="F0FFFF"/>
            </w:tcBorders>
            <w:shd w:val="clear" w:color="auto" w:fill="F0FF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6-Year Term</w:t>
            </w:r>
          </w:p>
        </w:tc>
        <w:tc>
          <w:tcPr>
            <w:tcW w:w="20" w:type="dxa"/>
            <w:vAlign w:val="bottom"/>
            <w:tcBorders>
              <w:top w:val="single" w:sz="8" w:color="auto"/>
            </w:tcBorders>
          </w:tcPr>
          <w:p>
            <w:pPr>
              <w:spacing w:after="0"/>
              <w:rPr>
                <w:sz w:val="24"/>
                <w:szCs w:val="24"/>
                <w:color w:val="auto"/>
              </w:rPr>
            </w:pPr>
          </w:p>
        </w:tc>
      </w:tr>
      <w:tr>
        <w:trPr>
          <w:trHeight w:val="237"/>
        </w:trPr>
        <w:tc>
          <w:tcPr>
            <w:tcW w:w="2020" w:type="dxa"/>
            <w:vAlign w:val="bottom"/>
            <w:tcBorders>
              <w:top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Shield 10</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120" w:type="dxa"/>
            <w:vAlign w:val="bottom"/>
            <w:tcBorders>
              <w:top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15%</w:t>
            </w:r>
          </w:p>
        </w:tc>
        <w:tc>
          <w:tcPr>
            <w:tcW w:w="200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top w:val="single" w:sz="8" w:color="auto"/>
            </w:tcBorders>
          </w:tcPr>
          <w:p>
            <w:pPr>
              <w:spacing w:after="0"/>
              <w:rPr>
                <w:sz w:val="20"/>
                <w:szCs w:val="20"/>
                <w:color w:val="auto"/>
              </w:rPr>
            </w:pPr>
          </w:p>
        </w:tc>
      </w:tr>
      <w:tr>
        <w:trPr>
          <w:trHeight w:val="27"/>
        </w:trPr>
        <w:tc>
          <w:tcPr>
            <w:tcW w:w="20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2020" w:type="dxa"/>
            <w:vAlign w:val="bottom"/>
            <w:tcBorders>
              <w:bottom w:val="single" w:sz="8" w:color="F0FFFF"/>
              <w:right w:val="single" w:sz="8" w:color="auto"/>
            </w:tcBorders>
            <w:shd w:val="clear" w:color="auto" w:fill="F0FFFF"/>
          </w:tcPr>
          <w:p>
            <w:pPr>
              <w:jc w:val="center"/>
              <w:ind w:right="50"/>
              <w:spacing w:after="0"/>
              <w:rPr>
                <w:sz w:val="20"/>
                <w:szCs w:val="20"/>
                <w:color w:val="auto"/>
              </w:rPr>
            </w:pPr>
            <w:r>
              <w:rPr>
                <w:rFonts w:ascii="Times New Roman" w:cs="Times New Roman" w:eastAsia="Times New Roman" w:hAnsi="Times New Roman"/>
                <w:sz w:val="18"/>
                <w:szCs w:val="18"/>
                <w:color w:val="auto"/>
                <w:w w:val="99"/>
              </w:rPr>
              <w:t>Shield 15</w:t>
            </w:r>
          </w:p>
        </w:tc>
        <w:tc>
          <w:tcPr>
            <w:tcW w:w="21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120" w:type="dxa"/>
            <w:vAlign w:val="bottom"/>
            <w:tcBorders>
              <w:bottom w:val="single" w:sz="8" w:color="F0FFFF"/>
              <w:right w:val="single" w:sz="8" w:color="auto"/>
            </w:tcBorders>
            <w:shd w:val="clear" w:color="auto" w:fill="F0FFFF"/>
          </w:tcPr>
          <w:p>
            <w:pPr>
              <w:jc w:val="right"/>
              <w:ind w:right="750"/>
              <w:spacing w:after="0"/>
              <w:rPr>
                <w:sz w:val="20"/>
                <w:szCs w:val="20"/>
                <w:color w:val="auto"/>
              </w:rPr>
            </w:pPr>
            <w:r>
              <w:rPr>
                <w:rFonts w:ascii="Times New Roman" w:cs="Times New Roman" w:eastAsia="Times New Roman" w:hAnsi="Times New Roman"/>
                <w:sz w:val="18"/>
                <w:szCs w:val="18"/>
                <w:color w:val="auto"/>
              </w:rPr>
              <w:t>13.5%</w:t>
            </w:r>
          </w:p>
        </w:tc>
        <w:tc>
          <w:tcPr>
            <w:tcW w:w="2000" w:type="dxa"/>
            <w:vAlign w:val="bottom"/>
            <w:tcBorders>
              <w:bottom w:val="single" w:sz="8" w:color="F0FFFF"/>
            </w:tcBorders>
            <w:shd w:val="clear" w:color="auto" w:fill="F0FFFF"/>
          </w:tcPr>
          <w:p>
            <w:pPr>
              <w:jc w:val="center"/>
              <w:ind w:left="1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2"/>
                <w:szCs w:val="22"/>
                <w:color w:val="auto"/>
              </w:rPr>
            </w:pPr>
          </w:p>
        </w:tc>
      </w:tr>
      <w:tr>
        <w:trPr>
          <w:trHeight w:val="247"/>
        </w:trPr>
        <w:tc>
          <w:tcPr>
            <w:tcW w:w="2020" w:type="dxa"/>
            <w:vAlign w:val="bottom"/>
            <w:tcBorders>
              <w:top w:val="single" w:sz="8" w:color="auto"/>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Shield 25</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0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auto"/>
              <w:bottom w:val="single" w:sz="8" w:color="auto"/>
            </w:tcBorders>
          </w:tcPr>
          <w:p>
            <w:pPr>
              <w:spacing w:after="0"/>
              <w:rPr>
                <w:sz w:val="21"/>
                <w:szCs w:val="21"/>
                <w:color w:val="auto"/>
              </w:rPr>
            </w:pPr>
          </w:p>
        </w:tc>
      </w:tr>
    </w:tbl>
    <w:p>
      <w:pPr>
        <w:spacing w:after="0" w:line="1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Cap Rates will be for a subsequent Term. Thirty (30) days before the current Term expires, we will send you notification, written or electronic depending on your selected preferences, indicating your maturing Shield Options and how you can obtain the new Cap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Cap Rate, unless you elect to transfer such amount into a different Shield Option(s) or the Fixed Account. See “TRANSFERS.”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Rate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Step Rate is the rate credited at the Term End Date if the Index Performance is equal to or greater than zero. For example, a 15% Index Performance with a 8% Step Rate will result in a 8% Performance Rate; or, a 5% Index Performance with a 8% Step Rate will result in a 8% Performance Rate. The Step Rate only applies if you hold the Shield Option until the Term End Date. </w:t>
      </w:r>
      <w:r>
        <w:rPr>
          <w:rFonts w:ascii="Times New Roman" w:cs="Times New Roman" w:eastAsia="Times New Roman" w:hAnsi="Times New Roman"/>
          <w:sz w:val="18"/>
          <w:szCs w:val="18"/>
          <w:b w:val="1"/>
          <w:bCs w:val="1"/>
          <w:color w:val="auto"/>
        </w:rPr>
        <w:t>The Step Rate may vary between Shield Options and, 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have a Shield Option with a 1-year Term, is not an annual rate.</w:t>
      </w:r>
    </w:p>
    <w:p>
      <w:pPr>
        <w:spacing w:after="0" w:line="8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renewals into the same Shield Option a new Step Rate is declared for each subsequent Term. The actual Minimum Guaranteed Step Rates for your Contract are the amounts shown on your Contract Schedule, but the rates will not be less than what is shown in the Minimum Guaranteed Step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86995</wp:posOffset>
            </wp:positionV>
            <wp:extent cx="5250180" cy="698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50180" cy="698500"/>
                    </a:xfrm>
                    <a:prstGeom prst="rect">
                      <a:avLst/>
                    </a:prstGeom>
                    <a:noFill/>
                  </pic:spPr>
                </pic:pic>
              </a:graphicData>
            </a:graphic>
          </wp:anchor>
        </w:drawing>
      </w:r>
    </w:p>
    <w:p>
      <w:pPr>
        <w:spacing w:after="0" w:line="14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Minimum Guaranteed Step Rates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2720" w:type="dxa"/>
            <w:vAlign w:val="bottom"/>
            <w:tcBorders>
              <w:top w:val="single" w:sz="8" w:color="auto"/>
              <w:bottom w:val="single" w:sz="8" w:color="F0FFFF"/>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Shield Rate</w:t>
            </w:r>
          </w:p>
        </w:tc>
        <w:tc>
          <w:tcPr>
            <w:tcW w:w="2820" w:type="dxa"/>
            <w:vAlign w:val="bottom"/>
            <w:tcBorders>
              <w:top w:val="single" w:sz="8" w:color="auto"/>
              <w:bottom w:val="single" w:sz="8" w:color="F0FFFF"/>
              <w:right w:val="single" w:sz="8" w:color="auto"/>
            </w:tcBorders>
            <w:shd w:val="clear" w:color="auto" w:fill="F0FFFF"/>
          </w:tcPr>
          <w:p>
            <w:pPr>
              <w:ind w:left="900"/>
              <w:spacing w:after="0"/>
              <w:rPr>
                <w:sz w:val="20"/>
                <w:szCs w:val="20"/>
                <w:color w:val="auto"/>
              </w:rPr>
            </w:pPr>
            <w:r>
              <w:rPr>
                <w:rFonts w:ascii="Times New Roman" w:cs="Times New Roman" w:eastAsia="Times New Roman" w:hAnsi="Times New Roman"/>
                <w:sz w:val="18"/>
                <w:szCs w:val="18"/>
                <w:b w:val="1"/>
                <w:bCs w:val="1"/>
                <w:color w:val="auto"/>
              </w:rPr>
              <w:t>1-Year Term</w:t>
            </w:r>
          </w:p>
        </w:tc>
        <w:tc>
          <w:tcPr>
            <w:tcW w:w="2700" w:type="dxa"/>
            <w:vAlign w:val="bottom"/>
            <w:tcBorders>
              <w:top w:val="single" w:sz="8" w:color="auto"/>
              <w:bottom w:val="single" w:sz="8" w:color="F0FFFF"/>
            </w:tcBorders>
            <w:shd w:val="clear" w:color="auto" w:fill="F0FFFF"/>
          </w:tcPr>
          <w:p>
            <w:pPr>
              <w:ind w:left="920"/>
              <w:spacing w:after="0"/>
              <w:rPr>
                <w:sz w:val="20"/>
                <w:szCs w:val="20"/>
                <w:color w:val="auto"/>
              </w:rPr>
            </w:pPr>
            <w:r>
              <w:rPr>
                <w:rFonts w:ascii="Times New Roman" w:cs="Times New Roman" w:eastAsia="Times New Roman" w:hAnsi="Times New Roman"/>
                <w:sz w:val="18"/>
                <w:szCs w:val="18"/>
                <w:b w:val="1"/>
                <w:bCs w:val="1"/>
                <w:color w:val="auto"/>
              </w:rPr>
              <w:t>2-Year Term</w:t>
            </w:r>
          </w:p>
        </w:tc>
        <w:tc>
          <w:tcPr>
            <w:tcW w:w="20" w:type="dxa"/>
            <w:vAlign w:val="bottom"/>
            <w:tcBorders>
              <w:top w:val="single" w:sz="8" w:color="auto"/>
            </w:tcBorders>
          </w:tcPr>
          <w:p>
            <w:pPr>
              <w:spacing w:after="0"/>
              <w:rPr>
                <w:sz w:val="24"/>
                <w:szCs w:val="24"/>
                <w:color w:val="auto"/>
              </w:rPr>
            </w:pPr>
          </w:p>
        </w:tc>
      </w:tr>
      <w:tr>
        <w:trPr>
          <w:trHeight w:val="237"/>
        </w:trPr>
        <w:tc>
          <w:tcPr>
            <w:tcW w:w="272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10</w:t>
            </w:r>
          </w:p>
        </w:tc>
        <w:tc>
          <w:tcPr>
            <w:tcW w:w="2820" w:type="dxa"/>
            <w:vAlign w:val="bottom"/>
            <w:tcBorders>
              <w:top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r>
      <w:tr>
        <w:trPr>
          <w:trHeight w:val="27"/>
        </w:trPr>
        <w:tc>
          <w:tcPr>
            <w:tcW w:w="27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7"/>
        </w:trPr>
        <w:tc>
          <w:tcPr>
            <w:tcW w:w="2720" w:type="dxa"/>
            <w:vAlign w:val="bottom"/>
            <w:tcBorders>
              <w:bottom w:val="single" w:sz="8" w:color="auto"/>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15</w:t>
            </w:r>
          </w:p>
        </w:tc>
        <w:tc>
          <w:tcPr>
            <w:tcW w:w="2820" w:type="dxa"/>
            <w:vAlign w:val="bottom"/>
            <w:tcBorders>
              <w:bottom w:val="single" w:sz="8" w:color="auto"/>
              <w:right w:val="single" w:sz="8" w:color="auto"/>
            </w:tcBorders>
            <w:shd w:val="clear" w:color="auto" w:fill="F0FFFF"/>
          </w:tcPr>
          <w:p>
            <w:pPr>
              <w:jc w:val="right"/>
              <w:ind w:right="1150"/>
              <w:spacing w:after="0"/>
              <w:rPr>
                <w:sz w:val="20"/>
                <w:szCs w:val="20"/>
                <w:color w:val="auto"/>
              </w:rPr>
            </w:pPr>
            <w:r>
              <w:rPr>
                <w:rFonts w:ascii="Times New Roman" w:cs="Times New Roman" w:eastAsia="Times New Roman" w:hAnsi="Times New Roman"/>
                <w:sz w:val="18"/>
                <w:szCs w:val="18"/>
                <w:color w:val="auto"/>
              </w:rPr>
              <w:t>4.5%</w:t>
            </w:r>
          </w:p>
        </w:tc>
        <w:tc>
          <w:tcPr>
            <w:tcW w:w="2700" w:type="dxa"/>
            <w:vAlign w:val="bottom"/>
            <w:tcBorders>
              <w:bottom w:val="single" w:sz="8" w:color="auto"/>
            </w:tcBorders>
            <w:shd w:val="clear" w:color="auto" w:fill="F0FFFF"/>
          </w:tcPr>
          <w:p>
            <w:pPr>
              <w:jc w:val="right"/>
              <w:ind w:right="109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1"/>
                <w:szCs w:val="21"/>
                <w:color w:val="auto"/>
              </w:rPr>
            </w:pPr>
          </w:p>
        </w:tc>
      </w:tr>
    </w:tbl>
    <w:p>
      <w:pPr>
        <w:spacing w:after="0" w:line="1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Step Rates will be for a subsequent Term. Thirty (30) days before the current Term expires, we will send you a notification, written or electronic depending on your selected preferences, indicating your maturing Shield Options and how you can obtain the new Step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Step Rate, unless you elect to transfer such amount into a different Shield Option(s) or the Fixed Account. See “TRANSFERS.”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 Rate Edge</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For Shield Options with Step Rate Edge, the Edge Rate is the rate credited at the Term End Date if the Index Performance is equal to or greater than the Shield Rate. Step Rate Edge therefore, provides the opportunity to receive the Edge Rate even when Index Performance is negative, so long as Index Performance is equal to or greater than the Shield Rate. For example, a 3% Index Performance with a 7% Edge Rate and a 10% Shield Rate will result in a 7% Performance Rate, or, a -10% Index Performance with a 7% Edge Rate and a 10% Shield Rate will result in a 7% Performance Rate. The Edge Rate only applies if you hold the Shield Option until the Term End Date. </w:t>
      </w:r>
      <w:r>
        <w:rPr>
          <w:rFonts w:ascii="Times New Roman" w:cs="Times New Roman" w:eastAsia="Times New Roman" w:hAnsi="Times New Roman"/>
          <w:sz w:val="18"/>
          <w:szCs w:val="18"/>
          <w:b w:val="1"/>
          <w:bCs w:val="1"/>
          <w:color w:val="auto"/>
        </w:rPr>
        <w:t>The Edge Rate may vary between Shield Options and, unless you have a Shield Option with a 1-year Term, is not an annual rate.</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renewals into the same Shield Option a new Edge Rate is declared for each subsequent Term. The actual Minimum Guaranteed Edge Rates for your Contract are the amounts shown on your Contract Schedule, but The rates will not be less than what is shown in the Minimum Guaranteed Edge Rates table below.</w:t>
      </w:r>
    </w:p>
    <w:p>
      <w:pPr>
        <w:sectPr>
          <w:pgSz w:w="11900" w:h="16838" w:orient="portrait"/>
          <w:cols w:equalWidth="0" w:num="1">
            <w:col w:w="9019"/>
          </w:cols>
          <w:pgMar w:left="1440" w:top="1377" w:right="1440" w:bottom="1440" w:gutter="0" w:footer="0" w:header="0"/>
        </w:sectPr>
      </w:pPr>
    </w:p>
    <w:p>
      <w:pPr>
        <w:spacing w:after="0" w:line="3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1377" w:right="1440" w:bottom="1440" w:gutter="0" w:footer="0" w:header="0"/>
          <w:type w:val="continuous"/>
        </w:sectPr>
      </w:pPr>
    </w:p>
    <w:bookmarkStart w:id="26" w:name="page27"/>
    <w:bookmarkEnd w:id="26"/>
    <w:p>
      <w:pPr>
        <w:ind w:left="3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986155</wp:posOffset>
            </wp:positionH>
            <wp:positionV relativeFrom="page">
              <wp:posOffset>883920</wp:posOffset>
            </wp:positionV>
            <wp:extent cx="5250180" cy="698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50180" cy="698500"/>
                    </a:xfrm>
                    <a:prstGeom prst="rect">
                      <a:avLst/>
                    </a:prstGeom>
                    <a:noFill/>
                  </pic:spPr>
                </pic:pic>
              </a:graphicData>
            </a:graphic>
          </wp:anchor>
        </w:drawing>
        <w:t>Minimum Guaranteed Edge Rates</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2720" w:type="dxa"/>
            <w:vAlign w:val="bottom"/>
            <w:tcBorders>
              <w:top w:val="single" w:sz="8" w:color="auto"/>
              <w:bottom w:val="single" w:sz="8" w:color="F0FFFF"/>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Shield Rate</w:t>
            </w:r>
          </w:p>
        </w:tc>
        <w:tc>
          <w:tcPr>
            <w:tcW w:w="2820" w:type="dxa"/>
            <w:vAlign w:val="bottom"/>
            <w:tcBorders>
              <w:top w:val="single" w:sz="8" w:color="auto"/>
              <w:bottom w:val="single" w:sz="8" w:color="F0FFFF"/>
              <w:right w:val="single" w:sz="8" w:color="auto"/>
            </w:tcBorders>
            <w:shd w:val="clear" w:color="auto" w:fill="F0FFFF"/>
          </w:tcPr>
          <w:p>
            <w:pPr>
              <w:ind w:left="900"/>
              <w:spacing w:after="0"/>
              <w:rPr>
                <w:sz w:val="20"/>
                <w:szCs w:val="20"/>
                <w:color w:val="auto"/>
              </w:rPr>
            </w:pPr>
            <w:r>
              <w:rPr>
                <w:rFonts w:ascii="Times New Roman" w:cs="Times New Roman" w:eastAsia="Times New Roman" w:hAnsi="Times New Roman"/>
                <w:sz w:val="18"/>
                <w:szCs w:val="18"/>
                <w:b w:val="1"/>
                <w:bCs w:val="1"/>
                <w:color w:val="auto"/>
              </w:rPr>
              <w:t>1-Year Term</w:t>
            </w:r>
          </w:p>
        </w:tc>
        <w:tc>
          <w:tcPr>
            <w:tcW w:w="2700" w:type="dxa"/>
            <w:vAlign w:val="bottom"/>
            <w:tcBorders>
              <w:top w:val="single" w:sz="8" w:color="auto"/>
              <w:bottom w:val="single" w:sz="8" w:color="F0FFFF"/>
            </w:tcBorders>
            <w:shd w:val="clear" w:color="auto" w:fill="F0FFFF"/>
          </w:tcPr>
          <w:p>
            <w:pPr>
              <w:ind w:left="920"/>
              <w:spacing w:after="0"/>
              <w:rPr>
                <w:sz w:val="20"/>
                <w:szCs w:val="20"/>
                <w:color w:val="auto"/>
              </w:rPr>
            </w:pPr>
            <w:r>
              <w:rPr>
                <w:rFonts w:ascii="Times New Roman" w:cs="Times New Roman" w:eastAsia="Times New Roman" w:hAnsi="Times New Roman"/>
                <w:sz w:val="18"/>
                <w:szCs w:val="18"/>
                <w:b w:val="1"/>
                <w:bCs w:val="1"/>
                <w:color w:val="auto"/>
              </w:rPr>
              <w:t>2-Year Term</w:t>
            </w:r>
          </w:p>
        </w:tc>
        <w:tc>
          <w:tcPr>
            <w:tcW w:w="20" w:type="dxa"/>
            <w:vAlign w:val="bottom"/>
            <w:tcBorders>
              <w:top w:val="single" w:sz="8" w:color="auto"/>
            </w:tcBorders>
          </w:tcPr>
          <w:p>
            <w:pPr>
              <w:spacing w:after="0"/>
              <w:rPr>
                <w:sz w:val="24"/>
                <w:szCs w:val="24"/>
                <w:color w:val="auto"/>
              </w:rPr>
            </w:pPr>
          </w:p>
        </w:tc>
      </w:tr>
      <w:tr>
        <w:trPr>
          <w:trHeight w:val="237"/>
        </w:trPr>
        <w:tc>
          <w:tcPr>
            <w:tcW w:w="272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10</w:t>
            </w:r>
          </w:p>
        </w:tc>
        <w:tc>
          <w:tcPr>
            <w:tcW w:w="2820" w:type="dxa"/>
            <w:vAlign w:val="bottom"/>
            <w:tcBorders>
              <w:top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r>
      <w:tr>
        <w:trPr>
          <w:trHeight w:val="27"/>
        </w:trPr>
        <w:tc>
          <w:tcPr>
            <w:tcW w:w="27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7"/>
        </w:trPr>
        <w:tc>
          <w:tcPr>
            <w:tcW w:w="2720" w:type="dxa"/>
            <w:vAlign w:val="bottom"/>
            <w:tcBorders>
              <w:bottom w:val="single" w:sz="8" w:color="auto"/>
              <w:right w:val="single" w:sz="8" w:color="auto"/>
            </w:tcBorders>
            <w:shd w:val="clear" w:color="auto" w:fill="F0FFFF"/>
          </w:tcPr>
          <w:p>
            <w:pPr>
              <w:jc w:val="center"/>
              <w:ind w:right="30"/>
              <w:spacing w:after="0"/>
              <w:rPr>
                <w:sz w:val="20"/>
                <w:szCs w:val="20"/>
                <w:color w:val="auto"/>
              </w:rPr>
            </w:pPr>
            <w:r>
              <w:rPr>
                <w:rFonts w:ascii="Times New Roman" w:cs="Times New Roman" w:eastAsia="Times New Roman" w:hAnsi="Times New Roman"/>
                <w:sz w:val="18"/>
                <w:szCs w:val="18"/>
                <w:color w:val="auto"/>
                <w:w w:val="99"/>
              </w:rPr>
              <w:t>Shield 15</w:t>
            </w:r>
          </w:p>
        </w:tc>
        <w:tc>
          <w:tcPr>
            <w:tcW w:w="2820" w:type="dxa"/>
            <w:vAlign w:val="bottom"/>
            <w:tcBorders>
              <w:bottom w:val="single" w:sz="8" w:color="auto"/>
              <w:right w:val="single" w:sz="8" w:color="auto"/>
            </w:tcBorders>
            <w:shd w:val="clear" w:color="auto" w:fill="F0FFFF"/>
          </w:tcPr>
          <w:p>
            <w:pPr>
              <w:jc w:val="right"/>
              <w:ind w:right="1150"/>
              <w:spacing w:after="0"/>
              <w:rPr>
                <w:sz w:val="20"/>
                <w:szCs w:val="20"/>
                <w:color w:val="auto"/>
              </w:rPr>
            </w:pPr>
            <w:r>
              <w:rPr>
                <w:rFonts w:ascii="Times New Roman" w:cs="Times New Roman" w:eastAsia="Times New Roman" w:hAnsi="Times New Roman"/>
                <w:sz w:val="18"/>
                <w:szCs w:val="18"/>
                <w:color w:val="auto"/>
              </w:rPr>
              <w:t>4.5%</w:t>
            </w:r>
          </w:p>
        </w:tc>
        <w:tc>
          <w:tcPr>
            <w:tcW w:w="2700" w:type="dxa"/>
            <w:vAlign w:val="bottom"/>
            <w:tcBorders>
              <w:bottom w:val="single" w:sz="8" w:color="auto"/>
            </w:tcBorders>
            <w:shd w:val="clear" w:color="auto" w:fill="F0FFFF"/>
          </w:tcPr>
          <w:p>
            <w:pPr>
              <w:jc w:val="right"/>
              <w:ind w:right="109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1"/>
                <w:szCs w:val="21"/>
                <w:color w:val="auto"/>
              </w:rPr>
            </w:pPr>
          </w:p>
        </w:tc>
      </w:tr>
    </w:tbl>
    <w:p>
      <w:pPr>
        <w:spacing w:after="0" w:line="1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Edge Rates will be for a subsequent Term. Thirty (30) days before the current Term expires, we will send you a notification, written or electronic depending on your selected preferences, indicating your maturing Shield Options and how you can obtain the new Edge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Edge Rate, unless you elect to transfer such amount into a different Shield Option(s) or the Fixed Account. See “TRANSFERS.”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Rate Crediting Type Considerations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 deciding whether to purchase a Shield Option with a Cap Rate versus a Step Rate or Step Rate Edge, you should consider the following:</w:t>
      </w:r>
    </w:p>
    <w:p>
      <w:pPr>
        <w:spacing w:after="0" w:line="6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Step Rates and Edge Rates are generally lower than Cap Rates. For example, if Index Performance is equal to or greater than zero but less than the Step Rate, and you chose a Cap Rate for your Shield Option, your Performance Rate Adjustment will be lower than it otherwise would be had you chosen a Step Rate.</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Similarly, if Index Performance is equal to or greater than the Shield Rate but less than the Edge Rate, and you chose a Cap Rate for your Shield Option, your Performance Rate Adjustment will be lower than it otherwise would be had you chosen an Edge Rate.</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Alternatively, if Index Performance is positive and exceeds the Step Rate, and you chose a Step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8% Step Rate, your Performance Rate would instead be 8%.</w:t>
      </w:r>
    </w:p>
    <w:p>
      <w:pPr>
        <w:spacing w:after="0" w:line="8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Similarly, if the Index is equal to or greater than the Shield Rate and exceeds the Edge Rate, and you chose an Edge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7% Edge Rate, your Performance Rate would instead be 7%.</w:t>
      </w:r>
    </w:p>
    <w:p>
      <w:pPr>
        <w:spacing w:after="0" w:line="7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deciding whether to purchase a Shield Option with a Step Rate versus Step Rate Edge, you should consider that Edge Rates are generally lower than Step Rates, but Edge Rates are applicable when Index Performance is equal to or greater than the Shield Rate whereas Step Rates are applicable only when Index Performance is equal to or greater than zero. For example, if you chose an Edge Rate of 7% and Index Performance is equal to or greater than the Shield Rate but less than zero, your Performance Rate would be 7%. On the other hand, if you chose a Step Rate of 8% and Index Performance is equal to or greater than the Shield Rate but less than zero, your Performance Rate would be 0% even though the Step Rate is higher than the Edge Rate. Conversely, if you chose an Edge Rate of 7% and Index Performance is equal to or greater than zero, your Performance Rate would be 7% whereas if you had chosen a Step Rate of 8%, your Performance Rate would be 8% rather than 7%.</w:t>
      </w:r>
    </w:p>
    <w:p>
      <w:pPr>
        <w:spacing w:after="0" w:line="86"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You should keep in mind that unlike Shield Options with a Cap Rate or Step Rate, with a Shield Option with Step Rate Edge you will receive a positive Performance Rate equal to the Edge Rate even if Index Performance is negative, so long as such negative Index Performance does not exceed the Shield Rate.</w:t>
      </w:r>
    </w:p>
    <w:p>
      <w:pPr>
        <w:spacing w:after="0" w:line="28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ADDITION OR DISCONTINUANCE OF A SHIELD OPTION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 Shield Option will always be available; however, we can add or discontinue any Shield Option. When a change is made to a Shield Option or an Index, or changed subsequent to the Issue Date, we will send a notification describing any changes to the Shield Option, as required by law. This change will take effect under your Contract as of the next Contract Anniversary for any allowable transfers into the Shield Option(s). If you are currently allocated in a Shield Option which is no longer available, you will remain in that Shield Option until the Term End Date, but that Shield Option will no longer be available following the Term End Date. For more on transfers and renewals, see “TRANSFERS.”</w:t>
      </w:r>
    </w:p>
    <w:p>
      <w:pPr>
        <w:sectPr>
          <w:pgSz w:w="11900" w:h="16838" w:orient="portrait"/>
          <w:cols w:equalWidth="0" w:num="1">
            <w:col w:w="9019"/>
          </w:cols>
          <w:pgMar w:left="1440" w:top="1424" w:right="1440" w:bottom="144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019"/>
          </w:cols>
          <w:pgMar w:left="1440" w:top="1424" w:right="1440" w:bottom="1440" w:gutter="0" w:footer="0" w:header="0"/>
          <w:type w:val="continuous"/>
        </w:sectPr>
      </w:pPr>
    </w:p>
    <w:bookmarkStart w:id="27" w:name="page28"/>
    <w:bookmarkEnd w:id="27"/>
    <w:p>
      <w:pPr>
        <w:ind w:left="3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ACCOUNT VALUE</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Your Account Value is the total of the Fixed Account Value, the value of the Shield Option(s), and the Holding Account value under your Contract during the Accumulation Period.</w:t>
      </w:r>
    </w:p>
    <w:p>
      <w:pPr>
        <w:spacing w:after="0" w:line="54"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following five sections of the prospectus describe (1) the calculation of Investment Amount, (2) Interim Value Calculation, (3) how Withdrawals work, (4) how Transfers work, and (5) how Performance Lock works. Each section has corresponding example(s). These examples should not be considered a representation of past or future performance for any Shield Option. </w:t>
      </w:r>
      <w:r>
        <w:rPr>
          <w:rFonts w:ascii="Times New Roman" w:cs="Times New Roman" w:eastAsia="Times New Roman" w:hAnsi="Times New Roman"/>
          <w:sz w:val="18"/>
          <w:szCs w:val="18"/>
          <w:b w:val="1"/>
          <w:bCs w:val="1"/>
          <w:color w:val="auto"/>
        </w:rPr>
        <w:t>Actual performance may be greater or less than those shown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examples. Similarly, the Index Values in the examples are not an estimate or guarantee of future Index Performance.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rates for the rate crediting types shown in the following examples are for illustrative purposes only and may not reflect actual declared rates. Values are rounded for display purposes only.</w:t>
      </w:r>
    </w:p>
    <w:p>
      <w:pPr>
        <w:spacing w:after="0" w:line="26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INVESTMENT AMOUNT</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Investment Amount for each Shield Option is equal to the Investment Amount at the Term Start Date, reduced proportionately for any withdrawals (including any applicable Withdrawal Charge) by the same percentage that the withdrawal reduces the Interim Value attributable to that Shield Option, adjusted by the Performance Rate at the Term End Date.</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remaining Investment Amount after a withdrawal will be used as the new Investment Amount for the Term until the Term End Date for that Shield Option, or the next Interim Value calculation. On the Term End Date, we apply the Performance Rate to your Investment Amount.</w:t>
      </w:r>
    </w:p>
    <w:p>
      <w:pPr>
        <w:spacing w:after="0" w:line="280" w:lineRule="exact"/>
        <w:rPr>
          <w:sz w:val="20"/>
          <w:szCs w:val="20"/>
          <w:color w:val="auto"/>
        </w:rPr>
      </w:pPr>
    </w:p>
    <w:p>
      <w:pPr>
        <w:ind w:left="480" w:right="1739" w:firstLine="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CALCULATING YOUR INVESTMENT AMOUNT ON A TERM END DATE </w:t>
      </w:r>
      <w:r>
        <w:rPr>
          <w:rFonts w:ascii="Times New Roman" w:cs="Times New Roman" w:eastAsia="Times New Roman" w:hAnsi="Times New Roman"/>
          <w:sz w:val="18"/>
          <w:szCs w:val="18"/>
          <w:color w:val="auto"/>
        </w:rPr>
        <w:t>The Performance Rate can be positive, zero or negative and is determined as follows:</w:t>
      </w:r>
    </w:p>
    <w:tbl>
      <w:tblPr>
        <w:tblLayout w:type="fixed"/>
        <w:tblInd w:w="130" w:type="dxa"/>
        <w:tblCellMar>
          <w:top w:w="0" w:type="dxa"/>
          <w:left w:w="0" w:type="dxa"/>
          <w:bottom w:w="0" w:type="dxa"/>
          <w:right w:w="0" w:type="dxa"/>
        </w:tblCellMar>
      </w:tblPr>
      <w:tr>
        <w:trPr>
          <w:trHeight w:val="227"/>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Shield Option type:</w:t>
            </w:r>
          </w:p>
        </w:tc>
        <w:tc>
          <w:tcPr>
            <w:tcW w:w="29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If Index Performance is:</w:t>
            </w:r>
          </w:p>
        </w:tc>
        <w:tc>
          <w:tcPr>
            <w:tcW w:w="300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Performance Rate will equal:</w:t>
            </w:r>
          </w:p>
        </w:tc>
      </w:tr>
      <w:tr>
        <w:trPr>
          <w:trHeight w:val="37"/>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r>
        <w:trPr>
          <w:trHeight w:val="205"/>
        </w:trPr>
        <w:tc>
          <w:tcPr>
            <w:tcW w:w="2820" w:type="dxa"/>
            <w:vAlign w:val="bottom"/>
            <w:tcBorders>
              <w:left w:val="single" w:sz="8" w:color="auto"/>
              <w:right w:val="single" w:sz="8" w:color="auto"/>
            </w:tcBorders>
            <w:shd w:val="clear" w:color="auto" w:fill="F0FFFF"/>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a Cap Rate</w:t>
            </w:r>
          </w:p>
        </w:tc>
        <w:tc>
          <w:tcPr>
            <w:tcW w:w="2900" w:type="dxa"/>
            <w:vAlign w:val="bottom"/>
            <w:tcBorders>
              <w:right w:val="single" w:sz="8" w:color="auto"/>
            </w:tcBorders>
            <w:shd w:val="clear" w:color="auto" w:fill="F0FFFF"/>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or equal to zero</w:t>
            </w:r>
          </w:p>
        </w:tc>
        <w:tc>
          <w:tcPr>
            <w:tcW w:w="3000" w:type="dxa"/>
            <w:vAlign w:val="bottom"/>
            <w:tcBorders>
              <w:right w:val="single" w:sz="8" w:color="auto"/>
            </w:tcBorders>
            <w:shd w:val="clear" w:color="auto" w:fill="F0FFFF"/>
          </w:tcPr>
          <w:p>
            <w:pPr>
              <w:ind w:left="80"/>
              <w:spacing w:after="0" w:line="205" w:lineRule="exact"/>
              <w:rPr>
                <w:sz w:val="20"/>
                <w:szCs w:val="20"/>
                <w:color w:val="auto"/>
              </w:rPr>
            </w:pPr>
            <w:r>
              <w:rPr>
                <w:rFonts w:ascii="Times New Roman" w:cs="Times New Roman" w:eastAsia="Times New Roman" w:hAnsi="Times New Roman"/>
                <w:sz w:val="18"/>
                <w:szCs w:val="18"/>
                <w:color w:val="auto"/>
              </w:rPr>
              <w:t>the lesser of: zero or the Index</w:t>
            </w:r>
          </w:p>
        </w:tc>
      </w:tr>
      <w:tr>
        <w:trPr>
          <w:trHeight w:val="189"/>
        </w:trPr>
        <w:tc>
          <w:tcPr>
            <w:tcW w:w="2820" w:type="dxa"/>
            <w:vAlign w:val="bottom"/>
            <w:tcBorders>
              <w:left w:val="single" w:sz="8" w:color="auto"/>
              <w:right w:val="single" w:sz="8" w:color="auto"/>
            </w:tcBorders>
            <w:shd w:val="clear" w:color="auto" w:fill="F0FFFF"/>
          </w:tcPr>
          <w:p>
            <w:pPr>
              <w:spacing w:after="0"/>
              <w:rPr>
                <w:sz w:val="16"/>
                <w:szCs w:val="16"/>
                <w:color w:val="auto"/>
              </w:rPr>
            </w:pPr>
          </w:p>
        </w:tc>
        <w:tc>
          <w:tcPr>
            <w:tcW w:w="2900" w:type="dxa"/>
            <w:vAlign w:val="bottom"/>
            <w:tcBorders>
              <w:right w:val="single" w:sz="8" w:color="auto"/>
            </w:tcBorders>
            <w:shd w:val="clear" w:color="auto" w:fill="F0FFFF"/>
          </w:tcPr>
          <w:p>
            <w:pPr>
              <w:spacing w:after="0"/>
              <w:rPr>
                <w:sz w:val="16"/>
                <w:szCs w:val="16"/>
                <w:color w:val="auto"/>
              </w:rPr>
            </w:pPr>
          </w:p>
        </w:tc>
        <w:tc>
          <w:tcPr>
            <w:tcW w:w="300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Performance increased by the Shield</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Rate (For example: a -15% Index</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with Shield 10 will result</w:t>
            </w:r>
          </w:p>
        </w:tc>
      </w:tr>
      <w:tr>
        <w:trPr>
          <w:trHeight w:val="189"/>
        </w:trPr>
        <w:tc>
          <w:tcPr>
            <w:tcW w:w="2820" w:type="dxa"/>
            <w:vAlign w:val="bottom"/>
            <w:tcBorders>
              <w:left w:val="single" w:sz="8" w:color="auto"/>
              <w:right w:val="single" w:sz="8" w:color="auto"/>
            </w:tcBorders>
            <w:shd w:val="clear" w:color="auto" w:fill="F0FFFF"/>
          </w:tcPr>
          <w:p>
            <w:pPr>
              <w:spacing w:after="0"/>
              <w:rPr>
                <w:sz w:val="16"/>
                <w:szCs w:val="16"/>
                <w:color w:val="auto"/>
              </w:rPr>
            </w:pPr>
          </w:p>
        </w:tc>
        <w:tc>
          <w:tcPr>
            <w:tcW w:w="2900" w:type="dxa"/>
            <w:vAlign w:val="bottom"/>
            <w:tcBorders>
              <w:right w:val="single" w:sz="8" w:color="auto"/>
            </w:tcBorders>
            <w:shd w:val="clear" w:color="auto" w:fill="F0FFFF"/>
          </w:tcPr>
          <w:p>
            <w:pPr>
              <w:spacing w:after="0"/>
              <w:rPr>
                <w:sz w:val="16"/>
                <w:szCs w:val="16"/>
                <w:color w:val="auto"/>
              </w:rPr>
            </w:pPr>
          </w:p>
        </w:tc>
        <w:tc>
          <w:tcPr>
            <w:tcW w:w="3000" w:type="dxa"/>
            <w:vAlign w:val="bottom"/>
            <w:tcBorders>
              <w:right w:val="single" w:sz="8" w:color="auto"/>
            </w:tcBorders>
            <w:shd w:val="clear" w:color="auto" w:fill="F0FFFF"/>
          </w:tcPr>
          <w:p>
            <w:pPr>
              <w:ind w:left="80"/>
              <w:spacing w:after="0" w:line="189" w:lineRule="exact"/>
              <w:rPr>
                <w:sz w:val="20"/>
                <w:szCs w:val="20"/>
                <w:color w:val="auto"/>
              </w:rPr>
            </w:pPr>
            <w:r>
              <w:rPr>
                <w:rFonts w:ascii="Times New Roman" w:cs="Times New Roman" w:eastAsia="Times New Roman" w:hAnsi="Times New Roman"/>
                <w:sz w:val="18"/>
                <w:szCs w:val="18"/>
                <w:color w:val="auto"/>
              </w:rPr>
              <w:t>in a -5% Performance Rate. The</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Rate can never be</w:t>
            </w:r>
          </w:p>
        </w:tc>
      </w:tr>
      <w:tr>
        <w:trPr>
          <w:trHeight w:val="203"/>
        </w:trPr>
        <w:tc>
          <w:tcPr>
            <w:tcW w:w="2820" w:type="dxa"/>
            <w:vAlign w:val="bottom"/>
            <w:tcBorders>
              <w:left w:val="single" w:sz="8" w:color="auto"/>
              <w:right w:val="single" w:sz="8" w:color="auto"/>
            </w:tcBorders>
            <w:shd w:val="clear" w:color="auto" w:fill="F0FFFF"/>
          </w:tcPr>
          <w:p>
            <w:pPr>
              <w:spacing w:after="0"/>
              <w:rPr>
                <w:sz w:val="17"/>
                <w:szCs w:val="17"/>
                <w:color w:val="auto"/>
              </w:rPr>
            </w:pPr>
          </w:p>
        </w:tc>
        <w:tc>
          <w:tcPr>
            <w:tcW w:w="2900" w:type="dxa"/>
            <w:vAlign w:val="bottom"/>
            <w:tcBorders>
              <w:right w:val="single" w:sz="8" w:color="auto"/>
            </w:tcBorders>
            <w:shd w:val="clear" w:color="auto" w:fill="F0FFFF"/>
          </w:tcPr>
          <w:p>
            <w:pPr>
              <w:spacing w:after="0"/>
              <w:rPr>
                <w:sz w:val="17"/>
                <w:szCs w:val="17"/>
                <w:color w:val="auto"/>
              </w:rPr>
            </w:pPr>
          </w:p>
        </w:tc>
        <w:tc>
          <w:tcPr>
            <w:tcW w:w="3000" w:type="dxa"/>
            <w:vAlign w:val="bottom"/>
            <w:tcBorders>
              <w:right w:val="single" w:sz="8" w:color="auto"/>
            </w:tcBorders>
            <w:shd w:val="clear" w:color="auto" w:fill="F0FFFF"/>
          </w:tcPr>
          <w:p>
            <w:pPr>
              <w:ind w:left="80"/>
              <w:spacing w:after="0" w:line="202" w:lineRule="exact"/>
              <w:rPr>
                <w:sz w:val="20"/>
                <w:szCs w:val="20"/>
                <w:color w:val="auto"/>
              </w:rPr>
            </w:pPr>
            <w:r>
              <w:rPr>
                <w:rFonts w:ascii="Times New Roman" w:cs="Times New Roman" w:eastAsia="Times New Roman" w:hAnsi="Times New Roman"/>
                <w:sz w:val="18"/>
                <w:szCs w:val="18"/>
                <w:color w:val="auto"/>
              </w:rPr>
              <w:t>greater than zero if the Index</w:t>
            </w:r>
          </w:p>
        </w:tc>
      </w:tr>
      <w:tr>
        <w:trPr>
          <w:trHeight w:val="268"/>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spacing w:after="0"/>
              <w:rPr>
                <w:sz w:val="23"/>
                <w:szCs w:val="23"/>
                <w:color w:val="auto"/>
              </w:rPr>
            </w:pPr>
          </w:p>
        </w:tc>
        <w:tc>
          <w:tcPr>
            <w:tcW w:w="30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Performance is negative.)</w:t>
            </w:r>
          </w:p>
        </w:tc>
      </w:tr>
      <w:tr>
        <w:trPr>
          <w:trHeight w:val="238"/>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greater than zero and less than the</w:t>
            </w: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Index Performance</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3000" w:type="dxa"/>
            <w:vAlign w:val="bottom"/>
            <w:tcBorders>
              <w:right w:val="single" w:sz="8" w:color="auto"/>
            </w:tcBorders>
          </w:tcPr>
          <w:p>
            <w:pPr>
              <w:spacing w:after="0"/>
              <w:rPr>
                <w:sz w:val="20"/>
                <w:szCs w:val="20"/>
                <w:color w:val="auto"/>
              </w:rPr>
            </w:pPr>
          </w:p>
        </w:tc>
      </w:tr>
      <w:tr>
        <w:trPr>
          <w:trHeight w:val="54"/>
        </w:trPr>
        <w:tc>
          <w:tcPr>
            <w:tcW w:w="282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r>
      <w:tr>
        <w:trPr>
          <w:trHeight w:val="265"/>
        </w:trPr>
        <w:tc>
          <w:tcPr>
            <w:tcW w:w="2820" w:type="dxa"/>
            <w:vAlign w:val="bottom"/>
            <w:tcBorders>
              <w:left w:val="single" w:sz="8" w:color="auto"/>
              <w:right w:val="single" w:sz="8" w:color="auto"/>
            </w:tcBorders>
            <w:shd w:val="clear" w:color="auto" w:fill="F0FFFF"/>
          </w:tcPr>
          <w:p>
            <w:pPr>
              <w:spacing w:after="0"/>
              <w:rPr>
                <w:sz w:val="23"/>
                <w:szCs w:val="23"/>
                <w:color w:val="auto"/>
              </w:rPr>
            </w:pPr>
          </w:p>
        </w:tc>
        <w:tc>
          <w:tcPr>
            <w:tcW w:w="29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greater than zero and equals or</w:t>
            </w:r>
          </w:p>
        </w:tc>
        <w:tc>
          <w:tcPr>
            <w:tcW w:w="30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Cap Rate</w:t>
            </w:r>
          </w:p>
        </w:tc>
      </w:tr>
      <w:tr>
        <w:trPr>
          <w:trHeight w:val="280"/>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exceeds the Cap Rate</w:t>
            </w:r>
          </w:p>
        </w:tc>
        <w:tc>
          <w:tcPr>
            <w:tcW w:w="300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05"/>
        </w:trPr>
        <w:tc>
          <w:tcPr>
            <w:tcW w:w="2820" w:type="dxa"/>
            <w:vAlign w:val="bottom"/>
            <w:tcBorders>
              <w:top w:val="single" w:sz="8" w:color="auto"/>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a Step Rate</w:t>
            </w:r>
          </w:p>
        </w:tc>
        <w:tc>
          <w:tcPr>
            <w:tcW w:w="290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zero</w:t>
            </w:r>
          </w:p>
        </w:tc>
        <w:tc>
          <w:tcPr>
            <w:tcW w:w="300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the lesser of: zero or the Index</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Performance increased by the Shield</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Rate (For example: a -15% Index</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with Shield 10 will result</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in a -5% Performance Rate. The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Performance Rate can never be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greater than zero if the Index</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is negative.)</w:t>
            </w:r>
          </w:p>
        </w:tc>
      </w:tr>
      <w:tr>
        <w:trPr>
          <w:trHeight w:val="54"/>
        </w:trPr>
        <w:tc>
          <w:tcPr>
            <w:tcW w:w="2820" w:type="dxa"/>
            <w:vAlign w:val="bottom"/>
            <w:tcBorders>
              <w:left w:val="single" w:sz="8" w:color="auto"/>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r>
      <w:tr>
        <w:trPr>
          <w:trHeight w:val="329"/>
        </w:trPr>
        <w:tc>
          <w:tcPr>
            <w:tcW w:w="2820" w:type="dxa"/>
            <w:vAlign w:val="bottom"/>
            <w:tcBorders>
              <w:left w:val="single" w:sz="8" w:color="auto"/>
              <w:bottom w:val="single" w:sz="8" w:color="F0FFFF"/>
              <w:right w:val="single" w:sz="8" w:color="auto"/>
            </w:tcBorders>
            <w:shd w:val="clear" w:color="auto" w:fill="F0FFFF"/>
          </w:tcPr>
          <w:p>
            <w:pPr>
              <w:spacing w:after="0"/>
              <w:rPr>
                <w:sz w:val="24"/>
                <w:szCs w:val="24"/>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equal to or greater than zero</w:t>
            </w:r>
          </w:p>
        </w:tc>
        <w:tc>
          <w:tcPr>
            <w:tcW w:w="3000" w:type="dxa"/>
            <w:vAlign w:val="bottom"/>
            <w:tcBorders>
              <w:bottom w:val="single" w:sz="8" w:color="F0FFFF"/>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Step Rate</w:t>
            </w:r>
          </w:p>
        </w:tc>
      </w:tr>
      <w:tr>
        <w:trPr>
          <w:trHeight w:val="205"/>
        </w:trPr>
        <w:tc>
          <w:tcPr>
            <w:tcW w:w="2820" w:type="dxa"/>
            <w:vAlign w:val="bottom"/>
            <w:tcBorders>
              <w:top w:val="single" w:sz="8" w:color="auto"/>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Shield Options with Step Rate Edge</w:t>
            </w:r>
          </w:p>
        </w:tc>
        <w:tc>
          <w:tcPr>
            <w:tcW w:w="290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less than zero and exceeds the Shield</w:t>
            </w:r>
          </w:p>
        </w:tc>
        <w:tc>
          <w:tcPr>
            <w:tcW w:w="300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Index Performance increased by the</w:t>
            </w:r>
          </w:p>
        </w:tc>
      </w:tr>
      <w:tr>
        <w:trPr>
          <w:trHeight w:val="189"/>
        </w:trPr>
        <w:tc>
          <w:tcPr>
            <w:tcW w:w="282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Rate</w:t>
            </w:r>
          </w:p>
        </w:tc>
        <w:tc>
          <w:tcPr>
            <w:tcW w:w="30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Shield Rate (For example: a -15%</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Index Performance with Shield 10 will</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result in a -5% Performance Rate.)</w:t>
            </w:r>
          </w:p>
        </w:tc>
      </w:tr>
      <w:tr>
        <w:trPr>
          <w:trHeight w:val="68"/>
        </w:trPr>
        <w:tc>
          <w:tcPr>
            <w:tcW w:w="2820" w:type="dxa"/>
            <w:vAlign w:val="bottom"/>
            <w:tcBorders>
              <w:left w:val="single" w:sz="8" w:color="auto"/>
              <w:right w:val="single" w:sz="8" w:color="auto"/>
            </w:tcBorders>
          </w:tcPr>
          <w:p>
            <w:pPr>
              <w:spacing w:after="0"/>
              <w:rPr>
                <w:sz w:val="5"/>
                <w:szCs w:val="5"/>
                <w:color w:val="auto"/>
              </w:rPr>
            </w:pPr>
          </w:p>
        </w:tc>
        <w:tc>
          <w:tcPr>
            <w:tcW w:w="2900" w:type="dxa"/>
            <w:vAlign w:val="bottom"/>
            <w:tcBorders>
              <w:right w:val="single" w:sz="8" w:color="auto"/>
            </w:tcBorders>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r>
      <w:tr>
        <w:trPr>
          <w:trHeight w:val="238"/>
        </w:trPr>
        <w:tc>
          <w:tcPr>
            <w:tcW w:w="2820" w:type="dxa"/>
            <w:vAlign w:val="bottom"/>
            <w:tcBorders>
              <w:left w:val="single" w:sz="8" w:color="auto"/>
              <w:right w:val="single" w:sz="8" w:color="auto"/>
            </w:tcBorders>
            <w:shd w:val="clear" w:color="auto" w:fill="F0FFFF"/>
          </w:tcPr>
          <w:p>
            <w:pPr>
              <w:spacing w:after="0"/>
              <w:rPr>
                <w:sz w:val="20"/>
                <w:szCs w:val="20"/>
                <w:color w:val="auto"/>
              </w:rPr>
            </w:pPr>
          </w:p>
        </w:tc>
        <w:tc>
          <w:tcPr>
            <w:tcW w:w="2900" w:type="dxa"/>
            <w:vAlign w:val="bottom"/>
            <w:tcBorders>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less than zero but does not exceed</w:t>
            </w:r>
          </w:p>
        </w:tc>
        <w:tc>
          <w:tcPr>
            <w:tcW w:w="3000" w:type="dxa"/>
            <w:vAlign w:val="bottom"/>
            <w:tcBorders>
              <w:right w:val="single" w:sz="8" w:color="auto"/>
            </w:tcBorders>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the Edge Rate</w:t>
            </w:r>
          </w:p>
        </w:tc>
      </w:tr>
      <w:tr>
        <w:trPr>
          <w:trHeight w:val="268"/>
        </w:trPr>
        <w:tc>
          <w:tcPr>
            <w:tcW w:w="282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900" w:type="dxa"/>
            <w:vAlign w:val="bottom"/>
            <w:tcBorders>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the Shield Rate</w:t>
            </w:r>
          </w:p>
        </w:tc>
        <w:tc>
          <w:tcPr>
            <w:tcW w:w="300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70"/>
        </w:trPr>
        <w:tc>
          <w:tcPr>
            <w:tcW w:w="2820" w:type="dxa"/>
            <w:vAlign w:val="bottom"/>
            <w:tcBorders>
              <w:left w:val="single" w:sz="8" w:color="auto"/>
              <w:right w:val="single" w:sz="8" w:color="auto"/>
            </w:tcBorders>
          </w:tcPr>
          <w:p>
            <w:pPr>
              <w:spacing w:after="0"/>
              <w:rPr>
                <w:sz w:val="23"/>
                <w:szCs w:val="23"/>
                <w:color w:val="auto"/>
              </w:rPr>
            </w:pP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zero or positive</w:t>
            </w:r>
          </w:p>
        </w:tc>
        <w:tc>
          <w:tcPr>
            <w:tcW w:w="3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Edge Rate</w:t>
            </w:r>
          </w:p>
        </w:tc>
      </w:tr>
      <w:tr>
        <w:trPr>
          <w:trHeight w:val="2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-4321810</wp:posOffset>
            </wp:positionV>
            <wp:extent cx="552069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069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-3079115</wp:posOffset>
            </wp:positionV>
            <wp:extent cx="5520690"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0690" cy="3346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-2393315</wp:posOffset>
            </wp:positionV>
            <wp:extent cx="5520690" cy="1071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0690" cy="107188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-1107440</wp:posOffset>
            </wp:positionV>
            <wp:extent cx="5520690" cy="574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0690" cy="5740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-198755</wp:posOffset>
            </wp:positionV>
            <wp:extent cx="552069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0690" cy="188595"/>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019"/>
          </w:cols>
          <w:pgMar w:left="1440" w:top="1373" w:right="1440" w:bottom="1440" w:gutter="0" w:footer="0" w:header="0"/>
          <w:type w:val="continuous"/>
        </w:sectPr>
      </w:pPr>
    </w:p>
    <w:bookmarkStart w:id="28" w:name="page29"/>
    <w:bookmarkEnd w:id="28"/>
    <w:p>
      <w:pPr>
        <w:jc w:val="both"/>
        <w:ind w:left="88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For any Shield Option, once during each Term you may elect to lock the Interim Value. Once Performance Lock is exercised, it is irrevocable for the remainder of that Term. The Performance Lock Value will be used as the value of the Shield Option for the remainder of the Term. This means you will no longer participate in Index Performance, positive or negative, and you will not receive a Performance Rate Adjustment on any Performance Lock Value on the Term End Date.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Example 1—Calculating your Investment Amount without Performance Lock on a Term End Date</w:t>
      </w:r>
    </w:p>
    <w:p>
      <w:pPr>
        <w:spacing w:after="0" w:line="121" w:lineRule="exact"/>
        <w:rPr>
          <w:sz w:val="20"/>
          <w:szCs w:val="20"/>
          <w:color w:val="auto"/>
        </w:rPr>
      </w:pPr>
    </w:p>
    <w:p>
      <w:pPr>
        <w:jc w:val="both"/>
        <w:ind w:left="880" w:right="639" w:firstLine="360"/>
        <w:spacing w:after="0" w:line="237" w:lineRule="auto"/>
        <w:rPr>
          <w:sz w:val="20"/>
          <w:szCs w:val="20"/>
          <w:color w:val="auto"/>
        </w:rPr>
      </w:pPr>
      <w:r>
        <w:rPr>
          <w:rFonts w:ascii="Times New Roman" w:cs="Times New Roman" w:eastAsia="Times New Roman" w:hAnsi="Times New Roman"/>
          <w:sz w:val="18"/>
          <w:szCs w:val="18"/>
          <w:color w:val="auto"/>
        </w:rPr>
        <w:t>Examples 1A, 1B, and 1C are intended to show how the Investment Amount on a Term End Date is calculated. In each example, assume 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and she allows her allocation to renew year to year for five years. In Example 1A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in Example 1B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Step Rate of 8%, and in Example 1C she has selected the Shield 10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an Edge Rate of 7%. For purposes of each example, assume no withdrawals are made during the five year example period, the Example 1A Cap Rate stays at 10% for all five years, the Example 1B Step Rate stays at 8% for all five years, and the Example 1C Edge Rate stays at 7% for all five years. If a withdrawal were made, a Withdrawal Charge during the first 6 Contract Years as well as an Interim Value calculation may apply; and consequently the Investment Amount for the Term would be adjusted accordingly.</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Example 1A—Shield Option with Cap Rate:</w:t>
      </w:r>
    </w:p>
    <w:p>
      <w:pPr>
        <w:spacing w:after="0" w:line="100" w:lineRule="exact"/>
        <w:rPr>
          <w:sz w:val="20"/>
          <w:szCs w:val="20"/>
          <w:color w:val="auto"/>
        </w:rPr>
      </w:pPr>
    </w:p>
    <w:p>
      <w:pPr>
        <w:jc w:val="both"/>
        <w:ind w:left="880" w:right="639" w:firstLine="360"/>
        <w:spacing w:after="0" w:line="248"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and lets it renew year after year for five years. The following example illustrates how her initial $50,000 Purchase Payment could perform over a five-year period given fluctuating Index Values. For renewals into the same Shield Option a new Cap Rate would be declared and go into effect on the Contract Anniversary that coincides with the beginning of the new Shield Option. In some cases, we may declare a Cap Rate for a Shield Option as “uncapped” in which case the Performance Rate that can be received is equal to the Index Performance, subject to the Shield Rate.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-62230</wp:posOffset>
            </wp:positionV>
            <wp:extent cx="4131945" cy="2408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319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89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3000" w:type="dxa"/>
            <w:vAlign w:val="bottom"/>
            <w:tcBorders>
              <w:left w:val="single" w:sz="8" w:color="auto"/>
              <w:bottom w:val="single" w:sz="8" w:color="F0FFFF"/>
              <w:right w:val="single" w:sz="8" w:color="F0FFFF"/>
            </w:tcBorders>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$57,750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$57,750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$57,750</w:t>
            </w:r>
          </w:p>
        </w:tc>
      </w:tr>
      <w:tr>
        <w:trPr>
          <w:trHeight w:val="269"/>
        </w:trPr>
        <w:tc>
          <w:tcPr>
            <w:tcW w:w="30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1,197</w:t>
            </w:r>
          </w:p>
        </w:tc>
      </w:tr>
      <w:tr>
        <w:trPr>
          <w:trHeight w:val="236"/>
        </w:trPr>
        <w:tc>
          <w:tcPr>
            <w:tcW w:w="300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30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1,197</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77"/>
        </w:trPr>
        <w:tc>
          <w:tcPr>
            <w:tcW w:w="300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8"/>
        </w:trPr>
        <w:tc>
          <w:tcPr>
            <w:tcW w:w="3000" w:type="dxa"/>
            <w:vAlign w:val="bottom"/>
            <w:tcBorders>
              <w:left w:val="single" w:sz="8" w:color="auto"/>
              <w:bottom w:val="single" w:sz="8" w:color="F0FFFF"/>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6"/>
        </w:trPr>
        <w:tc>
          <w:tcPr>
            <w:tcW w:w="30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$2,750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-$2,888</w:t>
            </w:r>
          </w:p>
        </w:tc>
      </w:tr>
      <w:tr>
        <w:trPr>
          <w:trHeight w:val="275"/>
        </w:trPr>
        <w:tc>
          <w:tcPr>
            <w:tcW w:w="3000" w:type="dxa"/>
            <w:vAlign w:val="bottom"/>
            <w:tcBorders>
              <w:left w:val="single" w:sz="8" w:color="auto"/>
              <w:bottom w:val="single" w:sz="8" w:color="auto"/>
              <w:righ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b w:val="1"/>
                <w:bCs w:val="1"/>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$55,000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$57,750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$57,750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$57,750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$54,862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-2178685</wp:posOffset>
            </wp:positionV>
            <wp:extent cx="480060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-1844675</wp:posOffset>
            </wp:positionV>
            <wp:extent cx="480060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-1475740</wp:posOffset>
            </wp:positionV>
            <wp:extent cx="480060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-1115695</wp:posOffset>
            </wp:positionV>
            <wp:extent cx="480060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-747395</wp:posOffset>
            </wp:positionV>
            <wp:extent cx="480060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00600" cy="18034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-378460</wp:posOffset>
            </wp:positionV>
            <wp:extent cx="480060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00600" cy="188595"/>
                    </a:xfrm>
                    <a:prstGeom prst="rect">
                      <a:avLst/>
                    </a:prstGeom>
                    <a:noFill/>
                  </pic:spPr>
                </pic:pic>
              </a:graphicData>
            </a:graphic>
          </wp:anchor>
        </w:drawing>
      </w:r>
    </w:p>
    <w:p>
      <w:pPr>
        <w:sectPr>
          <w:pgSz w:w="11900" w:h="16838" w:orient="portrait"/>
          <w:cols w:equalWidth="0" w:num="1">
            <w:col w:w="9779"/>
          </w:cols>
          <w:pgMar w:left="680" w:top="1377" w:right="1440" w:bottom="1055" w:gutter="0" w:footer="0" w:header="0"/>
        </w:sectPr>
      </w:pPr>
    </w:p>
    <w:p>
      <w:pPr>
        <w:spacing w:after="0" w:line="27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779"/>
          </w:cols>
          <w:pgMar w:left="680" w:top="1377" w:right="1440" w:bottom="1055" w:gutter="0" w:footer="0" w:header="0"/>
          <w:type w:val="continuous"/>
        </w:sectPr>
      </w:pPr>
    </w:p>
    <w:bookmarkStart w:id="29" w:name="page30"/>
    <w:bookmarkEnd w:id="29"/>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975360</wp:posOffset>
            </wp:positionH>
            <wp:positionV relativeFrom="page">
              <wp:posOffset>941705</wp:posOffset>
            </wp:positionV>
            <wp:extent cx="72834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345" cy="51435"/>
                    </a:xfrm>
                    <a:prstGeom prst="rect">
                      <a:avLst/>
                    </a:prstGeom>
                    <a:noFill/>
                  </pic:spPr>
                </pic:pic>
              </a:graphicData>
            </a:graphic>
          </wp:anchor>
        </w:drawing>
      </w:r>
    </w:p>
    <w:p>
      <w:pPr>
        <w:ind w:left="880" w:right="1159"/>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ind w:left="880"/>
        <w:spacing w:after="0" w:line="198" w:lineRule="auto"/>
        <w:rPr>
          <w:sz w:val="20"/>
          <w:szCs w:val="20"/>
          <w:color w:val="auto"/>
        </w:rPr>
      </w:pPr>
      <w:r>
        <w:rPr>
          <w:rFonts w:ascii="Times New Roman" w:cs="Times New Roman" w:eastAsia="Times New Roman" w:hAnsi="Times New Roman"/>
          <w:sz w:val="7"/>
          <w:szCs w:val="7"/>
          <w:color w:val="auto"/>
        </w:rPr>
        <w:t>(1)</w:t>
      </w:r>
    </w:p>
    <w:p>
      <w:pPr>
        <w:ind w:left="1240"/>
        <w:spacing w:after="0" w:line="235" w:lineRule="auto"/>
        <w:rPr>
          <w:sz w:val="20"/>
          <w:szCs w:val="20"/>
          <w:color w:val="auto"/>
        </w:rPr>
      </w:pPr>
      <w:r>
        <w:rPr>
          <w:rFonts w:ascii="Times New Roman" w:cs="Times New Roman" w:eastAsia="Times New Roman" w:hAnsi="Times New Roman"/>
          <w:sz w:val="18"/>
          <w:szCs w:val="18"/>
          <w:color w:val="auto"/>
        </w:rPr>
        <w:t>Investment Amount at Term Start Date in year one is the $50,000 Purchase Payment. In years two through</w:t>
      </w:r>
    </w:p>
    <w:p>
      <w:pPr>
        <w:ind w:left="1240" w:right="739"/>
        <w:spacing w:after="0" w:line="233" w:lineRule="auto"/>
        <w:rPr>
          <w:sz w:val="20"/>
          <w:szCs w:val="20"/>
          <w:color w:val="auto"/>
        </w:rPr>
      </w:pPr>
      <w:r>
        <w:rPr>
          <w:rFonts w:ascii="Times New Roman" w:cs="Times New Roman" w:eastAsia="Times New Roman" w:hAnsi="Times New Roman"/>
          <w:sz w:val="18"/>
          <w:szCs w:val="18"/>
          <w:color w:val="auto"/>
        </w:rPr>
        <w:t>five, the Investment Amount at Term Start Date would be $55,000, $57,750, $57,750 and $57,750, respectively, which was the Investment Amount at Term End Date for the prior year.</w:t>
      </w:r>
    </w:p>
    <w:p>
      <w:pPr>
        <w:spacing w:after="0" w:line="37" w:lineRule="exact"/>
        <w:rPr>
          <w:sz w:val="20"/>
          <w:szCs w:val="20"/>
          <w:color w:val="auto"/>
        </w:rPr>
      </w:pPr>
    </w:p>
    <w:p>
      <w:pPr>
        <w:ind w:left="1240" w:right="739" w:hanging="368"/>
        <w:spacing w:after="0" w:line="222" w:lineRule="auto"/>
        <w:tabs>
          <w:tab w:leader="none" w:pos="12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(1,200 [Index Value at Term End Date] –1,000 [Index Value at Term Start Date])</w:t>
      </w:r>
    </w:p>
    <w:p>
      <w:pPr>
        <w:spacing w:after="0" w:line="1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 1,000 [Index Value at Term Start Date] = 20%</w:t>
      </w:r>
    </w:p>
    <w:p>
      <w:pPr>
        <w:ind w:left="880"/>
        <w:spacing w:after="0" w:line="194" w:lineRule="auto"/>
        <w:rPr>
          <w:sz w:val="20"/>
          <w:szCs w:val="20"/>
          <w:color w:val="auto"/>
        </w:rPr>
      </w:pPr>
      <w:r>
        <w:rPr>
          <w:rFonts w:ascii="Times New Roman" w:cs="Times New Roman" w:eastAsia="Times New Roman" w:hAnsi="Times New Roman"/>
          <w:sz w:val="7"/>
          <w:szCs w:val="7"/>
          <w:color w:val="auto"/>
        </w:rPr>
        <w:t>(3)</w:t>
      </w:r>
    </w:p>
    <w:p>
      <w:pPr>
        <w:jc w:val="both"/>
        <w:ind w:left="1240" w:right="739"/>
        <w:spacing w:after="0" w:line="226" w:lineRule="auto"/>
        <w:rPr>
          <w:sz w:val="20"/>
          <w:szCs w:val="20"/>
          <w:color w:val="auto"/>
        </w:rPr>
      </w:pPr>
      <w:r>
        <w:rPr>
          <w:rFonts w:ascii="Times New Roman" w:cs="Times New Roman" w:eastAsia="Times New Roman" w:hAnsi="Times New Roman"/>
          <w:sz w:val="18"/>
          <w:szCs w:val="18"/>
          <w:color w:val="auto"/>
        </w:rPr>
        <w:t>In year one, Index Performance exceeds the Cap Rate and therefore the Performance Rate is equal to the Cap Rate. In years two and three the Performance Rate is equal to the Index Performance because the Index</w:t>
      </w:r>
    </w:p>
    <w:p>
      <w:pPr>
        <w:spacing w:after="0" w:line="2" w:lineRule="exact"/>
        <w:rPr>
          <w:sz w:val="20"/>
          <w:szCs w:val="20"/>
          <w:color w:val="auto"/>
        </w:rPr>
      </w:pPr>
    </w:p>
    <w:p>
      <w:pPr>
        <w:jc w:val="both"/>
        <w:ind w:left="1240" w:right="739"/>
        <w:spacing w:after="0" w:line="231" w:lineRule="auto"/>
        <w:rPr>
          <w:sz w:val="20"/>
          <w:szCs w:val="20"/>
          <w:color w:val="auto"/>
        </w:rPr>
      </w:pPr>
      <w:r>
        <w:rPr>
          <w:rFonts w:ascii="Times New Roman" w:cs="Times New Roman" w:eastAsia="Times New Roman" w:hAnsi="Times New Roman"/>
          <w:sz w:val="18"/>
          <w:szCs w:val="18"/>
          <w:color w:val="auto"/>
        </w:rPr>
        <w:t>Performance is not negative and does not exceed the Cap Rate. In year four the Performance Rate is 0% because the Index Performance is –5% and the Shield 10 absorbs up to 10% of the negative Index Performance. In year five, the Performance Rate is –5% because the Index Performance is –15% and the Shield 10 absorbs up to 10% of negative Index Performance.</w:t>
      </w:r>
    </w:p>
    <w:p>
      <w:pPr>
        <w:ind w:left="880"/>
        <w:spacing w:after="0" w:line="200" w:lineRule="auto"/>
        <w:rPr>
          <w:sz w:val="20"/>
          <w:szCs w:val="20"/>
          <w:color w:val="auto"/>
        </w:rPr>
      </w:pPr>
      <w:r>
        <w:rPr>
          <w:rFonts w:ascii="Times New Roman" w:cs="Times New Roman" w:eastAsia="Times New Roman" w:hAnsi="Times New Roman"/>
          <w:sz w:val="7"/>
          <w:szCs w:val="7"/>
          <w:color w:val="auto"/>
        </w:rPr>
        <w:t>(4)</w:t>
      </w:r>
    </w:p>
    <w:p>
      <w:pPr>
        <w:jc w:val="both"/>
        <w:ind w:left="1240" w:right="739"/>
        <w:spacing w:after="0"/>
        <w:rPr>
          <w:sz w:val="20"/>
          <w:szCs w:val="20"/>
          <w:color w:val="auto"/>
        </w:rPr>
      </w:pPr>
      <w:r>
        <w:rPr>
          <w:rFonts w:ascii="Times New Roman" w:cs="Times New Roman" w:eastAsia="Times New Roman" w:hAnsi="Times New Roman"/>
          <w:sz w:val="17"/>
          <w:szCs w:val="17"/>
          <w:color w:val="auto"/>
        </w:rPr>
        <w:t>The Performance Rate Adjustment is equal to the product of the Investment Amount at the Term Start Date adjusted for any withdrawals (including any applicable Withdrawal Charge) (there are no withdrawals in the</w:t>
      </w:r>
    </w:p>
    <w:p>
      <w:pPr>
        <w:spacing w:after="0" w:line="1" w:lineRule="exact"/>
        <w:rPr>
          <w:sz w:val="20"/>
          <w:szCs w:val="20"/>
          <w:color w:val="auto"/>
        </w:rPr>
      </w:pPr>
    </w:p>
    <w:p>
      <w:pPr>
        <w:jc w:val="both"/>
        <w:ind w:left="1240" w:right="739"/>
        <w:spacing w:after="0" w:line="243" w:lineRule="auto"/>
        <w:rPr>
          <w:sz w:val="20"/>
          <w:szCs w:val="20"/>
          <w:color w:val="auto"/>
        </w:rPr>
      </w:pPr>
      <w:r>
        <w:rPr>
          <w:rFonts w:ascii="Times New Roman" w:cs="Times New Roman" w:eastAsia="Times New Roman" w:hAnsi="Times New Roman"/>
          <w:sz w:val="18"/>
          <w:szCs w:val="18"/>
          <w:color w:val="auto"/>
        </w:rPr>
        <w:t>example) multiplied by the Performance Rate. For example, in year one the Performance Rate Adjustment is calculated as follows:</w:t>
      </w:r>
    </w:p>
    <w:p>
      <w:pPr>
        <w:spacing w:after="0" w:line="3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$50,000 [Investment Amount at Term Start Date] x 10% [Performance Rate] = $5,000</w:t>
      </w:r>
    </w:p>
    <w:p>
      <w:pPr>
        <w:ind w:left="880"/>
        <w:spacing w:after="0" w:line="192" w:lineRule="auto"/>
        <w:rPr>
          <w:sz w:val="20"/>
          <w:szCs w:val="20"/>
          <w:color w:val="auto"/>
        </w:rPr>
      </w:pPr>
      <w:r>
        <w:rPr>
          <w:rFonts w:ascii="Times New Roman" w:cs="Times New Roman" w:eastAsia="Times New Roman" w:hAnsi="Times New Roman"/>
          <w:sz w:val="9"/>
          <w:szCs w:val="9"/>
          <w:color w:val="auto"/>
        </w:rPr>
        <w:t>(5)</w:t>
      </w:r>
    </w:p>
    <w:p>
      <w:pPr>
        <w:jc w:val="both"/>
        <w:ind w:left="1240" w:right="739"/>
        <w:spacing w:after="0"/>
        <w:rPr>
          <w:sz w:val="20"/>
          <w:szCs w:val="20"/>
          <w:color w:val="auto"/>
        </w:rPr>
      </w:pPr>
      <w:r>
        <w:rPr>
          <w:rFonts w:ascii="Times New Roman" w:cs="Times New Roman" w:eastAsia="Times New Roman" w:hAnsi="Times New Roman"/>
          <w:sz w:val="17"/>
          <w:szCs w:val="17"/>
          <w:color w:val="auto"/>
        </w:rPr>
        <w:t>The Investment Amount at the Term End Date is equal to the Investment Amount at Term Start Date adjusted for any withdrawals (including any applicable Withdrawal Charge) (there are no withdrawals in the</w:t>
      </w:r>
    </w:p>
    <w:p>
      <w:pPr>
        <w:ind w:left="1240"/>
        <w:spacing w:after="0" w:line="235" w:lineRule="auto"/>
        <w:rPr>
          <w:sz w:val="20"/>
          <w:szCs w:val="20"/>
          <w:color w:val="auto"/>
        </w:rPr>
      </w:pPr>
      <w:r>
        <w:rPr>
          <w:rFonts w:ascii="Times New Roman" w:cs="Times New Roman" w:eastAsia="Times New Roman" w:hAnsi="Times New Roman"/>
          <w:sz w:val="18"/>
          <w:szCs w:val="18"/>
          <w:color w:val="auto"/>
        </w:rPr>
        <w:t>example) plus the Performance Rate Adjustment. For example, in year one the Investment Amount at the</w:t>
      </w:r>
    </w:p>
    <w:p>
      <w:pPr>
        <w:ind w:left="1240"/>
        <w:spacing w:after="0"/>
        <w:rPr>
          <w:sz w:val="20"/>
          <w:szCs w:val="20"/>
          <w:color w:val="auto"/>
        </w:rPr>
      </w:pPr>
      <w:r>
        <w:rPr>
          <w:rFonts w:ascii="Times New Roman" w:cs="Times New Roman" w:eastAsia="Times New Roman" w:hAnsi="Times New Roman"/>
          <w:sz w:val="18"/>
          <w:szCs w:val="18"/>
          <w:color w:val="auto"/>
        </w:rPr>
        <w:t>Term End Date is calculated as follows:</w:t>
      </w:r>
    </w:p>
    <w:p>
      <w:pPr>
        <w:spacing w:after="0" w:line="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$50,000 [Investment Amount at Term Start Date] + $5,000 [Performance Rate Adjustment] = $55,000</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Example 1B—Shield Option with Step Rate:</w:t>
      </w:r>
    </w:p>
    <w:p>
      <w:pPr>
        <w:spacing w:after="0" w:line="114" w:lineRule="exact"/>
        <w:rPr>
          <w:sz w:val="20"/>
          <w:szCs w:val="20"/>
          <w:color w:val="auto"/>
        </w:rPr>
      </w:pPr>
    </w:p>
    <w:p>
      <w:pPr>
        <w:jc w:val="both"/>
        <w:ind w:left="880" w:right="639" w:firstLine="360"/>
        <w:spacing w:after="0" w:line="244"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Step Rate of 8% and lets it renew year after year for five years. The following example illustrates how her initial $50,000 Purchase Payment could perform over a five-year period given fluctuating Index Values. For renewals into the same Shield Option a new Step Rate would be declared and go into effect on the Contract Anniversary that coincides with the beginning of the new Shield Option.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-62230</wp:posOffset>
            </wp:positionV>
            <wp:extent cx="4131945" cy="24174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31945" cy="24174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779"/>
          </w:cols>
          <w:pgMar w:left="680" w:top="1440" w:right="1440" w:bottom="1440" w:gutter="0" w:footer="0" w:header="0"/>
          <w:type w:val="continuous"/>
        </w:sectPr>
      </w:pPr>
    </w:p>
    <w:bookmarkStart w:id="30" w:name="page31"/>
    <w:bookmarkEnd w:id="30"/>
    <w:tbl>
      <w:tblPr>
        <w:tblLayout w:type="fixed"/>
        <w:tblInd w:w="13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$58,320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$62,986</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$62,986</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r>
      <w:tr>
        <w:trPr>
          <w:trHeight w:val="237"/>
        </w:trPr>
        <w:tc>
          <w:tcPr>
            <w:tcW w:w="30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964</w:t>
            </w: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Step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7"/>
        </w:trPr>
        <w:tc>
          <w:tcPr>
            <w:tcW w:w="30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$4,320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$4,666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-$3,149</w:t>
            </w:r>
          </w:p>
        </w:tc>
      </w:tr>
      <w:tr>
        <w:trPr>
          <w:trHeight w:val="275"/>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b w:val="1"/>
                <w:bCs w:val="1"/>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$54,000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$58,320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$62,986</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$62,986</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$59,837</w:t>
            </w:r>
          </w:p>
        </w:tc>
      </w:tr>
      <w:tr>
        <w:trPr>
          <w:trHeight w:val="191"/>
        </w:trPr>
        <w:tc>
          <w:tcPr>
            <w:tcW w:w="1100" w:type="dxa"/>
            <w:vAlign w:val="bottom"/>
            <w:tcBorders>
              <w:bottom w:val="single" w:sz="8" w:color="auto"/>
            </w:tcBorders>
          </w:tcPr>
          <w:p>
            <w:pPr>
              <w:spacing w:after="0"/>
              <w:rPr>
                <w:sz w:val="16"/>
                <w:szCs w:val="16"/>
                <w:color w:val="auto"/>
              </w:rPr>
            </w:pPr>
          </w:p>
        </w:tc>
        <w:tc>
          <w:tcPr>
            <w:tcW w:w="1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-2313940</wp:posOffset>
            </wp:positionV>
            <wp:extent cx="480060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-1979295</wp:posOffset>
            </wp:positionV>
            <wp:extent cx="48006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-1610995</wp:posOffset>
            </wp:positionV>
            <wp:extent cx="48006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-1250950</wp:posOffset>
            </wp:positionV>
            <wp:extent cx="480060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-882015</wp:posOffset>
            </wp:positionV>
            <wp:extent cx="480060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-513715</wp:posOffset>
            </wp:positionV>
            <wp:extent cx="480060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right="1159"/>
        <w:spacing w:after="0" w:line="263"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spacing w:after="0" w:line="36" w:lineRule="exact"/>
        <w:rPr>
          <w:sz w:val="20"/>
          <w:szCs w:val="20"/>
          <w:color w:val="auto"/>
        </w:rPr>
      </w:pPr>
    </w:p>
    <w:p>
      <w:pPr>
        <w:jc w:val="both"/>
        <w:ind w:left="480" w:right="739" w:hanging="368"/>
        <w:spacing w:after="0" w:line="216" w:lineRule="auto"/>
        <w:tabs>
          <w:tab w:leader="none" w:pos="48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at Term Start Date in year one is the $50,000 Purchase Payment. In years two through five, the Investment Amount at the Term Start Date would be $54,000, $58,320, $62,986 and</w:t>
      </w:r>
    </w:p>
    <w:p>
      <w:pPr>
        <w:ind w:left="480"/>
        <w:spacing w:after="0" w:line="238" w:lineRule="auto"/>
        <w:rPr>
          <w:sz w:val="20"/>
          <w:szCs w:val="20"/>
          <w:color w:val="auto"/>
        </w:rPr>
      </w:pPr>
      <w:r>
        <w:rPr>
          <w:rFonts w:ascii="Times New Roman" w:cs="Times New Roman" w:eastAsia="Times New Roman" w:hAnsi="Times New Roman"/>
          <w:sz w:val="18"/>
          <w:szCs w:val="18"/>
          <w:color w:val="auto"/>
        </w:rPr>
        <w:t>$62,986, respectively, which was the Investment Amount at the Term End Date for the prior year.</w:t>
      </w:r>
    </w:p>
    <w:p>
      <w:pPr>
        <w:ind w:left="120"/>
        <w:spacing w:after="0" w:line="195" w:lineRule="auto"/>
        <w:rPr>
          <w:sz w:val="20"/>
          <w:szCs w:val="20"/>
          <w:color w:val="auto"/>
        </w:rPr>
      </w:pPr>
      <w:r>
        <w:rPr>
          <w:rFonts w:ascii="Times New Roman" w:cs="Times New Roman" w:eastAsia="Times New Roman" w:hAnsi="Times New Roman"/>
          <w:sz w:val="7"/>
          <w:szCs w:val="7"/>
          <w:color w:val="auto"/>
        </w:rPr>
        <w:t>(2)</w:t>
      </w:r>
    </w:p>
    <w:p>
      <w:pPr>
        <w:jc w:val="both"/>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5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(1,050 [Index Value at Term End Date] – 1,000 [Index Value at Term Start Date])</w:t>
      </w:r>
    </w:p>
    <w:p>
      <w:pPr>
        <w:spacing w:after="0" w:line="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1,000 [Index Value at Term Start Date]) = 5%</w:t>
      </w:r>
    </w:p>
    <w:p>
      <w:pPr>
        <w:ind w:left="120"/>
        <w:spacing w:after="0" w:line="194" w:lineRule="auto"/>
        <w:rPr>
          <w:sz w:val="20"/>
          <w:szCs w:val="20"/>
          <w:color w:val="auto"/>
        </w:rPr>
      </w:pPr>
      <w:r>
        <w:rPr>
          <w:rFonts w:ascii="Times New Roman" w:cs="Times New Roman" w:eastAsia="Times New Roman" w:hAnsi="Times New Roman"/>
          <w:sz w:val="7"/>
          <w:szCs w:val="7"/>
          <w:color w:val="auto"/>
        </w:rPr>
        <w:t>(3)</w:t>
      </w:r>
    </w:p>
    <w:p>
      <w:pPr>
        <w:jc w:val="both"/>
        <w:ind w:left="480" w:right="739"/>
        <w:spacing w:after="0" w:line="230" w:lineRule="auto"/>
        <w:rPr>
          <w:sz w:val="20"/>
          <w:szCs w:val="20"/>
          <w:color w:val="auto"/>
        </w:rPr>
      </w:pPr>
      <w:r>
        <w:rPr>
          <w:rFonts w:ascii="Times New Roman" w:cs="Times New Roman" w:eastAsia="Times New Roman" w:hAnsi="Times New Roman"/>
          <w:sz w:val="18"/>
          <w:szCs w:val="18"/>
          <w:color w:val="auto"/>
        </w:rPr>
        <w:t>In years one, two and three the Performance Rate is equal to the Step Rate because the Index Performance is positive or zero. It should be noted that although Index Performance was 20% in year two, the Performance Rate is capped at 8% by the Step Rate. In year four the Performance Rate is 0% because the Index Performance is –10% and the Shield 10 absorbs up to 10% of the negative Index Performance. In year five, the Performance Rate is –5% because the Index Performance is –15% and the Shield 10 absorbs up to 10% of the negative Index Performance.</w:t>
      </w:r>
    </w:p>
    <w:p>
      <w:pPr>
        <w:ind w:left="120"/>
        <w:spacing w:after="0" w:line="194" w:lineRule="auto"/>
        <w:rPr>
          <w:sz w:val="20"/>
          <w:szCs w:val="20"/>
          <w:color w:val="auto"/>
        </w:rPr>
      </w:pPr>
      <w:r>
        <w:rPr>
          <w:rFonts w:ascii="Times New Roman" w:cs="Times New Roman" w:eastAsia="Times New Roman" w:hAnsi="Times New Roman"/>
          <w:sz w:val="7"/>
          <w:szCs w:val="7"/>
          <w:color w:val="auto"/>
        </w:rPr>
        <w:t>(4)</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(including any applicable Withdrawal Charge) (there are no withdrawals in the example) multiplied by the Performance Rate. For example, in year one the Performance Rate Adjustment is calculated as follows:</w:t>
      </w:r>
    </w:p>
    <w:p>
      <w:pPr>
        <w:spacing w:after="0" w:line="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$50,000 [Investment Amount at Term Start Date] x 8% [Performance Rate] = $4,000</w:t>
      </w:r>
    </w:p>
    <w:p>
      <w:pPr>
        <w:ind w:left="120"/>
        <w:spacing w:after="0" w:line="192" w:lineRule="auto"/>
        <w:rPr>
          <w:sz w:val="20"/>
          <w:szCs w:val="20"/>
          <w:color w:val="auto"/>
        </w:rPr>
      </w:pPr>
      <w:r>
        <w:rPr>
          <w:rFonts w:ascii="Times New Roman" w:cs="Times New Roman" w:eastAsia="Times New Roman" w:hAnsi="Times New Roman"/>
          <w:sz w:val="9"/>
          <w:szCs w:val="9"/>
          <w:color w:val="auto"/>
        </w:rPr>
        <w:t>(5)</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Investment Amount at the Term End Date is equal to the Investment Amount at Term Start Date adjusted for any withdrawals (including any applicable Withdrawal Charge) (there are no withdrawals in the example) plus the Performance Rate Adjustment. For example, in year one the Investment Amount at the Term End Date is calculated as follows:</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$4,000 [Performance Rate Adjustment] = $54,000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Example 1C—Shield Option with Step Rate Edge:</w:t>
      </w:r>
    </w:p>
    <w:p>
      <w:pPr>
        <w:spacing w:after="0" w:line="100" w:lineRule="exact"/>
        <w:rPr>
          <w:sz w:val="20"/>
          <w:szCs w:val="20"/>
          <w:color w:val="auto"/>
        </w:rPr>
      </w:pPr>
    </w:p>
    <w:p>
      <w:pPr>
        <w:jc w:val="both"/>
        <w:ind w:left="120" w:right="659" w:firstLine="360"/>
        <w:spacing w:after="0" w:line="249" w:lineRule="auto"/>
        <w:rPr>
          <w:sz w:val="20"/>
          <w:szCs w:val="20"/>
          <w:color w:val="auto"/>
        </w:rPr>
      </w:pPr>
      <w:r>
        <w:rPr>
          <w:rFonts w:ascii="Times New Roman" w:cs="Times New Roman" w:eastAsia="Times New Roman" w:hAnsi="Times New Roman"/>
          <w:sz w:val="18"/>
          <w:szCs w:val="18"/>
          <w:color w:val="auto"/>
        </w:rPr>
        <w:t>Owner 1 allocates her $50,000 Purchase Payment into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an Edge Rate of 7% and lets it renew year after year for five years. The following example illustrates how her initial $50,000 Purchase Payment could perform over a five-year period given fluctuating Index Values. For renewals into the same Shield Option a new Edge Rate would be declared and go into effect on the Contract Anniversary that coincides with the beginning of the new Shield Option.</w:t>
      </w:r>
    </w:p>
    <w:p>
      <w:pPr>
        <w:sectPr>
          <w:pgSz w:w="11900" w:h="16838" w:orient="portrait"/>
          <w:cols w:equalWidth="0" w:num="1">
            <w:col w:w="9019"/>
          </w:cols>
          <w:pgMar w:left="1440" w:top="1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1372" w:right="1440"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-59055</wp:posOffset>
            </wp:positionV>
            <wp:extent cx="4131945" cy="2648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319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890" w:type="dxa"/>
        <w:tblCellMar>
          <w:top w:w="0" w:type="dxa"/>
          <w:left w:w="0" w:type="dxa"/>
          <w:bottom w:w="0" w:type="dxa"/>
          <w:right w:w="0" w:type="dxa"/>
        </w:tblCellMar>
      </w:tblPr>
      <w:tr>
        <w:trPr>
          <w:trHeight w:val="223"/>
        </w:trPr>
        <w:tc>
          <w:tcPr>
            <w:tcW w:w="30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20" w:type="dxa"/>
            <w:vAlign w:val="bottom"/>
            <w:tcBorders>
              <w:bottom w:val="single" w:sz="8" w:color="F0FFFF"/>
              <w:right w:val="single" w:sz="8" w:color="F0FFFF"/>
            </w:tcBorders>
            <w:shd w:val="clear" w:color="auto" w:fill="F0FFFF"/>
          </w:tcPr>
          <w:p>
            <w:pPr>
              <w:spacing w:after="0"/>
              <w:rPr>
                <w:sz w:val="22"/>
                <w:szCs w:val="22"/>
                <w:color w:val="auto"/>
              </w:rPr>
            </w:pPr>
          </w:p>
        </w:tc>
        <w:tc>
          <w:tcPr>
            <w:tcW w:w="90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$53,500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$57,245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$61,252</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$65,540</w:t>
            </w: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r>
      <w:tr>
        <w:trPr>
          <w:trHeight w:val="237"/>
        </w:trPr>
        <w:tc>
          <w:tcPr>
            <w:tcW w:w="300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8"/>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1,260</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964</w:t>
            </w:r>
          </w:p>
        </w:tc>
      </w:tr>
      <w:tr>
        <w:trPr>
          <w:trHeight w:val="277"/>
        </w:trPr>
        <w:tc>
          <w:tcPr>
            <w:tcW w:w="300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(2)</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9"/>
        </w:trPr>
        <w:tc>
          <w:tcPr>
            <w:tcW w:w="300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Edge Rate</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0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36"/>
        </w:trPr>
        <w:tc>
          <w:tcPr>
            <w:tcW w:w="30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77"/>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77"/>
        </w:trPr>
        <w:tc>
          <w:tcPr>
            <w:tcW w:w="300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$3,745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$4,007</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$4,288</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-$3,277</w:t>
            </w:r>
          </w:p>
        </w:tc>
      </w:tr>
      <w:tr>
        <w:trPr>
          <w:trHeight w:val="275"/>
        </w:trPr>
        <w:tc>
          <w:tcPr>
            <w:tcW w:w="300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$53,500</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$57,245</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$61,252</w:t>
            </w:r>
          </w:p>
        </w:tc>
        <w:tc>
          <w:tcPr>
            <w:tcW w:w="9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$65,540</w:t>
            </w:r>
          </w:p>
        </w:tc>
        <w:tc>
          <w:tcPr>
            <w:tcW w:w="90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rPr>
              <w:t>$62,263</w:t>
            </w:r>
          </w:p>
        </w:tc>
      </w:tr>
      <w:tr>
        <w:trPr>
          <w:trHeight w:val="191"/>
        </w:trPr>
        <w:tc>
          <w:tcPr>
            <w:tcW w:w="1100" w:type="dxa"/>
            <w:vAlign w:val="bottom"/>
            <w:tcBorders>
              <w:bottom w:val="single" w:sz="8" w:color="9A9A9A"/>
            </w:tcBorders>
          </w:tcPr>
          <w:p>
            <w:pPr>
              <w:spacing w:after="0"/>
              <w:rPr>
                <w:sz w:val="16"/>
                <w:szCs w:val="16"/>
                <w:color w:val="auto"/>
              </w:rPr>
            </w:pPr>
          </w:p>
        </w:tc>
        <w:tc>
          <w:tcPr>
            <w:tcW w:w="1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-2313940</wp:posOffset>
            </wp:positionV>
            <wp:extent cx="480060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00600" cy="1543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-1979295</wp:posOffset>
            </wp:positionV>
            <wp:extent cx="480060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-1610995</wp:posOffset>
            </wp:positionV>
            <wp:extent cx="48006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-1250950</wp:posOffset>
            </wp:positionV>
            <wp:extent cx="480060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-882015</wp:posOffset>
            </wp:positionV>
            <wp:extent cx="480060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0600" cy="17970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-513715</wp:posOffset>
            </wp:positionV>
            <wp:extent cx="480060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00600" cy="18859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spacing w:after="0" w:line="57" w:lineRule="exact"/>
        <w:rPr>
          <w:sz w:val="20"/>
          <w:szCs w:val="20"/>
          <w:color w:val="auto"/>
        </w:rPr>
      </w:pPr>
    </w:p>
    <w:p>
      <w:pPr>
        <w:jc w:val="both"/>
        <w:ind w:left="1240" w:right="739" w:hanging="368"/>
        <w:spacing w:after="0" w:line="216" w:lineRule="auto"/>
        <w:tabs>
          <w:tab w:leader="none" w:pos="12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at Term Start Date in year one is the $50,000 Purchase Payment. In years two through five, the Investment Amount at the Term Start Date would be $53,500, $57,245, $61,252 and</w:t>
      </w:r>
    </w:p>
    <w:p>
      <w:pPr>
        <w:ind w:left="1240"/>
        <w:spacing w:after="0" w:line="238" w:lineRule="auto"/>
        <w:rPr>
          <w:sz w:val="20"/>
          <w:szCs w:val="20"/>
          <w:color w:val="auto"/>
        </w:rPr>
      </w:pPr>
      <w:r>
        <w:rPr>
          <w:rFonts w:ascii="Times New Roman" w:cs="Times New Roman" w:eastAsia="Times New Roman" w:hAnsi="Times New Roman"/>
          <w:sz w:val="18"/>
          <w:szCs w:val="18"/>
          <w:color w:val="auto"/>
        </w:rPr>
        <w:t>$65,540, respectively, which was the Investment Amount at the Term End Date for the prior year.</w:t>
      </w:r>
    </w:p>
    <w:p>
      <w:pPr>
        <w:ind w:left="880"/>
        <w:spacing w:after="0" w:line="195" w:lineRule="auto"/>
        <w:rPr>
          <w:sz w:val="20"/>
          <w:szCs w:val="20"/>
          <w:color w:val="auto"/>
        </w:rPr>
      </w:pPr>
      <w:r>
        <w:rPr>
          <w:rFonts w:ascii="Times New Roman" w:cs="Times New Roman" w:eastAsia="Times New Roman" w:hAnsi="Times New Roman"/>
          <w:sz w:val="7"/>
          <w:szCs w:val="7"/>
          <w:color w:val="auto"/>
        </w:rPr>
        <w:t>(2)</w:t>
      </w:r>
    </w:p>
    <w:p>
      <w:pPr>
        <w:jc w:val="both"/>
        <w:ind w:left="124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For example, in year one, Index Performance is calculated as follows:</w:t>
      </w:r>
    </w:p>
    <w:p>
      <w:pPr>
        <w:spacing w:after="0" w:line="5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(1,050 [Index Value at Term End Date] – 1,000 [Index Value at Term Start Date])</w:t>
      </w:r>
    </w:p>
    <w:p>
      <w:pPr>
        <w:spacing w:after="0" w:line="1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1,000 [Index Value at Term Start Date]) = 5%</w:t>
      </w:r>
    </w:p>
    <w:p>
      <w:pPr>
        <w:ind w:left="880"/>
        <w:spacing w:after="0" w:line="194" w:lineRule="auto"/>
        <w:rPr>
          <w:sz w:val="20"/>
          <w:szCs w:val="20"/>
          <w:color w:val="auto"/>
        </w:rPr>
      </w:pPr>
      <w:r>
        <w:rPr>
          <w:rFonts w:ascii="Times New Roman" w:cs="Times New Roman" w:eastAsia="Times New Roman" w:hAnsi="Times New Roman"/>
          <w:sz w:val="7"/>
          <w:szCs w:val="7"/>
          <w:color w:val="auto"/>
        </w:rPr>
        <w:t>(3)</w:t>
      </w:r>
    </w:p>
    <w:p>
      <w:pPr>
        <w:ind w:left="1240"/>
        <w:spacing w:after="0" w:line="235" w:lineRule="auto"/>
        <w:rPr>
          <w:sz w:val="20"/>
          <w:szCs w:val="20"/>
          <w:color w:val="auto"/>
        </w:rPr>
      </w:pPr>
      <w:r>
        <w:rPr>
          <w:rFonts w:ascii="Times New Roman" w:cs="Times New Roman" w:eastAsia="Times New Roman" w:hAnsi="Times New Roman"/>
          <w:sz w:val="18"/>
          <w:szCs w:val="18"/>
          <w:color w:val="auto"/>
        </w:rPr>
        <w:t>In years one, two and three the Performance Rate is equal to the Edge Rate because the Index Performance</w:t>
      </w:r>
    </w:p>
    <w:p>
      <w:pPr>
        <w:jc w:val="both"/>
        <w:ind w:left="1240" w:right="739"/>
        <w:spacing w:after="0" w:line="229" w:lineRule="auto"/>
        <w:rPr>
          <w:sz w:val="20"/>
          <w:szCs w:val="20"/>
          <w:color w:val="auto"/>
        </w:rPr>
      </w:pPr>
      <w:r>
        <w:rPr>
          <w:rFonts w:ascii="Times New Roman" w:cs="Times New Roman" w:eastAsia="Times New Roman" w:hAnsi="Times New Roman"/>
          <w:sz w:val="18"/>
          <w:szCs w:val="18"/>
          <w:color w:val="auto"/>
        </w:rPr>
        <w:t>is positive or zero. It should be noted that although Index Performance was 20% in year two, the Performance Rate is capped at 7% by the Edge Rate. In year four the Performance Rate is 7% because the Index Performance is –10% and does not exceed the Shield 10 which absorbs up to 10% of the negative Index Performance. In year five, the Performance Rate is –5% because the Index Performance is –15% and the Shield 10 absorbs up to 10% of the negative Index Performance.</w:t>
      </w:r>
    </w:p>
    <w:p>
      <w:pPr>
        <w:ind w:left="880"/>
        <w:spacing w:after="0" w:line="195" w:lineRule="auto"/>
        <w:rPr>
          <w:sz w:val="20"/>
          <w:szCs w:val="20"/>
          <w:color w:val="auto"/>
        </w:rPr>
      </w:pPr>
      <w:r>
        <w:rPr>
          <w:rFonts w:ascii="Times New Roman" w:cs="Times New Roman" w:eastAsia="Times New Roman" w:hAnsi="Times New Roman"/>
          <w:sz w:val="7"/>
          <w:szCs w:val="7"/>
          <w:color w:val="auto"/>
        </w:rPr>
        <w:t>(4)</w:t>
      </w:r>
    </w:p>
    <w:p>
      <w:pPr>
        <w:jc w:val="right"/>
        <w:ind w:right="739"/>
        <w:spacing w:after="0" w:line="234" w:lineRule="auto"/>
        <w:rPr>
          <w:sz w:val="20"/>
          <w:szCs w:val="20"/>
          <w:color w:val="auto"/>
        </w:rPr>
      </w:pPr>
      <w:r>
        <w:rPr>
          <w:rFonts w:ascii="Times New Roman" w:cs="Times New Roman" w:eastAsia="Times New Roman" w:hAnsi="Times New Roman"/>
          <w:sz w:val="18"/>
          <w:szCs w:val="18"/>
          <w:color w:val="auto"/>
        </w:rPr>
        <w:t>The Performance Rate Adjustment is equal to the product of the Investment Amount at the Term Start Date</w:t>
      </w:r>
    </w:p>
    <w:p>
      <w:pPr>
        <w:spacing w:after="0" w:line="1" w:lineRule="exact"/>
        <w:rPr>
          <w:sz w:val="20"/>
          <w:szCs w:val="20"/>
          <w:color w:val="auto"/>
        </w:rPr>
      </w:pPr>
    </w:p>
    <w:p>
      <w:pPr>
        <w:jc w:val="both"/>
        <w:ind w:left="1240" w:right="739"/>
        <w:spacing w:after="0" w:line="234" w:lineRule="auto"/>
        <w:rPr>
          <w:sz w:val="20"/>
          <w:szCs w:val="20"/>
          <w:color w:val="auto"/>
        </w:rPr>
      </w:pPr>
      <w:r>
        <w:rPr>
          <w:rFonts w:ascii="Times New Roman" w:cs="Times New Roman" w:eastAsia="Times New Roman" w:hAnsi="Times New Roman"/>
          <w:sz w:val="18"/>
          <w:szCs w:val="18"/>
          <w:color w:val="auto"/>
        </w:rPr>
        <w:t>adjusted for any withdrawals (including any applicable Withdrawal Charge) (there are no withdrawals in the example) multiplied by the Performance Rate. For example, in year one the Performance Rate Adjustment is calculated as follows:</w:t>
      </w:r>
    </w:p>
    <w:p>
      <w:pPr>
        <w:spacing w:after="0" w:line="3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$50,000 [Investment Amount at Term Start Date] x 7% [Performance Rate] = $3,500</w:t>
      </w:r>
    </w:p>
    <w:p>
      <w:pPr>
        <w:sectPr>
          <w:pgSz w:w="11900" w:h="16838" w:orient="portrait"/>
          <w:cols w:equalWidth="0" w:num="1">
            <w:col w:w="9779"/>
          </w:cols>
          <w:pgMar w:left="680" w:top="12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779"/>
          </w:cols>
          <w:pgMar w:left="680" w:top="1282" w:right="1440" w:bottom="1440" w:gutter="0" w:footer="0" w:header="0"/>
          <w:type w:val="continuous"/>
        </w:sectPr>
      </w:pPr>
    </w:p>
    <w:bookmarkStart w:id="32" w:name="page33"/>
    <w:bookmarkEnd w:id="32"/>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(5)</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Investment Amount at the Term End Date is equal to the Investment Amount at Term Start Date adjusted for any withdrawals (including any applicable Withdrawal Charge) (there are no withdrawals in the example) plus the Performance Rate Adjustment. For example, in year one the Investment Amount at the Term End Date is calculated as follows:</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$3,500 [Performance Rate Adjustment] = $53,500</w:t>
      </w:r>
    </w:p>
    <w:p>
      <w:pPr>
        <w:spacing w:after="0" w:line="3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INTERIM VALUE CALCULATION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Your Investment Amount in each Shield Option on the Term End Date is calculated as described above under “Calculating your Investment Amount on a Term End Date”. In setting the various rates we use in calculating the Investment Amount, we assume that you are going to hold a Shield Option until the Term End Date. Nevertheless, you have the right under the Contract to make withdrawals, Surrender the Contract, annuitize, and exercise Performance Lock before the Term End Date. Therefore, we calculate an Interim Value on each Business Day between the Term Start Date and prior to the Term End Date.</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Prior to the Term End Date, we use the Interim Value to calculate the amount that is available for (1) annuitization; (2) death benefits; (3) withdrawals; (4) Surrenders; or (5) Performance Lock. You may obtain your Interim Value on any Business Day by calling us at (888) 243-1932 or by accessing our website at www.brighthousefinancial.com.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Interim Value Calculation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calculate the Interim Value of each Shield Option on any Business Day other than the Term Start Date and Term End Date. The Interim Value is the amount that is available for annuitization, death benefits, withdrawals, Surrenders, and Performance Lock. The Interim Value is also used to determine how much the Investment Amount will be reduced by after a withdrawal (See ‘WITHDRAWAL PROVISIONS’ for more information). Once a Shield Option reaches the Term End Date, there is no Interim Value, and the Performance Rate will be applied to the Investment Amount based off the Rate Crediting Type and applicable Shield Rate.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have not exercised Performance Lock, the Interim Value is included in the Account Value to reflect the amount in the applicable Shield Option prior to the Term End Date.</w:t>
      </w:r>
    </w:p>
    <w:p>
      <w:pPr>
        <w:spacing w:after="0" w:line="5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Interim Value reflects the value of each Shield Option taking into account the current price of the underlying Index, the time remaining until the Term End Date, and the current value of the investments we have made to fund our obligations under the Shield Option. The Interim Value is an estimate of the current value of fixed income and derivative instruments we could purchase to assure our ability to meet our obligations to the Owner at a Term End Date. The Interim Value calculation is different than the calculation we use to calculate the Investment Amount for a Shield Option on the Term End Date.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Interim Value assesses the fair value of the assets allocated to the Shield Option (Investment Amount) plus the current value of the portfolio of options utilized to replicate the performance of these Shield Options.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Interim Value for a Shield Option is equal to the sum of (1) and (2), where:</w:t>
      </w:r>
    </w:p>
    <w:p>
      <w:pPr>
        <w:spacing w:after="0" w:line="117" w:lineRule="exact"/>
        <w:rPr>
          <w:sz w:val="20"/>
          <w:szCs w:val="20"/>
          <w:color w:val="auto"/>
        </w:rPr>
      </w:pPr>
    </w:p>
    <w:p>
      <w:pPr>
        <w:ind w:left="480" w:right="1159" w:hanging="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Is the market value of the Fixed Income Asset Proxy on the Business Day the Interim Value is calculated.</w:t>
      </w:r>
    </w:p>
    <w:p>
      <w:pPr>
        <w:spacing w:after="0" w:line="53" w:lineRule="exact"/>
        <w:rPr>
          <w:rFonts w:ascii="Times New Roman" w:cs="Times New Roman" w:eastAsia="Times New Roman" w:hAnsi="Times New Roman"/>
          <w:sz w:val="18"/>
          <w:szCs w:val="18"/>
          <w:color w:val="auto"/>
        </w:rPr>
      </w:pPr>
    </w:p>
    <w:p>
      <w:pPr>
        <w:ind w:left="660" w:hanging="18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 Is the current market value of the Derivative Asset Proxy.</w:t>
      </w:r>
    </w:p>
    <w:p>
      <w:pPr>
        <w:spacing w:after="0" w:line="117" w:lineRule="exact"/>
        <w:rPr>
          <w:rFonts w:ascii="Times New Roman" w:cs="Times New Roman" w:eastAsia="Times New Roman" w:hAnsi="Times New Roman"/>
          <w:sz w:val="18"/>
          <w:szCs w:val="18"/>
          <w:color w:val="auto"/>
        </w:rPr>
      </w:pPr>
    </w:p>
    <w:p>
      <w:pPr>
        <w:ind w:left="120" w:right="659" w:firstLine="352"/>
        <w:spacing w:after="0" w:line="282" w:lineRule="auto"/>
        <w:tabs>
          <w:tab w:leader="none" w:pos="6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Income Asset Proxy (as defined in Appendix F) is meant to represent the market value of the fixed income assets supporting each Shield Option.</w:t>
      </w:r>
    </w:p>
    <w:p>
      <w:pPr>
        <w:spacing w:after="0" w:line="54"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Market Value Rate (as defined in Appendix F) is the Constant Maturity Treasury (CMT) rate with a maturity equal to that of the Term. If a maturity of the CMT rate is not available that equals the Term, then the Market Value Rate will be linearly interpolated between the two closest available CMT maturities. The Market Value Rate will apply on a uniform basis for a class of Contract Owners in the same Shield Option and will be administered in a uniform and non-discriminatory manner.</w:t>
      </w:r>
    </w:p>
    <w:p>
      <w:pPr>
        <w:spacing w:after="0" w:line="75" w:lineRule="exact"/>
        <w:rPr>
          <w:sz w:val="20"/>
          <w:szCs w:val="20"/>
          <w:color w:val="auto"/>
        </w:rPr>
      </w:pPr>
    </w:p>
    <w:p>
      <w:pPr>
        <w:jc w:val="both"/>
        <w:ind w:left="120" w:right="639" w:firstLine="352"/>
        <w:spacing w:after="0" w:line="255" w:lineRule="auto"/>
        <w:tabs>
          <w:tab w:leader="none" w:pos="6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Proxy (as defined in Appendix F) is meant to represent an estimation of the market value of the possibility of gain or loss on the Term End Date. The value may be positive or negative. 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Cap Rate, Step Rate, Edge Rate, and Shield Rate at the end of the Term as well as the estimated cost of exiting the replicating options prior to the Term End Date.</w:t>
      </w:r>
    </w:p>
    <w:p>
      <w:pPr>
        <w:sectPr>
          <w:pgSz w:w="11900" w:h="16838" w:orient="portrait"/>
          <w:cols w:equalWidth="0" w:num="1">
            <w:col w:w="9019"/>
          </w:cols>
          <w:pgMar w:left="1440" w:top="1245" w:right="1440" w:bottom="1440"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245" w:right="1440" w:bottom="1440" w:gutter="0" w:footer="0" w:header="0"/>
          <w:type w:val="continuous"/>
        </w:sectPr>
      </w:pPr>
    </w:p>
    <w:bookmarkStart w:id="33" w:name="page34"/>
    <w:bookmarkEnd w:id="33"/>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valuation of the options is based on the Black-Scholes Model, which is one of the standard methods for valuing derivatives based on inputs from third party vendors. The methodology used to value these options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7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There are many external factors that may impact the Interim Value including changes in the Indices, changes in the interest rate environment, and volatility.</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Detailed information on the Interim Value calculation can be found in Appendix F of this prospectus.</w:t>
      </w:r>
    </w:p>
    <w:p>
      <w:pPr>
        <w:spacing w:after="0" w:line="113"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If you have not exercised the Performance Lock, the withdrawal amount (including any applicable Withdrawal Charge) will reduce the Investment Amount for each Shield Option by the percentage reduction in the Interim Value of such Shield Option (i.e. a proportional reduction). Accordingly, when the Interim Value is </w:t>
      </w:r>
      <w:r>
        <w:rPr>
          <w:rFonts w:ascii="Times New Roman" w:cs="Times New Roman" w:eastAsia="Times New Roman" w:hAnsi="Times New Roman"/>
          <w:sz w:val="18"/>
          <w:szCs w:val="18"/>
          <w:b w:val="1"/>
          <w:bCs w:val="1"/>
          <w:i w:val="1"/>
          <w:iCs w:val="1"/>
          <w:color w:val="auto"/>
        </w:rPr>
        <w:t>less</w:t>
      </w:r>
      <w:r>
        <w:rPr>
          <w:rFonts w:ascii="Times New Roman" w:cs="Times New Roman" w:eastAsia="Times New Roman" w:hAnsi="Times New Roman"/>
          <w:sz w:val="18"/>
          <w:szCs w:val="18"/>
          <w:b w:val="1"/>
          <w:bCs w:val="1"/>
          <w:color w:val="auto"/>
        </w:rPr>
        <w:t xml:space="preserve"> than the Investment Amount, the reduction to the Shield Option is on a more than dollar for dollar basis. On the other hand, when the Interim Value is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Investment Amount, the reduction to the Shield Option is on a less than dollar for dollar basis. The remaining Investment Amount after a withdrawal will be used as the new Investment Amount for the Term until the Term End Date or the next Interim Value calculation for that Shield Option. To see how a withdrawal impacts the Performance Lock Value, see “PERFORMANCE LOCK”.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2—Calculating your Interim Value</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Examples 2A and 2B are intended to show how Interim Value is calculated. Example 2A will illustrate an Interim Value calculation with positive Index Performance and Example 2B will illustrate an Interim Value calculation with negative Index Performance. For purposes of these examples, assume the activity that triggers the Interim Value calculation occurs six (6) months into the first year of the contract and that there are no withdrawals made as of the date the Interim Value is calculated. Additionally, for the example, months are assumed to have 30 days and years are assumed to have 365 days.</w:t>
      </w:r>
    </w:p>
    <w:p>
      <w:pPr>
        <w:spacing w:after="0" w:line="79"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To see how we calculate Investment Amount after a withdrawal, please see “WITHDRAWAL PROVISIONS” and Example 3A.</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 Effective Date: 8/2/2023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Payment: $200,000.00</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Allocated to</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1-Year Step Rate Edge; S&amp;P 500; Edge Rate 8.25%; 10% Shield Rate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2-Year Step Rate; S&amp;P 500; Step Rate 18%; 15% Shield Rate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3-Year Cap Rate; S&amp;P 500; Cap Rate 130%; 10% Shield Rate</w:t>
      </w:r>
    </w:p>
    <w:p>
      <w:pPr>
        <w:spacing w:after="0" w:line="14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6-Year Cap Rate; S&amp;P 500; Cap Rate 200%; 25% Shield Rate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On the Contract Effective Date</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4120" w:type="dxa"/>
            <w:vAlign w:val="bottom"/>
            <w:tcBorders>
              <w:top w:val="single" w:sz="8" w:color="auto"/>
              <w:left w:val="single" w:sz="8" w:color="auto"/>
              <w:right w:val="single" w:sz="8" w:color="auto"/>
            </w:tcBorders>
          </w:tcPr>
          <w:p>
            <w:pPr>
              <w:spacing w:after="0"/>
              <w:rPr>
                <w:sz w:val="22"/>
                <w:szCs w:val="22"/>
                <w:color w:val="auto"/>
              </w:rPr>
            </w:pPr>
          </w:p>
        </w:tc>
        <w:tc>
          <w:tcPr>
            <w:tcW w:w="13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 Edge</w:t>
            </w:r>
          </w:p>
        </w:tc>
        <w:tc>
          <w:tcPr>
            <w:tcW w:w="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w:t>
            </w:r>
          </w:p>
        </w:tc>
        <w:tc>
          <w:tcPr>
            <w:tcW w:w="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Cap Rate</w:t>
            </w:r>
          </w:p>
        </w:tc>
        <w:tc>
          <w:tcPr>
            <w:tcW w:w="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Cap Rate</w:t>
            </w:r>
          </w:p>
        </w:tc>
      </w:tr>
      <w:tr>
        <w:trPr>
          <w:trHeight w:val="54"/>
        </w:trPr>
        <w:tc>
          <w:tcPr>
            <w:tcW w:w="4120" w:type="dxa"/>
            <w:vAlign w:val="bottom"/>
            <w:tcBorders>
              <w:left w:val="single" w:sz="8" w:color="auto"/>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 (in months)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elapsed since Term Start Date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 Amount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Shield Option Rate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until Term End Date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Market Value Rate on Term Start Date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6"/>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Starting Index Value</w:t>
            </w:r>
          </w:p>
        </w:tc>
        <w:tc>
          <w:tcPr>
            <w:tcW w:w="1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2"/>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 Value</w:t>
            </w:r>
          </w:p>
        </w:tc>
        <w:tc>
          <w:tcPr>
            <w:tcW w:w="1380" w:type="dxa"/>
            <w:vAlign w:val="bottom"/>
          </w:tcPr>
          <w:p>
            <w:pPr>
              <w:spacing w:after="0"/>
              <w:rPr>
                <w:sz w:val="20"/>
                <w:szCs w:val="20"/>
                <w:color w:val="auto"/>
              </w:rPr>
            </w:pPr>
          </w:p>
        </w:tc>
        <w:tc>
          <w:tcPr>
            <w:tcW w:w="18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920" w:type="dxa"/>
            <w:vAlign w:val="bottom"/>
            <w:tcBorders>
              <w:right w:val="single" w:sz="8" w:color="auto"/>
            </w:tcBorders>
          </w:tcPr>
          <w:p>
            <w:pPr>
              <w:spacing w:after="0"/>
              <w:rPr>
                <w:sz w:val="20"/>
                <w:szCs w:val="20"/>
                <w:color w:val="auto"/>
              </w:rPr>
            </w:pPr>
          </w:p>
        </w:tc>
      </w:tr>
      <w:tr>
        <w:trPr>
          <w:trHeight w:val="28"/>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019"/>
          </w:cols>
          <w:pgMar w:left="1440" w:top="1377" w:right="1440" w:bottom="1440" w:gutter="0" w:footer="0" w:header="0"/>
        </w:sectPr>
      </w:pPr>
    </w:p>
    <w:p>
      <w:pPr>
        <w:spacing w:after="0" w:line="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19"/>
          </w:cols>
          <w:pgMar w:left="1440" w:top="1377" w:right="1440" w:bottom="1440" w:gutter="0" w:footer="0" w:header="0"/>
          <w:type w:val="continuous"/>
        </w:sectPr>
      </w:pPr>
    </w:p>
    <w:bookmarkStart w:id="34" w:name="page35"/>
    <w:bookmarkEnd w:id="34"/>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2A—Index Performance is Positive</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1100" w:type="dxa"/>
            <w:vAlign w:val="bottom"/>
            <w:tcBorders>
              <w:top w:val="single" w:sz="8" w:color="auto"/>
              <w:left w:val="single" w:sz="8" w:color="auto"/>
            </w:tcBorders>
          </w:tcPr>
          <w:p>
            <w:pPr>
              <w:spacing w:after="0"/>
              <w:rPr>
                <w:sz w:val="22"/>
                <w:szCs w:val="22"/>
                <w:color w:val="auto"/>
              </w:rPr>
            </w:pPr>
          </w:p>
        </w:tc>
        <w:tc>
          <w:tcPr>
            <w:tcW w:w="2200" w:type="dxa"/>
            <w:vAlign w:val="bottom"/>
            <w:tcBorders>
              <w:top w:val="single" w:sz="8" w:color="auto"/>
            </w:tcBorders>
          </w:tcPr>
          <w:p>
            <w:pPr>
              <w:spacing w:after="0"/>
              <w:rPr>
                <w:sz w:val="22"/>
                <w:szCs w:val="22"/>
                <w:color w:val="auto"/>
              </w:rPr>
            </w:pPr>
          </w:p>
        </w:tc>
        <w:tc>
          <w:tcPr>
            <w:tcW w:w="600" w:type="dxa"/>
            <w:vAlign w:val="bottom"/>
            <w:tcBorders>
              <w:top w:val="single" w:sz="8" w:color="auto"/>
              <w:right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 Edge</w:t>
            </w:r>
          </w:p>
        </w:tc>
        <w:tc>
          <w:tcPr>
            <w:tcW w:w="10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Step Rate</w:t>
            </w:r>
          </w:p>
        </w:tc>
        <w:tc>
          <w:tcPr>
            <w:tcW w:w="10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c>
          <w:tcPr>
            <w:tcW w:w="10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r>
      <w:tr>
        <w:trPr>
          <w:trHeight w:val="54"/>
        </w:trPr>
        <w:tc>
          <w:tcPr>
            <w:tcW w:w="1100" w:type="dxa"/>
            <w:vAlign w:val="bottom"/>
            <w:tcBorders>
              <w:left w:val="single" w:sz="8" w:color="auto"/>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elapsed since Term Start Date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until Term End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Value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1200</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Performance on calculation date</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6"/>
              </w:rPr>
              <w:t>20%</w:t>
            </w: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Fixed Income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$48,823.16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$46,519.03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$42,116.56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$34,758.31</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Derivative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$3,848.51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$6,526.00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$16,069.42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$21,946.25</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Interim Value of each Shield Option</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$52,671.67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$53,045.03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$58,185.98</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$56,704.57</w:t>
            </w:r>
          </w:p>
        </w:tc>
      </w:tr>
      <w:tr>
        <w:trPr>
          <w:trHeight w:val="232"/>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 Value</w:t>
            </w:r>
          </w:p>
        </w:tc>
        <w:tc>
          <w:tcPr>
            <w:tcW w:w="1360" w:type="dxa"/>
            <w:vAlign w:val="bottom"/>
          </w:tcPr>
          <w:p>
            <w:pPr>
              <w:spacing w:after="0"/>
              <w:rPr>
                <w:sz w:val="20"/>
                <w:szCs w:val="20"/>
                <w:color w:val="auto"/>
              </w:rPr>
            </w:pPr>
          </w:p>
        </w:tc>
        <w:tc>
          <w:tcPr>
            <w:tcW w:w="200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$220,607.25</w:t>
            </w:r>
          </w:p>
        </w:tc>
        <w:tc>
          <w:tcPr>
            <w:tcW w:w="1000" w:type="dxa"/>
            <w:vAlign w:val="bottom"/>
            <w:tcBorders>
              <w:right w:val="single" w:sz="8" w:color="auto"/>
            </w:tcBorders>
          </w:tcPr>
          <w:p>
            <w:pPr>
              <w:spacing w:after="0"/>
              <w:rPr>
                <w:sz w:val="20"/>
                <w:szCs w:val="20"/>
                <w:color w:val="auto"/>
              </w:rPr>
            </w:pPr>
          </w:p>
        </w:tc>
      </w:tr>
      <w:tr>
        <w:trPr>
          <w:trHeight w:val="28"/>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38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Example 2B—Index Performance is Negative</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1"/>
        </w:trPr>
        <w:tc>
          <w:tcPr>
            <w:tcW w:w="1100" w:type="dxa"/>
            <w:vAlign w:val="bottom"/>
            <w:tcBorders>
              <w:top w:val="single" w:sz="8" w:color="auto"/>
              <w:bottom w:val="single" w:sz="8" w:color="auto"/>
            </w:tcBorders>
          </w:tcPr>
          <w:p>
            <w:pPr>
              <w:spacing w:after="0"/>
              <w:rPr>
                <w:sz w:val="6"/>
                <w:szCs w:val="6"/>
                <w:color w:val="auto"/>
              </w:rPr>
            </w:pPr>
          </w:p>
        </w:tc>
        <w:tc>
          <w:tcPr>
            <w:tcW w:w="2200" w:type="dxa"/>
            <w:vAlign w:val="bottom"/>
            <w:tcBorders>
              <w:top w:val="single" w:sz="8" w:color="auto"/>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40"/>
        </w:trPr>
        <w:tc>
          <w:tcPr>
            <w:tcW w:w="1100" w:type="dxa"/>
            <w:vAlign w:val="bottom"/>
            <w:tcBorders>
              <w:left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Step Rate Edge</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Step Rate</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Cap Rate</w:t>
            </w:r>
          </w:p>
        </w:tc>
      </w:tr>
      <w:tr>
        <w:trPr>
          <w:trHeight w:val="54"/>
        </w:trPr>
        <w:tc>
          <w:tcPr>
            <w:tcW w:w="1100" w:type="dxa"/>
            <w:vAlign w:val="bottom"/>
            <w:tcBorders>
              <w:left w:val="single" w:sz="8" w:color="auto"/>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elapsed since Term Start Date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Months until Term End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Value</w:t>
            </w:r>
          </w:p>
        </w:tc>
        <w:tc>
          <w:tcPr>
            <w:tcW w:w="1360" w:type="dxa"/>
            <w:vAlign w:val="bottom"/>
          </w:tcPr>
          <w:p>
            <w:pPr>
              <w:spacing w:after="0"/>
              <w:rPr>
                <w:sz w:val="20"/>
                <w:szCs w:val="20"/>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700</w:t>
            </w:r>
          </w:p>
        </w:tc>
        <w:tc>
          <w:tcPr>
            <w:tcW w:w="10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Index Performance on calculation date</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Fixed Income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$48,823.16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$46,519.03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$42,116.56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$34,758.31</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 of the Derivative Asset Proxy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-$8,899.83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-$5,554.28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-$5,794.44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$2,103.07</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77"/>
        </w:trPr>
        <w:tc>
          <w:tcPr>
            <w:tcW w:w="39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Interim Value of each Shield Option</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$39,923.32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$40,964.75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$36,322.12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$36,861.38</w:t>
            </w:r>
          </w:p>
        </w:tc>
      </w:tr>
      <w:tr>
        <w:trPr>
          <w:trHeight w:val="232"/>
        </w:trPr>
        <w:tc>
          <w:tcPr>
            <w:tcW w:w="39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 Value</w:t>
            </w:r>
          </w:p>
        </w:tc>
        <w:tc>
          <w:tcPr>
            <w:tcW w:w="1360" w:type="dxa"/>
            <w:vAlign w:val="bottom"/>
          </w:tcPr>
          <w:p>
            <w:pPr>
              <w:spacing w:after="0"/>
              <w:rPr>
                <w:sz w:val="20"/>
                <w:szCs w:val="20"/>
                <w:color w:val="auto"/>
              </w:rPr>
            </w:pPr>
          </w:p>
        </w:tc>
        <w:tc>
          <w:tcPr>
            <w:tcW w:w="200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$154,071.57</w:t>
            </w:r>
          </w:p>
        </w:tc>
        <w:tc>
          <w:tcPr>
            <w:tcW w:w="1000" w:type="dxa"/>
            <w:vAlign w:val="bottom"/>
            <w:tcBorders>
              <w:right w:val="single" w:sz="8" w:color="auto"/>
            </w:tcBorders>
          </w:tcPr>
          <w:p>
            <w:pPr>
              <w:spacing w:after="0"/>
              <w:rPr>
                <w:sz w:val="20"/>
                <w:szCs w:val="20"/>
                <w:color w:val="auto"/>
              </w:rPr>
            </w:pPr>
          </w:p>
        </w:tc>
      </w:tr>
      <w:tr>
        <w:trPr>
          <w:trHeight w:val="28"/>
        </w:trPr>
        <w:tc>
          <w:tcPr>
            <w:tcW w:w="1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193"/>
        </w:trPr>
        <w:tc>
          <w:tcPr>
            <w:tcW w:w="11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following notes to the table above provide important calculations showing how certain values are determined.</w:t>
      </w:r>
    </w:p>
    <w:p>
      <w:pPr>
        <w:ind w:left="120"/>
        <w:spacing w:after="0" w:line="180" w:lineRule="auto"/>
        <w:rPr>
          <w:sz w:val="20"/>
          <w:szCs w:val="20"/>
          <w:color w:val="auto"/>
        </w:rPr>
      </w:pPr>
      <w:r>
        <w:rPr>
          <w:rFonts w:ascii="Times New Roman" w:cs="Times New Roman" w:eastAsia="Times New Roman" w:hAnsi="Times New Roman"/>
          <w:sz w:val="11"/>
          <w:szCs w:val="11"/>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Example 2A—Index Performance is Positive</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(1200 [Index Value on date of Interim Value calculation] – 1000 [Index Value at Term Start Date])</w:t>
      </w:r>
    </w:p>
    <w:p>
      <w:pPr>
        <w:spacing w:after="0" w:line="16" w:lineRule="exact"/>
        <w:rPr>
          <w:sz w:val="20"/>
          <w:szCs w:val="20"/>
          <w:color w:val="auto"/>
        </w:rPr>
      </w:pPr>
    </w:p>
    <w:p>
      <w:pPr>
        <w:ind w:left="2680" w:hanging="147"/>
        <w:spacing w:after="0"/>
        <w:tabs>
          <w:tab w:leader="none" w:pos="2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[Index Value at Term Start Date] = 20%</w:t>
      </w:r>
    </w:p>
    <w:p>
      <w:pPr>
        <w:spacing w:after="0" w:line="43"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 2B—Index Performance is Negative</w:t>
      </w:r>
    </w:p>
    <w:p>
      <w:pPr>
        <w:spacing w:after="0" w:line="7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(700 [Index Value on date of Interim Value calculation] – 1000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1000 [Index Value at Term Start Date] = -30%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sum of the Market value of the Fixed Income Asset Proxy and the Market value of the Derivative Asset Proxy equals the Interim Value of each Shield Option.</w:t>
      </w:r>
    </w:p>
    <w:p>
      <w:pPr>
        <w:spacing w:after="0" w:line="30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WITHDRAWAL PROVISIONS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Prior to the Annuity Date, you may, upon Notice to us, request a full or a partial withdrawal and we will withdraw that amount from your Account Value (the “Withdrawal Amount”). A withdrawal (including any applicable Withdrawal Charge) will result in a reduction to the Investment Amount in each Shield Option, the Fixed Account, and the Holding Account in the ratio that each Shield Option, the Fixed Account, and the Holding Account bears to the total Account Value, unless you instruct us otherwise. If a Withdrawal Charge is applicable, it is applied to the Withdrawal Amount that is in excess of the applicable Free Withdrawal Amount. For a partial withdrawal, the amount payable to you will be a net amount equal to the requested Withdrawal Amount reduced by any applicable Withdrawal Charge and Premium Tax and other taxes. Alternatively, you can choose to have the Withdrawal Charge and Premium Tax and other taxes deducted from the remaining Account Value, in which case you would receive the full dollar amount you requested. However, this may result in a higher Withdrawal Charge because the charge increases the amount taken from your Account Value to cover the withdrawal and, since it is a percentage of the total amount withdrawn, the Withdrawal Charge will also be higher. A withdrawal (including any applicable Withdrawal Charge) will also result in a proportionate reduction to the death benefit under the Contract. If you have the Return of Premium</w:t>
      </w:r>
    </w:p>
    <w:p>
      <w:pPr>
        <w:sectPr>
          <w:pgSz w:w="11900" w:h="16838" w:orient="portrait"/>
          <w:cols w:equalWidth="0" w:num="1">
            <w:col w:w="9019"/>
          </w:cols>
          <w:pgMar w:left="1440" w:top="1377" w:right="1440" w:bottom="1440" w:gutter="0" w:footer="0" w:header="0"/>
        </w:sectPr>
      </w:pPr>
    </w:p>
    <w:p>
      <w:pPr>
        <w:spacing w:after="0" w:line="26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019"/>
          </w:cols>
          <w:pgMar w:left="1440" w:top="1377" w:right="1440" w:bottom="1440" w:gutter="0" w:footer="0" w:header="0"/>
          <w:type w:val="continuous"/>
        </w:sectPr>
      </w:pPr>
    </w:p>
    <w:bookmarkStart w:id="35" w:name="page36"/>
    <w:bookmarkEnd w:id="35"/>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death benefit, your Purchase Payment is reduced proportionally by the percentage reduction in Account Value of the Shield Option(s), the Fixed Account, and the Holding Account for each partial withdrawal.</w:t>
      </w:r>
    </w:p>
    <w:p>
      <w:pPr>
        <w:spacing w:after="0" w:line="67"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total Withdrawal Amount from the Account Value must not be less than $500, which is the minimum partial withdrawal amount. If the withdrawal would result in the Account Value being less than the Minimum Account Value ($2,000), we will treat the withdrawal request as a request for a full withdrawal. We will not terminate any Contract if at the time the termination would otherwise occur the guaranteed amount under any death benefit is greater than the Account Value.</w:t>
      </w:r>
    </w:p>
    <w:p>
      <w:pPr>
        <w:spacing w:after="0" w:line="75"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If you request a full or partial withdrawal (unless you instruct us otherwise for a partial withdrawal), the Withdrawal Amount after adjustments for any Withdrawal Charge will result in our paying you a net amount. The net amount payable to you is equal to the amount withdrawn (including any applicable Withdrawal Charge) from the Account Value, less Premium Tax and other taxes, if any.</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Withdrawal Amount (including any applicable Withdrawal Charge) will reduce the Investment Amount for each Shield Option by the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a proportional reduction), or, if you have exercised Performance Lock, it will reduce the Performance Lock Value of the Shield Option by the dollar amount of the withdrawal. Accordingly, when the Interim Value is </w:t>
      </w:r>
      <w:r>
        <w:rPr>
          <w:rFonts w:ascii="Times New Roman" w:cs="Times New Roman" w:eastAsia="Times New Roman" w:hAnsi="Times New Roman"/>
          <w:sz w:val="18"/>
          <w:szCs w:val="18"/>
          <w:b w:val="1"/>
          <w:bCs w:val="1"/>
          <w:i w:val="1"/>
          <w:iCs w:val="1"/>
          <w:color w:val="auto"/>
        </w:rPr>
        <w:t xml:space="preserve">less </w:t>
      </w:r>
      <w:r>
        <w:rPr>
          <w:rFonts w:ascii="Times New Roman" w:cs="Times New Roman" w:eastAsia="Times New Roman" w:hAnsi="Times New Roman"/>
          <w:sz w:val="18"/>
          <w:szCs w:val="18"/>
          <w:b w:val="1"/>
          <w:bCs w:val="1"/>
          <w:color w:val="auto"/>
        </w:rPr>
        <w:t>than the Investment Amount, the reduction to the Shield Option is on a more than dollar for dollar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basis. On the other hand, when the Interim Value is </w:t>
      </w:r>
      <w:r>
        <w:rPr>
          <w:rFonts w:ascii="Times New Roman" w:cs="Times New Roman" w:eastAsia="Times New Roman" w:hAnsi="Times New Roman"/>
          <w:sz w:val="18"/>
          <w:szCs w:val="18"/>
          <w:b w:val="1"/>
          <w:bCs w:val="1"/>
          <w:i w:val="1"/>
          <w:iCs w:val="1"/>
          <w:color w:val="auto"/>
        </w:rPr>
        <w:t>greater</w:t>
      </w:r>
      <w:r>
        <w:rPr>
          <w:rFonts w:ascii="Times New Roman" w:cs="Times New Roman" w:eastAsia="Times New Roman" w:hAnsi="Times New Roman"/>
          <w:sz w:val="18"/>
          <w:szCs w:val="18"/>
          <w:b w:val="1"/>
          <w:bCs w:val="1"/>
          <w:color w:val="auto"/>
        </w:rPr>
        <w:t xml:space="preserve"> than the Investment Amount, the reduction to the Shield Option is on a less than dollar for dollar basis.</w:t>
      </w:r>
    </w:p>
    <w:p>
      <w:pPr>
        <w:spacing w:after="0" w:line="9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For example, Performance Lock has not been exercised and Owner 1 makes a $100,000 Purchase Payment at Contract issue and allocates the Purchase Payment equally to two Shield Options so that each starts with $50,000. This amount is the initial Investment Amount. Assume in 6 months Shield Option A has an Interim Value of $65,000 and Shield Option B has an Interim Value of $45,000. Assume at this time Owner 1 decides to make a withdrawal of $20,000. If the entire withdrawal is taken from Shield Option A, the reduction in the Interim Value is 30.77% ($20,000 ÷ $65,000). The Investment Amount for Shield Option A would then be reduced to $34,615.38 ($50,000 x (1-30.77%)). The total Investment Amount is then $84,615.38 ($34,615.38 + $50,000). If the entire withdrawal is taken from Shield Option B, the reduction in the Interim Value is 44.44% ($20,000 ÷ $45,000). The Investment Amount for Shield Option B would be reduced to $27,777.78 ($50,000 x (1-44.44%)). The total Investment Amount is then $77,777.78 ($50,000 + $27,777.78).</w:t>
      </w:r>
    </w:p>
    <w:p>
      <w:pPr>
        <w:spacing w:after="0" w:line="86"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Using the same example above and assuming Owner 1 exercised the Performance Lock Value on Shield Option A and Shield Option B resulting in a Performance Lock Value of $65,000 for Shield Option A and $45,000 for Shield Option B. Assume that after exercising the Performance Lock, Owner 1 makes a withdrawal of $20,000. If the entire withdrawal is taken from Shield Option A, the Performance Lock Value of that Shield Option would be reduced to $45,000 ($65,000 - $20,000). The Account Value after the withdrawal is then $90,000 ($45,000 + $45,000). If the entire withdrawal is taken from Shield Option B, the Performance Lock Value of that Shield Option would be reduced to $25,000 ($45,000 - $20,000). The Account Value after the withdrawal is then $90,000 ($65,000 + $25,000).</w:t>
      </w:r>
    </w:p>
    <w:p>
      <w:pPr>
        <w:spacing w:after="0" w:line="9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remaining Investment Amount after a withdrawal will be used as the new Investment Amount for the Term until the Term End Date or the next Interim Value calculation for that Shield Option. A partial withdrawal from a Shield Option does not affect the Cap Rate, Step Rate, or Edge Rate, as applicable, and the Shield Rate that will apply to the remaining Investment Amounts that are held in the Shield Option through the Term End Date.</w:t>
      </w:r>
    </w:p>
    <w:p>
      <w:pPr>
        <w:spacing w:after="0" w:line="8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After receipt of a Notice of withdrawal from you, we reserve the right to defer payment for a withdrawal for the period permitted by applicable law but not more than six (6) months.</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will pay interest on any delayed withdrawal payment paid ten (10) Business Days or later after receipt by us of any Notice to complete the transaction. Interest will be paid in accordance with the laws and regulations in effect in the state of New York.</w:t>
      </w:r>
    </w:p>
    <w:p>
      <w:pPr>
        <w:spacing w:after="0" w:line="77" w:lineRule="exact"/>
        <w:rPr>
          <w:sz w:val="20"/>
          <w:szCs w:val="20"/>
          <w:color w:val="auto"/>
        </w:rPr>
      </w:pPr>
    </w:p>
    <w:p>
      <w:pPr>
        <w:jc w:val="both"/>
        <w:ind w:left="12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Divorce.</w:t>
      </w:r>
      <w:r>
        <w:rPr>
          <w:rFonts w:ascii="Times New Roman" w:cs="Times New Roman" w:eastAsia="Times New Roman" w:hAnsi="Times New Roman"/>
          <w:sz w:val="18"/>
          <w:szCs w:val="18"/>
          <w:color w:val="auto"/>
        </w:rPr>
        <w:t xml:space="preserve">  A withdrawal made pursuant to a divorce or separation agreement is subject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Charge provisions described in this section, if permissible under tax law. In addition, the withdrawal will reduce the Account Value and the death benefit. The withdrawal could have a significant negative impact on the death benefit.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Charge</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impose a Withdrawal Charge to reimburse us for contract sales expenses, including commissions and other distribution, promotion, and acquisition expenses. During the Accumulation Period, you can make a partial or complete withdrawal from your Contract.</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Withdrawal Charge is the percentage of the amount withdrawn from the Account Value in a Contract Year in excess of the Free Withdrawal Amount.</w:t>
      </w:r>
    </w:p>
    <w:p>
      <w:pPr>
        <w:sectPr>
          <w:pgSz w:w="11900" w:h="16838" w:orient="portrait"/>
          <w:cols w:equalWidth="0" w:num="1">
            <w:col w:w="9019"/>
          </w:cols>
          <w:pgMar w:left="1440" w:top="1377" w:right="1440" w:bottom="1014"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377" w:right="1440" w:bottom="1014" w:gutter="0" w:footer="0" w:header="0"/>
          <w:type w:val="continuous"/>
        </w:sectPr>
      </w:pPr>
    </w:p>
    <w:bookmarkStart w:id="36" w:name="page37"/>
    <w:bookmarkEnd w:id="36"/>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The Withdrawal Charge is calculated at the time of each withdrawal in accordance with the following:</w:t>
      </w:r>
    </w:p>
    <w:p>
      <w:pPr>
        <w:spacing w:after="0" w:line="219" w:lineRule="exact"/>
        <w:rPr>
          <w:sz w:val="20"/>
          <w:szCs w:val="20"/>
          <w:color w:val="auto"/>
        </w:rPr>
      </w:pPr>
    </w:p>
    <w:tbl>
      <w:tblPr>
        <w:tblLayout w:type="fixed"/>
        <w:tblInd w:w="2080" w:type="dxa"/>
        <w:tblCellMar>
          <w:top w:w="0" w:type="dxa"/>
          <w:left w:w="0" w:type="dxa"/>
          <w:bottom w:w="0" w:type="dxa"/>
          <w:right w:w="0" w:type="dxa"/>
        </w:tblCellMar>
      </w:tblPr>
      <w:tr>
        <w:trPr>
          <w:trHeight w:val="175"/>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Complete Contract</w:t>
            </w:r>
          </w:p>
        </w:tc>
        <w:tc>
          <w:tcPr>
            <w:tcW w:w="86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90"/>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since Issue Date</w:t>
            </w:r>
          </w:p>
        </w:tc>
        <w:tc>
          <w:tcPr>
            <w:tcW w:w="8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Withdrawal Charge percentage</w:t>
            </w:r>
          </w:p>
        </w:tc>
      </w:tr>
      <w:tr>
        <w:trPr>
          <w:trHeight w:val="23"/>
        </w:trPr>
        <w:tc>
          <w:tcPr>
            <w:tcW w:w="190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4"/>
        </w:trPr>
        <w:tc>
          <w:tcPr>
            <w:tcW w:w="190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r>
      <w:tr>
        <w:trPr>
          <w:trHeight w:val="304"/>
        </w:trPr>
        <w:tc>
          <w:tcPr>
            <w:tcW w:w="19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Borders>
              <w:bottom w:val="single" w:sz="8" w:color="F0FFFF"/>
            </w:tcBorders>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7%</w:t>
            </w:r>
          </w:p>
        </w:tc>
      </w:tr>
      <w:tr>
        <w:trPr>
          <w:trHeight w:val="270"/>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7%</w:t>
            </w:r>
          </w:p>
        </w:tc>
      </w:tr>
      <w:tr>
        <w:trPr>
          <w:trHeight w:val="54"/>
        </w:trPr>
        <w:tc>
          <w:tcPr>
            <w:tcW w:w="190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r>
      <w:tr>
        <w:trPr>
          <w:trHeight w:val="304"/>
        </w:trPr>
        <w:tc>
          <w:tcPr>
            <w:tcW w:w="19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tcBorders>
              <w:bottom w:val="single" w:sz="8" w:color="F0FFFF"/>
            </w:tcBorders>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6%</w:t>
            </w:r>
          </w:p>
        </w:tc>
      </w:tr>
      <w:tr>
        <w:trPr>
          <w:trHeight w:val="270"/>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5%</w:t>
            </w:r>
          </w:p>
        </w:tc>
      </w:tr>
      <w:tr>
        <w:trPr>
          <w:trHeight w:val="54"/>
        </w:trPr>
        <w:tc>
          <w:tcPr>
            <w:tcW w:w="190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r>
      <w:tr>
        <w:trPr>
          <w:trHeight w:val="304"/>
        </w:trPr>
        <w:tc>
          <w:tcPr>
            <w:tcW w:w="19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800" w:type="dxa"/>
            <w:vAlign w:val="bottom"/>
            <w:tcBorders>
              <w:bottom w:val="single" w:sz="8" w:color="F0FFFF"/>
            </w:tcBorders>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4%</w:t>
            </w:r>
          </w:p>
        </w:tc>
      </w:tr>
      <w:tr>
        <w:trPr>
          <w:trHeight w:val="270"/>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3%</w:t>
            </w:r>
          </w:p>
        </w:tc>
      </w:tr>
      <w:tr>
        <w:trPr>
          <w:trHeight w:val="54"/>
        </w:trPr>
        <w:tc>
          <w:tcPr>
            <w:tcW w:w="190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r>
      <w:tr>
        <w:trPr>
          <w:trHeight w:val="270"/>
        </w:trPr>
        <w:tc>
          <w:tcPr>
            <w:tcW w:w="19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6 or more</w:t>
            </w:r>
          </w:p>
        </w:tc>
        <w:tc>
          <w:tcPr>
            <w:tcW w:w="2800" w:type="dxa"/>
            <w:vAlign w:val="bottom"/>
            <w:gridSpan w:val="2"/>
            <w:shd w:val="clear" w:color="auto" w:fill="F0FFFF"/>
          </w:tcPr>
          <w:p>
            <w:pPr>
              <w:jc w:val="center"/>
              <w:ind w:left="79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For tax purposes, earnings from Non-Qualified Contracts are generally considered to come out first.</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No Withdrawal Charge Applies</w:t>
      </w:r>
    </w:p>
    <w:p>
      <w:pPr>
        <w:spacing w:after="0" w:line="121"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In some cases we will not charge you the Withdrawal Charge when you make a withdrawal. We may, however, ask you to prove that you meet any of the following conditions:</w:t>
      </w:r>
    </w:p>
    <w:p>
      <w:pPr>
        <w:spacing w:after="0" w:line="94" w:lineRule="exact"/>
        <w:rPr>
          <w:sz w:val="20"/>
          <w:szCs w:val="20"/>
          <w:color w:val="auto"/>
        </w:rPr>
      </w:pPr>
    </w:p>
    <w:p>
      <w:pPr>
        <w:ind w:left="1180" w:hanging="708"/>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of the Contract;</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death benefit;</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your Account Value to an Annuity Option;</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58"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withdrawal is to avoid required Federal income tax penalties or to satisfy Federal income tax rules concerning minimum distribution requirements that apply to your Contract, except for RMDs on a decedent Roth IRA. For purposes of this exception, we assume that the Contract is the only contract or funding vehicle from which distributions are required to be taken and we will ignore all other Account Values;</w:t>
      </w:r>
    </w:p>
    <w:p>
      <w:pPr>
        <w:spacing w:after="0" w:line="115"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properly “recharacterize” as permitted under Federal tax law your Traditional IRA Contract or Roth IRA Contract issued by us;</w:t>
      </w:r>
    </w:p>
    <w:p>
      <w:pPr>
        <w:spacing w:after="0" w:line="94"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agree in writing that none will apply. For example, if you transfer your Account Value to another approved annuity contract issued by us or one of our affiliates;</w:t>
      </w:r>
    </w:p>
    <w:p>
      <w:pPr>
        <w:spacing w:after="0" w:line="80" w:lineRule="exact"/>
        <w:rPr>
          <w:rFonts w:ascii="Times New Roman" w:cs="Times New Roman" w:eastAsia="Times New Roman" w:hAnsi="Times New Roman"/>
          <w:sz w:val="18"/>
          <w:szCs w:val="18"/>
          <w:color w:val="auto"/>
        </w:rPr>
      </w:pPr>
    </w:p>
    <w:p>
      <w:pPr>
        <w:ind w:left="1180" w:right="1039" w:hanging="708"/>
        <w:spacing w:after="0" w:line="282"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pursuant to either the Nursing Home Exception or the Terminal Illness Exception (see below); or</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up to the Free Withdrawal Amount.</w:t>
      </w:r>
    </w:p>
    <w:p>
      <w:pPr>
        <w:spacing w:after="0" w:line="113" w:lineRule="exact"/>
        <w:rPr>
          <w:sz w:val="20"/>
          <w:szCs w:val="20"/>
          <w:color w:val="auto"/>
        </w:rPr>
      </w:pPr>
    </w:p>
    <w:p>
      <w:pPr>
        <w:ind w:left="12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Nursing Home Exception/Terminal Illness Exception. </w:t>
      </w:r>
      <w:r>
        <w:rPr>
          <w:rFonts w:ascii="Times New Roman" w:cs="Times New Roman" w:eastAsia="Times New Roman" w:hAnsi="Times New Roman"/>
          <w:sz w:val="18"/>
          <w:szCs w:val="18"/>
          <w:color w:val="auto"/>
        </w:rPr>
        <w:t>After the first Contract Year, a Withdrawal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would otherwise apply to a withdrawal will be waived, if you, or your Joint Owner:</w:t>
      </w:r>
    </w:p>
    <w:p>
      <w:pPr>
        <w:spacing w:after="0" w:line="51" w:lineRule="exact"/>
        <w:rPr>
          <w:sz w:val="20"/>
          <w:szCs w:val="20"/>
          <w:color w:val="auto"/>
        </w:rPr>
      </w:pPr>
    </w:p>
    <w:p>
      <w:pPr>
        <w:jc w:val="both"/>
        <w:ind w:left="680" w:right="739" w:hanging="208"/>
        <w:spacing w:after="0" w:line="25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(Nursing Home Exception) Has been a resident of certain nursing home facilities or a hospital for a minimum of 90 consecutive days or for a minimum total of 90 days where there is no more than a 6-month break in that residency and the residencies are for related causes, where you have exercised this right no later than 90 days after exiting the nursing home facility or hospital. The confinement must be prescribed by a physician and be medically necessary; or</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Illness Exception) Is diagnosed with a terminal illness and not expected to live more than 12 months (a physician certifies to your illness and life expectancy) and you were not diagnosed with the terminal illness as of the date we issued your Contract.</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These Contract features are only available if you are less than 81 years old on the Contract Issue Date and terminate on the Annuity Date. These Contract features are free of charge. Additional conditions and requirements apply and are specified in the rider(s) that are part of your Contract.</w:t>
      </w:r>
    </w:p>
    <w:p>
      <w:pPr>
        <w:spacing w:after="0" w:line="64"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Free Withdrawal Amount.</w:t>
      </w:r>
      <w:r>
        <w:rPr>
          <w:rFonts w:ascii="Times New Roman" w:cs="Times New Roman" w:eastAsia="Times New Roman" w:hAnsi="Times New Roman"/>
          <w:sz w:val="18"/>
          <w:szCs w:val="18"/>
          <w:color w:val="auto"/>
        </w:rPr>
        <w:t xml:space="preserve">  After the first Contract Year, you may withdraw a portion of your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free from any Withdrawal Charge. The Free 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Systematic Withdrawal Program</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w:t>
      </w:r>
    </w:p>
    <w:p>
      <w:pPr>
        <w:sectPr>
          <w:pgSz w:w="11900" w:h="16838" w:orient="portrait"/>
          <w:cols w:equalWidth="0" w:num="1">
            <w:col w:w="9019"/>
          </w:cols>
          <w:pgMar w:left="1440" w:top="1440" w:right="1440" w:bottom="24" w:gutter="0" w:footer="0" w:header="0"/>
        </w:sectPr>
      </w:pPr>
    </w:p>
    <w:bookmarkStart w:id="37" w:name="page38"/>
    <w:bookmarkEnd w:id="37"/>
    <w:p>
      <w:pPr>
        <w:ind w:left="41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330200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20" w:right="659"/>
        <w:spacing w:after="0" w:line="255" w:lineRule="auto"/>
        <w:rPr>
          <w:sz w:val="20"/>
          <w:szCs w:val="20"/>
          <w:color w:val="auto"/>
        </w:rPr>
      </w:pPr>
      <w:r>
        <w:rPr>
          <w:rFonts w:ascii="Times New Roman" w:cs="Times New Roman" w:eastAsia="Times New Roman" w:hAnsi="Times New Roman"/>
          <w:sz w:val="18"/>
          <w:szCs w:val="18"/>
          <w:color w:val="auto"/>
        </w:rPr>
        <w:t>Anniversary. We do not assess a charge for this program. You can receive payments monthly, quarterly, semi-annually, or annually provided that each payment must amount to at least $100 (a minimum of $500 must be distributed per Contract Year). We reserve the right to change the required minimum or the availability of this program. If the New York Stock Exchange is closed on a day when the withdrawal is to be made, we will process the withdrawal on the next Business Day. While the Systematic Withdrawal Program is in effect, you can make additional withdrawals. However, such withdrawals, in addition to the systematic withdrawals, will be considered when determining the applicability of any Withdrawal Charge.</w:t>
      </w:r>
    </w:p>
    <w:p>
      <w:pPr>
        <w:spacing w:after="0" w:line="8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Withdrawals under the Systematic Withdrawal Program may either be drawn proportionally from all Allocation Options or you can designate where the withdrawal will be drawn: one or more Shield Options, the Fixed Account, and/or the Holding Account.</w:t>
      </w:r>
    </w:p>
    <w:p>
      <w:pPr>
        <w:spacing w:after="0" w:line="6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Unless you have exercised the Performance Lock, each withdrawal, systematic or otherwise (including any applicable Withdrawal Charge), will reduce the Investment Amount for each Shield Option by the same percentage reduction in the Interim Value of such Shield Option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xml:space="preserve"> a proportional reduction). Therefore, a withdrawal when Interim Value is less than the Investment Amount will cause a greater percentage reduction in the remaining Investment Amount relative to the percentage reduction for the same Withdrawal Amount when Interim Value is greater than the Investment Amount. </w:t>
      </w:r>
      <w:r>
        <w:rPr>
          <w:rFonts w:ascii="Times New Roman" w:cs="Times New Roman" w:eastAsia="Times New Roman" w:hAnsi="Times New Roman"/>
          <w:sz w:val="18"/>
          <w:szCs w:val="18"/>
          <w:color w:val="auto"/>
        </w:rPr>
        <w:t>If you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Lock on any Shield Option, the Performance Lock Value for that Shield Option will be reduced by the dollar amount of the withdrawal. Each withdrawal from the Fixed Account or the Holding Account reduces the value of that account by the amount of the withdrawal (dollar for dollar).</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If you choose proportional withdrawals, all withdrawals are drawn from the Shield Options, the Fixed Account, and the Holding Account in the ratio that each Shield Option(s), the Fixed Account and/or the Holding Account bears to your Account Value.</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you choose withdrawals from specific Shield Option(s), the Fixed Account, and/or the Holding Account all withdrawals are drawn from the specified Shield Option(s), Fixed Account, and/or the Holding Account in an amount you determine. If there are insufficient funds in the specified Shield Options, the Fixed Account, and the Holding Account to cover the amount of the withdrawal, the withdrawal will be processed to take the amount in that Shield Option, Fixed Account, or the Holding Account to $0, and the remaining amount of the withdrawal will default to proportional from all Shield Options, the Fixed Account, and the Holding Account to which you are allocated. Future withdrawals under the Systematic Withdrawal Program will continue to be drawn proportionally, unless you instruct us otherwise.</w:t>
      </w:r>
    </w:p>
    <w:p>
      <w:pPr>
        <w:spacing w:after="0" w:line="8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may terminate your participation in the Systematic Withdrawal Program at any time. We will terminate your participation in the Systematic Withdrawal Program when we receive notification of your death.</w:t>
      </w:r>
    </w:p>
    <w:p>
      <w:pPr>
        <w:spacing w:after="0" w:line="50"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Income taxes, tax penalties, and certain restrictions may apply to withdrawals under the Systematic Withdrawal Program. Withdrawals under the Systematic Withdrawal Program are subject to the same Withdrawal Charge provisions and risks as any other withdrawals under the Contract. Among other things, this means that Withdrawal Amounts in excess of the Free Withdrawal Amount are subject to a Withdrawal Charge. Moreover, since Withdrawal Amounts from a Shield Option will reduce the Investment Amount for that Shield Option by the percentage reduction in the Interim Value of that Shield Option, a withdrawal when the Interim Value is lower than the Investment Amount will cause a greater percentage reduction in the Investment Amount relative to the percentage reduction for the same Withdrawal Amount when the Interim Value is higher than the Investment Amount. If you exercise Performance Lock on any Shield Option, the Performance Lock Value for that Shield Option will be reduced by the dollar amount of the withdrawal. Since withdrawals under the Systematic Withdrawal Program are automatic, you will have no control over the timing of those withdrawals.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3—Withdrawals</w:t>
      </w:r>
    </w:p>
    <w:p>
      <w:pPr>
        <w:spacing w:after="0" w:line="121" w:lineRule="exact"/>
        <w:rPr>
          <w:sz w:val="20"/>
          <w:szCs w:val="20"/>
          <w:color w:val="auto"/>
        </w:rPr>
      </w:pPr>
    </w:p>
    <w:p>
      <w:pPr>
        <w:jc w:val="both"/>
        <w:ind w:left="120" w:right="639" w:firstLine="360"/>
        <w:spacing w:after="0" w:line="247" w:lineRule="auto"/>
        <w:rPr>
          <w:sz w:val="20"/>
          <w:szCs w:val="20"/>
          <w:color w:val="auto"/>
        </w:rPr>
      </w:pPr>
      <w:r>
        <w:rPr>
          <w:rFonts w:ascii="Times New Roman" w:cs="Times New Roman" w:eastAsia="Times New Roman" w:hAnsi="Times New Roman"/>
          <w:sz w:val="18"/>
          <w:szCs w:val="18"/>
          <w:color w:val="auto"/>
        </w:rPr>
        <w:t>Examples 3A and 3B are intended to show how withdrawals work. Both examples assume that Performance Lock has not been exercised and that Owner 1 allocates her $50,000 Purchase Payment to the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Example 3A will illustrate a withdrawal when Interim Value, at the time of the withdrawal, is greater than the Investment Amount on the Term Start Date and assumes no Withdrawal Charge applies due to a Withdrawal Charge waiver. Example 3B will illustrate a withdrawal when Interim Value, at the time of the withdrawal, is less than the Investment Amount on the Term Start Date and a 7% Withdrawal Charge is applied. In both examples, Owner 1 takes only one $20,000 withdrawal exactly halfway through the Term. The remaining Investment Amount after a withdrawal will be used as the new Investment Amount for the Term until the Term End Date for that Shield Option (assuming no additional withdrawals).</w:t>
      </w:r>
    </w:p>
    <w:p>
      <w:pPr>
        <w:sectPr>
          <w:pgSz w:w="11900" w:h="16838" w:orient="portrait"/>
          <w:cols w:equalWidth="0" w:num="1">
            <w:col w:w="9019"/>
          </w:cols>
          <w:pgMar w:left="1440" w:top="108" w:right="1440" w:bottom="1440" w:gutter="0" w:footer="0" w:header="0"/>
        </w:sectPr>
      </w:pPr>
    </w:p>
    <w:p>
      <w:pPr>
        <w:spacing w:after="0" w:line="2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019"/>
          </w:cols>
          <w:pgMar w:left="1440" w:top="108" w:right="1440" w:bottom="1440" w:gutter="0" w:footer="0" w:header="0"/>
          <w:type w:val="continuous"/>
        </w:sectPr>
      </w:pPr>
    </w:p>
    <w:bookmarkStart w:id="38" w:name="page39"/>
    <w:bookmarkEnd w:id="38"/>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3A—Interim Value is greater than Investment Amount and no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404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50180" cy="404177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$49,452.40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$4,062.37</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w:t>
            </w:r>
            <w:r>
              <w:rPr>
                <w:rFonts w:ascii="Times New Roman" w:cs="Times New Roman" w:eastAsia="Times New Roman" w:hAnsi="Times New Roman"/>
                <w:sz w:val="23"/>
                <w:szCs w:val="23"/>
                <w:color w:val="auto"/>
                <w:vertAlign w:val="superscript"/>
              </w:rPr>
              <w:t>(2)</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$53,514.77</w:t>
            </w:r>
          </w:p>
        </w:tc>
        <w:tc>
          <w:tcPr>
            <w:tcW w:w="20" w:type="dxa"/>
            <w:vAlign w:val="bottom"/>
            <w:tcBorders>
              <w:top w:val="single" w:sz="8" w:color="auto"/>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 at Term Start Date adjusted for any withdrawals</w:t>
            </w:r>
            <w:r>
              <w:rPr>
                <w:rFonts w:ascii="Times New Roman" w:cs="Times New Roman" w:eastAsia="Times New Roman" w:hAnsi="Times New Roman"/>
                <w:sz w:val="23"/>
                <w:szCs w:val="23"/>
                <w:color w:val="auto"/>
                <w:vertAlign w:val="superscript"/>
              </w:rPr>
              <w:t>(3)</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$31,313.57</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(5)</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(7)</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$3,131.36</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$34,444.93</w:t>
            </w:r>
          </w:p>
        </w:tc>
        <w:tc>
          <w:tcPr>
            <w:tcW w:w="20" w:type="dxa"/>
            <w:vAlign w:val="bottom"/>
            <w:tcBorders>
              <w:bottom w:val="single" w:sz="8" w:color="auto"/>
            </w:tcBorders>
          </w:tcPr>
          <w:p>
            <w:pPr>
              <w:spacing w:after="0"/>
              <w:rPr>
                <w:sz w:val="22"/>
                <w:szCs w:val="22"/>
                <w:color w:val="auto"/>
              </w:rPr>
            </w:pPr>
          </w:p>
        </w:tc>
      </w:tr>
      <w:tr>
        <w:trPr>
          <w:trHeight w:val="85"/>
        </w:trPr>
        <w:tc>
          <w:tcPr>
            <w:tcW w:w="1100" w:type="dxa"/>
            <w:vAlign w:val="bottom"/>
            <w:tcBorders>
              <w:bottom w:val="single" w:sz="8" w:color="auto"/>
            </w:tcBorders>
          </w:tcPr>
          <w:p>
            <w:pPr>
              <w:spacing w:after="0"/>
              <w:rPr>
                <w:sz w:val="7"/>
                <w:szCs w:val="7"/>
                <w:color w:val="auto"/>
              </w:rPr>
            </w:pPr>
          </w:p>
        </w:tc>
        <w:tc>
          <w:tcPr>
            <w:tcW w:w="5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(600 [Index Value on date of Interim Value calculation] – 500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spacing w:after="0" w:line="235" w:lineRule="auto"/>
        <w:rPr>
          <w:sz w:val="20"/>
          <w:szCs w:val="20"/>
          <w:color w:val="auto"/>
        </w:rPr>
      </w:pPr>
      <w:r>
        <w:rPr>
          <w:rFonts w:ascii="Times New Roman" w:cs="Times New Roman" w:eastAsia="Times New Roman" w:hAnsi="Times New Roman"/>
          <w:sz w:val="18"/>
          <w:szCs w:val="18"/>
          <w:color w:val="auto"/>
        </w:rPr>
        <w:t>The Interim Value is equal to the sum of the market value of the Fixed Income Asset Proxy and the</w:t>
      </w:r>
    </w:p>
    <w:p>
      <w:pPr>
        <w:ind w:left="480"/>
        <w:spacing w:after="0"/>
        <w:rPr>
          <w:sz w:val="20"/>
          <w:szCs w:val="20"/>
          <w:color w:val="auto"/>
        </w:rPr>
      </w:pPr>
      <w:r>
        <w:rPr>
          <w:rFonts w:ascii="Times New Roman" w:cs="Times New Roman" w:eastAsia="Times New Roman" w:hAnsi="Times New Roman"/>
          <w:sz w:val="18"/>
          <w:szCs w:val="18"/>
          <w:color w:val="auto"/>
        </w:rPr>
        <w:t>Derivative Asset Proxy. The Interim Value is calculated as follows:</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$49,452.40 [Market value of Fixed Income Asset Proxy] + $4,062.37 [Market value of Derivative Asset Proxy]</w:t>
      </w:r>
    </w:p>
    <w:p>
      <w:pPr>
        <w:spacing w:after="0" w:line="2" w:lineRule="exact"/>
        <w:rPr>
          <w:sz w:val="20"/>
          <w:szCs w:val="20"/>
          <w:color w:val="auto"/>
        </w:rPr>
      </w:pPr>
    </w:p>
    <w:p>
      <w:pPr>
        <w:ind w:left="3920" w:hanging="155"/>
        <w:spacing w:after="0"/>
        <w:tabs>
          <w:tab w:leader="none" w:pos="3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$53,514.77</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is reduced proportionally by the withdrawal taken based on the reduction in Interim Value. Therefore, the Investment Amount adjusted for any withdrawals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$50,000 [Investment Amount on Term Start Date]</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x (1-$20,000 [gross withdrawal amount halfway through the Term] ÷ $53,514.77 [Interim Value on date of</w:t>
      </w:r>
    </w:p>
    <w:p>
      <w:pPr>
        <w:spacing w:after="0" w:line="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withdrawal])</w:t>
      </w:r>
    </w:p>
    <w:p>
      <w:pPr>
        <w:ind w:left="3760"/>
        <w:spacing w:after="0"/>
        <w:rPr>
          <w:sz w:val="20"/>
          <w:szCs w:val="20"/>
          <w:color w:val="auto"/>
        </w:rPr>
      </w:pPr>
      <w:r>
        <w:rPr>
          <w:rFonts w:ascii="Times New Roman" w:cs="Times New Roman" w:eastAsia="Times New Roman" w:hAnsi="Times New Roman"/>
          <w:sz w:val="18"/>
          <w:szCs w:val="18"/>
          <w:color w:val="auto"/>
        </w:rPr>
        <w:t>= $31,313.57</w:t>
      </w:r>
    </w:p>
    <w:p>
      <w:pPr>
        <w:spacing w:after="0" w:line="43" w:lineRule="exact"/>
        <w:rPr>
          <w:sz w:val="20"/>
          <w:szCs w:val="20"/>
          <w:color w:val="auto"/>
        </w:rPr>
      </w:pPr>
    </w:p>
    <w:p>
      <w:pPr>
        <w:ind w:left="480" w:right="659"/>
        <w:spacing w:after="0" w:line="245"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at Term Start Date for the Term until the Term End Date for this Shield Option (assuming no additional withdrawals).</w:t>
      </w:r>
    </w:p>
    <w:p>
      <w:pPr>
        <w:spacing w:after="0" w:line="36" w:lineRule="exact"/>
        <w:rPr>
          <w:sz w:val="20"/>
          <w:szCs w:val="20"/>
          <w:color w:val="auto"/>
        </w:rPr>
      </w:pPr>
    </w:p>
    <w:p>
      <w:pPr>
        <w:ind w:left="480" w:right="739" w:hanging="368"/>
        <w:spacing w:after="0" w:line="222" w:lineRule="auto"/>
        <w:tabs>
          <w:tab w:leader="none" w:pos="4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 the amount withdrawn minus the Withdrawal Charge. The net amount payable is calculated as follows: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$20,000 [amount withdrawn] – $0 [Withdrawal Charge] = $20,000</w:t>
      </w:r>
    </w:p>
    <w:p>
      <w:pPr>
        <w:ind w:left="120"/>
        <w:spacing w:after="0" w:line="192" w:lineRule="auto"/>
        <w:rPr>
          <w:sz w:val="20"/>
          <w:szCs w:val="20"/>
          <w:color w:val="auto"/>
        </w:rPr>
      </w:pPr>
      <w:r>
        <w:rPr>
          <w:rFonts w:ascii="Times New Roman" w:cs="Times New Roman" w:eastAsia="Times New Roman" w:hAnsi="Times New Roman"/>
          <w:sz w:val="9"/>
          <w:szCs w:val="9"/>
          <w:color w:val="auto"/>
        </w:rPr>
        <w:t>(5)</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Index Performance at the Term End Date is equal to the percentage change in the Index Value measured from the Term Start Date to the Term End Date. Index Performance at the Term End Date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(560 [Index Value at Term End Date] – 500 [Index Value at Term Start Date])</w:t>
      </w:r>
    </w:p>
    <w:p>
      <w:pPr>
        <w:spacing w:after="0" w:line="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12%</w:t>
      </w:r>
    </w:p>
    <w:p>
      <w:pPr>
        <w:sectPr>
          <w:pgSz w:w="11900" w:h="16838" w:orient="portrait"/>
          <w:cols w:equalWidth="0" w:num="1">
            <w:col w:w="9019"/>
          </w:cols>
          <w:pgMar w:left="1440" w:top="1377" w:right="1440" w:bottom="1440" w:gutter="0" w:footer="0" w:header="0"/>
        </w:sectPr>
      </w:pPr>
    </w:p>
    <w:p>
      <w:pPr>
        <w:spacing w:after="0" w:line="2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019"/>
          </w:cols>
          <w:pgMar w:left="1440" w:top="1377" w:right="1440" w:bottom="1440" w:gutter="0" w:footer="0" w:header="0"/>
          <w:type w:val="continuous"/>
        </w:sectPr>
      </w:pPr>
    </w:p>
    <w:bookmarkStart w:id="39" w:name="page40"/>
    <w:bookmarkEnd w:id="39"/>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(6)</w:t>
      </w:r>
    </w:p>
    <w:p>
      <w:pPr>
        <w:ind w:left="480" w:right="739"/>
        <w:spacing w:after="0" w:line="241" w:lineRule="auto"/>
        <w:rPr>
          <w:sz w:val="20"/>
          <w:szCs w:val="20"/>
          <w:color w:val="auto"/>
        </w:rPr>
      </w:pPr>
      <w:r>
        <w:rPr>
          <w:rFonts w:ascii="Times New Roman" w:cs="Times New Roman" w:eastAsia="Times New Roman" w:hAnsi="Times New Roman"/>
          <w:sz w:val="18"/>
          <w:szCs w:val="18"/>
          <w:color w:val="auto"/>
        </w:rPr>
        <w:t>Index Performance at the Term End Date exceeds the Cap Rate and therefore the Performance Rate at the Term End Date is equal to the Cap Rate.</w:t>
      </w:r>
    </w:p>
    <w:p>
      <w:pPr>
        <w:spacing w:after="0" w:line="37" w:lineRule="exact"/>
        <w:rPr>
          <w:sz w:val="20"/>
          <w:szCs w:val="20"/>
          <w:color w:val="auto"/>
        </w:rPr>
      </w:pPr>
    </w:p>
    <w:p>
      <w:pPr>
        <w:jc w:val="both"/>
        <w:ind w:left="480" w:right="739" w:hanging="368"/>
        <w:spacing w:after="0" w:line="226" w:lineRule="auto"/>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at the Term End Date is equal to the Investment Amount at the Term Start Date adjusted for any withdrawals multiplied by the Performance Rate at the Term End Date. The Performance Rate Adjustment at the Term End Date is calculated as follows:</w:t>
      </w:r>
    </w:p>
    <w:p>
      <w:pPr>
        <w:spacing w:after="0" w:line="36" w:lineRule="exact"/>
        <w:rPr>
          <w:sz w:val="20"/>
          <w:szCs w:val="20"/>
          <w:color w:val="auto"/>
        </w:rPr>
      </w:pPr>
    </w:p>
    <w:p>
      <w:pPr>
        <w:jc w:val="center"/>
        <w:ind w:left="112" w:right="651"/>
        <w:spacing w:after="0" w:line="253" w:lineRule="auto"/>
        <w:rPr>
          <w:sz w:val="20"/>
          <w:szCs w:val="20"/>
          <w:color w:val="auto"/>
        </w:rPr>
      </w:pPr>
      <w:r>
        <w:rPr>
          <w:rFonts w:ascii="Times New Roman" w:cs="Times New Roman" w:eastAsia="Times New Roman" w:hAnsi="Times New Roman"/>
          <w:sz w:val="18"/>
          <w:szCs w:val="18"/>
          <w:color w:val="auto"/>
        </w:rPr>
        <w:t>$31,313.57 [Investment Amount adjusted for withdrawal] x 10% [Performance Rate at Term End Date] = $3,131.36</w:t>
      </w:r>
    </w:p>
    <w:p>
      <w:pPr>
        <w:ind w:left="120"/>
        <w:spacing w:after="0" w:line="181" w:lineRule="auto"/>
        <w:rPr>
          <w:sz w:val="20"/>
          <w:szCs w:val="20"/>
          <w:color w:val="auto"/>
        </w:rPr>
      </w:pPr>
      <w:r>
        <w:rPr>
          <w:rFonts w:ascii="Times New Roman" w:cs="Times New Roman" w:eastAsia="Times New Roman" w:hAnsi="Times New Roman"/>
          <w:sz w:val="8"/>
          <w:szCs w:val="8"/>
          <w:color w:val="auto"/>
        </w:rPr>
        <w:t>(8)</w:t>
      </w:r>
    </w:p>
    <w:p>
      <w:pPr>
        <w:ind w:left="480" w:right="739"/>
        <w:spacing w:after="0" w:line="226" w:lineRule="auto"/>
        <w:rPr>
          <w:sz w:val="20"/>
          <w:szCs w:val="20"/>
          <w:color w:val="auto"/>
        </w:rPr>
      </w:pPr>
      <w:r>
        <w:rPr>
          <w:rFonts w:ascii="Times New Roman" w:cs="Times New Roman" w:eastAsia="Times New Roman" w:hAnsi="Times New Roman"/>
          <w:sz w:val="18"/>
          <w:szCs w:val="18"/>
          <w:color w:val="auto"/>
        </w:rPr>
        <w:t>The Investment Amount at the Term End Date is equal to the Investment Amount one year after the Term Start Date adjusted for any withdrawals plus the Performance Rate Adjustment at Term End Date. The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 Amount at the Term End Date is calculated as follows:</w:t>
      </w:r>
    </w:p>
    <w:p>
      <w:pPr>
        <w:spacing w:after="0" w:line="7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$31,313.57 [Investment Amount adjusted for withdrawal]</w:t>
      </w:r>
    </w:p>
    <w:p>
      <w:pPr>
        <w:spacing w:after="0" w:line="2" w:lineRule="exact"/>
        <w:rPr>
          <w:sz w:val="20"/>
          <w:szCs w:val="20"/>
          <w:color w:val="auto"/>
        </w:rPr>
      </w:pPr>
    </w:p>
    <w:p>
      <w:pPr>
        <w:ind w:left="120" w:right="2019" w:firstLine="1359"/>
        <w:spacing w:after="0" w:line="457" w:lineRule="auto"/>
        <w:tabs>
          <w:tab w:leader="none" w:pos="163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$3,131.36 [Performance Rate Adjustment at Term End Date] = $34,444.93 </w:t>
      </w:r>
      <w:r>
        <w:rPr>
          <w:rFonts w:ascii="Times New Roman" w:cs="Times New Roman" w:eastAsia="Times New Roman" w:hAnsi="Times New Roman"/>
          <w:sz w:val="17"/>
          <w:szCs w:val="17"/>
          <w:u w:val="single" w:color="auto"/>
          <w:color w:val="auto"/>
        </w:rPr>
        <w:t>Example 3B—Interim Value is less than the Investment Amount and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-20955</wp:posOffset>
            </wp:positionV>
            <wp:extent cx="5250180" cy="44189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50180" cy="44189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6"/>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$49,452.40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–$4,661.31</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w:t>
            </w:r>
            <w:r>
              <w:rPr>
                <w:rFonts w:ascii="Times New Roman" w:cs="Times New Roman" w:eastAsia="Times New Roman" w:hAnsi="Times New Roman"/>
                <w:sz w:val="23"/>
                <w:szCs w:val="23"/>
                <w:color w:val="auto"/>
                <w:vertAlign w:val="superscript"/>
              </w:rPr>
              <w:t>(2)</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$44,791.09</w:t>
            </w:r>
          </w:p>
        </w:tc>
        <w:tc>
          <w:tcPr>
            <w:tcW w:w="20" w:type="dxa"/>
            <w:vAlign w:val="bottom"/>
            <w:tcBorders>
              <w:top w:val="single" w:sz="8" w:color="auto"/>
              <w:bottom w:val="single" w:sz="8" w:color="auto"/>
            </w:tcBorders>
          </w:tcPr>
          <w:p>
            <w:pPr>
              <w:spacing w:after="0"/>
              <w:rPr>
                <w:sz w:val="24"/>
                <w:szCs w:val="24"/>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Withdrawal Amount taken</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 adjusted for any withdrawals</w:t>
            </w:r>
            <w:r>
              <w:rPr>
                <w:rFonts w:ascii="Times New Roman" w:cs="Times New Roman" w:eastAsia="Times New Roman" w:hAnsi="Times New Roman"/>
                <w:sz w:val="23"/>
                <w:szCs w:val="23"/>
                <w:color w:val="auto"/>
                <w:vertAlign w:val="superscript"/>
              </w:rPr>
              <w:t>(3)</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$27,674.13</w:t>
            </w:r>
          </w:p>
        </w:tc>
        <w:tc>
          <w:tcPr>
            <w:tcW w:w="20" w:type="dxa"/>
            <w:vAlign w:val="bottom"/>
            <w:tcBorders>
              <w:top w:val="single" w:sz="8" w:color="auto"/>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Free Withdrawal Amount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Withdrawal Charge Amount</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$18,950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Date</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(7)</w:t>
            </w:r>
          </w:p>
        </w:tc>
        <w:tc>
          <w:tcPr>
            <w:tcW w:w="184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w:t>
            </w: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(8)</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(9)</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color w:val="auto"/>
              </w:rPr>
              <w:t>Investment Amount</w:t>
            </w:r>
            <w:r>
              <w:rPr>
                <w:rFonts w:ascii="Times New Roman" w:cs="Times New Roman" w:eastAsia="Times New Roman" w:hAnsi="Times New Roman"/>
                <w:sz w:val="23"/>
                <w:szCs w:val="23"/>
                <w:color w:val="auto"/>
                <w:vertAlign w:val="superscript"/>
              </w:rPr>
              <w:t>(10)</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$27,674.13</w:t>
            </w:r>
          </w:p>
        </w:tc>
        <w:tc>
          <w:tcPr>
            <w:tcW w:w="20" w:type="dxa"/>
            <w:vAlign w:val="bottom"/>
            <w:tcBorders>
              <w:bottom w:val="single" w:sz="8" w:color="auto"/>
            </w:tcBorders>
          </w:tcPr>
          <w:p>
            <w:pPr>
              <w:spacing w:after="0"/>
              <w:rPr>
                <w:sz w:val="22"/>
                <w:szCs w:val="22"/>
                <w:color w:val="auto"/>
              </w:rPr>
            </w:pPr>
          </w:p>
        </w:tc>
      </w:tr>
      <w:tr>
        <w:trPr>
          <w:trHeight w:val="193"/>
        </w:trPr>
        <w:tc>
          <w:tcPr>
            <w:tcW w:w="1100" w:type="dxa"/>
            <w:vAlign w:val="bottom"/>
            <w:tcBorders>
              <w:bottom w:val="single" w:sz="8" w:color="9A9A9A"/>
            </w:tcBorders>
          </w:tcPr>
          <w:p>
            <w:pPr>
              <w:spacing w:after="0"/>
              <w:rPr>
                <w:sz w:val="16"/>
                <w:szCs w:val="16"/>
                <w:color w:val="auto"/>
              </w:rPr>
            </w:pPr>
          </w:p>
        </w:tc>
        <w:tc>
          <w:tcPr>
            <w:tcW w:w="5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79" w:lineRule="exact"/>
        <w:rPr>
          <w:sz w:val="20"/>
          <w:szCs w:val="20"/>
          <w:color w:val="auto"/>
        </w:rPr>
      </w:pPr>
    </w:p>
    <w:p>
      <w:pPr>
        <w:ind w:left="120" w:right="1159"/>
        <w:spacing w:after="0" w:line="263"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ind w:left="120"/>
        <w:spacing w:after="0" w:line="182" w:lineRule="auto"/>
        <w:rPr>
          <w:sz w:val="20"/>
          <w:szCs w:val="20"/>
          <w:color w:val="auto"/>
        </w:rPr>
      </w:pPr>
      <w:r>
        <w:rPr>
          <w:rFonts w:ascii="Times New Roman" w:cs="Times New Roman" w:eastAsia="Times New Roman" w:hAnsi="Times New Roman"/>
          <w:sz w:val="8"/>
          <w:szCs w:val="8"/>
          <w:color w:val="auto"/>
        </w:rPr>
        <w:t>(1)</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(400 [Index Value on date of Interim Value calculation] – 500 [Index Value at Term Start Date])</w:t>
      </w:r>
    </w:p>
    <w:p>
      <w:pPr>
        <w:spacing w:after="0" w:line="16" w:lineRule="exact"/>
        <w:rPr>
          <w:sz w:val="20"/>
          <w:szCs w:val="20"/>
          <w:color w:val="auto"/>
        </w:rPr>
      </w:pPr>
    </w:p>
    <w:p>
      <w:pPr>
        <w:ind w:left="2640" w:hanging="137"/>
        <w:spacing w:after="0"/>
        <w:tabs>
          <w:tab w:leader="none" w:pos="2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[Index Value at Term Start Date]) = –20%</w:t>
      </w:r>
    </w:p>
    <w:p>
      <w:pPr>
        <w:spacing w:after="0" w:line="43" w:lineRule="exact"/>
        <w:rPr>
          <w:rFonts w:ascii="Times New Roman" w:cs="Times New Roman" w:eastAsia="Times New Roman" w:hAnsi="Times New Roman"/>
          <w:sz w:val="18"/>
          <w:szCs w:val="18"/>
          <w:color w:val="auto"/>
        </w:rPr>
      </w:pPr>
    </w:p>
    <w:p>
      <w:pPr>
        <w:ind w:left="480" w:right="739" w:hanging="368"/>
        <w:spacing w:after="0" w:line="222" w:lineRule="auto"/>
        <w:tabs>
          <w:tab w:leader="none" w:pos="4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Interim Value is equal to the sum of the market value of the Fixed Income Asset Proxy and the Derivative Asset Proxy. The Interim Value is calculated as follows:</w:t>
      </w:r>
    </w:p>
    <w:p>
      <w:pPr>
        <w:spacing w:after="0" w:line="63" w:lineRule="exact"/>
        <w:rPr>
          <w:sz w:val="20"/>
          <w:szCs w:val="20"/>
          <w:color w:val="auto"/>
        </w:rPr>
      </w:pPr>
    </w:p>
    <w:p>
      <w:pPr>
        <w:jc w:val="center"/>
        <w:ind w:left="112" w:right="691"/>
        <w:spacing w:after="0" w:line="250" w:lineRule="auto"/>
        <w:rPr>
          <w:sz w:val="20"/>
          <w:szCs w:val="20"/>
          <w:color w:val="auto"/>
        </w:rPr>
      </w:pPr>
      <w:r>
        <w:rPr>
          <w:rFonts w:ascii="Times New Roman" w:cs="Times New Roman" w:eastAsia="Times New Roman" w:hAnsi="Times New Roman"/>
          <w:sz w:val="18"/>
          <w:szCs w:val="18"/>
          <w:color w:val="auto"/>
        </w:rPr>
        <w:t>$49,452.40 [Market value of Fixed Income Asset Proxy] + –$4,661.31 [Market value of Derivative Asset Proxy] = $44,791.09</w:t>
      </w:r>
    </w:p>
    <w:p>
      <w:pPr>
        <w:sectPr>
          <w:pgSz w:w="11900" w:h="16838" w:orient="portrait"/>
          <w:cols w:equalWidth="0" w:num="1">
            <w:col w:w="9019"/>
          </w:cols>
          <w:pgMar w:left="1440" w:top="1245" w:right="1440" w:bottom="1440" w:gutter="0" w:footer="0" w:header="0"/>
        </w:sectPr>
      </w:pPr>
    </w:p>
    <w:p>
      <w:pPr>
        <w:spacing w:after="0" w:line="27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245" w:right="1440" w:bottom="1440" w:gutter="0" w:footer="0" w:header="0"/>
          <w:type w:val="continuous"/>
        </w:sectPr>
      </w:pPr>
    </w:p>
    <w:bookmarkStart w:id="40" w:name="page41"/>
    <w:bookmarkEnd w:id="40"/>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(3)</w:t>
      </w:r>
    </w:p>
    <w:p>
      <w:pPr>
        <w:ind w:left="480"/>
        <w:spacing w:after="0" w:line="234" w:lineRule="auto"/>
        <w:rPr>
          <w:sz w:val="20"/>
          <w:szCs w:val="20"/>
          <w:color w:val="auto"/>
        </w:rPr>
      </w:pPr>
      <w:r>
        <w:rPr>
          <w:rFonts w:ascii="Times New Roman" w:cs="Times New Roman" w:eastAsia="Times New Roman" w:hAnsi="Times New Roman"/>
          <w:sz w:val="18"/>
          <w:szCs w:val="18"/>
          <w:color w:val="auto"/>
        </w:rPr>
        <w:t>The Investment Amount is reduced proportionally by the withdrawal taken based on the reduction in</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Interim Value. Therefore, the Investment Amount adjusted for any withdrawals is calculated as follows:</w:t>
      </w:r>
    </w:p>
    <w:p>
      <w:pPr>
        <w:spacing w:after="0" w:line="5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$50,000 [Investment Amount on the Term Start Date]</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x (1-$20,000 [gross withdrawal amount halfway through the Term]) ÷ $44,791.09 [Interim Value on date of</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withdrawal]</w:t>
      </w:r>
    </w:p>
    <w:p>
      <w:pPr>
        <w:ind w:left="3760"/>
        <w:spacing w:after="0"/>
        <w:rPr>
          <w:sz w:val="20"/>
          <w:szCs w:val="20"/>
          <w:color w:val="auto"/>
        </w:rPr>
      </w:pPr>
      <w:r>
        <w:rPr>
          <w:rFonts w:ascii="Times New Roman" w:cs="Times New Roman" w:eastAsia="Times New Roman" w:hAnsi="Times New Roman"/>
          <w:sz w:val="18"/>
          <w:szCs w:val="18"/>
          <w:color w:val="auto"/>
        </w:rPr>
        <w:t>= $27,674.13</w:t>
      </w:r>
    </w:p>
    <w:p>
      <w:pPr>
        <w:spacing w:after="0" w:line="43" w:lineRule="exact"/>
        <w:rPr>
          <w:sz w:val="20"/>
          <w:szCs w:val="20"/>
          <w:color w:val="auto"/>
        </w:rPr>
      </w:pPr>
    </w:p>
    <w:p>
      <w:pPr>
        <w:ind w:left="480" w:right="659"/>
        <w:spacing w:after="0" w:line="245" w:lineRule="auto"/>
        <w:rPr>
          <w:sz w:val="20"/>
          <w:szCs w:val="20"/>
          <w:color w:val="auto"/>
        </w:rPr>
      </w:pPr>
      <w:r>
        <w:rPr>
          <w:rFonts w:ascii="Times New Roman" w:cs="Times New Roman" w:eastAsia="Times New Roman" w:hAnsi="Times New Roman"/>
          <w:sz w:val="18"/>
          <w:szCs w:val="18"/>
          <w:color w:val="auto"/>
        </w:rPr>
        <w:t>The proportionally reduced Investment Amount is used as the new Investment Amount at Term Start Date for the Term until the Term End Date for this Shield Option (assuming no additional withdrawals).</w:t>
      </w:r>
    </w:p>
    <w:p>
      <w:pPr>
        <w:spacing w:after="0" w:line="36" w:lineRule="exact"/>
        <w:rPr>
          <w:sz w:val="20"/>
          <w:szCs w:val="20"/>
          <w:color w:val="auto"/>
        </w:rPr>
      </w:pPr>
    </w:p>
    <w:p>
      <w:pPr>
        <w:ind w:left="480" w:right="739" w:hanging="368"/>
        <w:spacing w:after="0" w:line="222" w:lineRule="auto"/>
        <w:tabs>
          <w:tab w:leader="none" w:pos="4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Free Withdrawal Amount is the value as of the most recent Contract Anniversary multiplied by the Free Withdrawal Amount Percentage. The Free Withdrawal Amount is calculated as follows: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$50,000 [value as of most recent Contract Anniversary] x 10% [Free Withdrawal Amount percentage] = $5,000</w:t>
      </w:r>
    </w:p>
    <w:p>
      <w:pPr>
        <w:ind w:left="120"/>
        <w:spacing w:after="0" w:line="192" w:lineRule="auto"/>
        <w:rPr>
          <w:sz w:val="20"/>
          <w:szCs w:val="20"/>
          <w:color w:val="auto"/>
        </w:rPr>
      </w:pPr>
      <w:r>
        <w:rPr>
          <w:rFonts w:ascii="Times New Roman" w:cs="Times New Roman" w:eastAsia="Times New Roman" w:hAnsi="Times New Roman"/>
          <w:sz w:val="9"/>
          <w:szCs w:val="9"/>
          <w:color w:val="auto"/>
        </w:rPr>
        <w:t>(5)</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Withdrawal Charge Amount is the gross withdrawal amount minus the Free Withdrawal Amount multiplied by the Withdrawal Charge.</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($20,000 [gross withdrawal amount] – $5,000 [Free Withdrawal Amount]) x 7% [Withdrawal Charge] = $1,050</w:t>
      </w:r>
    </w:p>
    <w:p>
      <w:pPr>
        <w:spacing w:after="0" w:line="63" w:lineRule="exact"/>
        <w:rPr>
          <w:sz w:val="20"/>
          <w:szCs w:val="20"/>
          <w:color w:val="auto"/>
        </w:rPr>
      </w:pPr>
    </w:p>
    <w:p>
      <w:pPr>
        <w:ind w:left="480" w:right="739" w:hanging="368"/>
        <w:spacing w:after="0" w:line="222" w:lineRule="auto"/>
        <w:tabs>
          <w:tab w:leader="none" w:pos="4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 the amount withdrawn minus the Withdrawal Charge. The net amount payable is calculated as follows:</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$20,000 [amount withdrawn] – $1,050 [Withdrawal Charge] = $18,950</w:t>
      </w:r>
    </w:p>
    <w:p>
      <w:pPr>
        <w:ind w:left="120"/>
        <w:spacing w:after="0" w:line="192" w:lineRule="auto"/>
        <w:rPr>
          <w:sz w:val="20"/>
          <w:szCs w:val="20"/>
          <w:color w:val="auto"/>
        </w:rPr>
      </w:pPr>
      <w:r>
        <w:rPr>
          <w:rFonts w:ascii="Times New Roman" w:cs="Times New Roman" w:eastAsia="Times New Roman" w:hAnsi="Times New Roman"/>
          <w:sz w:val="9"/>
          <w:szCs w:val="9"/>
          <w:color w:val="auto"/>
        </w:rPr>
        <w:t>(7)</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Index Performance at the Term End Date is equal to the percentage change in the Index Value measured from the Term Start Date to the Term End Date. Index Performance at the Term End Date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(450 [Index Value at Term End Date] – 500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500 [Index Value at Term Start Date] = –10%</w:t>
      </w:r>
    </w:p>
    <w:p>
      <w:pPr>
        <w:ind w:left="120"/>
        <w:spacing w:after="0" w:line="194" w:lineRule="auto"/>
        <w:rPr>
          <w:sz w:val="20"/>
          <w:szCs w:val="20"/>
          <w:color w:val="auto"/>
        </w:rPr>
      </w:pPr>
      <w:r>
        <w:rPr>
          <w:rFonts w:ascii="Times New Roman" w:cs="Times New Roman" w:eastAsia="Times New Roman" w:hAnsi="Times New Roman"/>
          <w:sz w:val="7"/>
          <w:szCs w:val="7"/>
          <w:color w:val="auto"/>
        </w:rPr>
        <w:t>(8)</w:t>
      </w:r>
    </w:p>
    <w:p>
      <w:pPr>
        <w:jc w:val="both"/>
        <w:ind w:left="480" w:right="739"/>
        <w:spacing w:after="0" w:line="236" w:lineRule="auto"/>
        <w:rPr>
          <w:sz w:val="20"/>
          <w:szCs w:val="20"/>
          <w:color w:val="auto"/>
        </w:rPr>
      </w:pPr>
      <w:r>
        <w:rPr>
          <w:rFonts w:ascii="Times New Roman" w:cs="Times New Roman" w:eastAsia="Times New Roman" w:hAnsi="Times New Roman"/>
          <w:sz w:val="18"/>
          <w:szCs w:val="18"/>
          <w:color w:val="auto"/>
        </w:rPr>
        <w:t>The Performance rate at the Term End Date is 0% because the Index Performance at the Term End Date is – 10% and the Shield 10 absorbs up to 10% of the negative Index Performance.</w:t>
      </w:r>
    </w:p>
    <w:p>
      <w:pPr>
        <w:ind w:left="120"/>
        <w:spacing w:after="0" w:line="195" w:lineRule="auto"/>
        <w:rPr>
          <w:sz w:val="20"/>
          <w:szCs w:val="20"/>
          <w:color w:val="auto"/>
        </w:rPr>
      </w:pPr>
      <w:r>
        <w:rPr>
          <w:rFonts w:ascii="Times New Roman" w:cs="Times New Roman" w:eastAsia="Times New Roman" w:hAnsi="Times New Roman"/>
          <w:sz w:val="7"/>
          <w:szCs w:val="7"/>
          <w:color w:val="auto"/>
        </w:rPr>
        <w:t>(9)</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Performance Rate Adjustment at the Term End Date is equal to the Investment Amount at the Term Start Date adjusted for any withdrawals multiplied by the Performance Rate at the Term End Date. The Performance Rate Adjustment at the Term End Date is calculated as follows:</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$27,674.13 [Investment Amount adjusted for withdrawal] x 0% [Performance Rate at Term End Date] = $0</w:t>
      </w:r>
    </w:p>
    <w:p>
      <w:pPr>
        <w:spacing w:after="0" w:line="63" w:lineRule="exact"/>
        <w:rPr>
          <w:sz w:val="20"/>
          <w:szCs w:val="20"/>
          <w:color w:val="auto"/>
        </w:rPr>
      </w:pPr>
    </w:p>
    <w:p>
      <w:pPr>
        <w:jc w:val="both"/>
        <w:ind w:left="480" w:right="739" w:hanging="368"/>
        <w:spacing w:after="0" w:line="221" w:lineRule="auto"/>
        <w:tabs>
          <w:tab w:leader="none" w:pos="4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Investment Amount at the Term End Date is equal to the Investment Amount adjusted for any withdrawals plus the Performance Rate Adjustment at Term End Date. The Investment Amount at the Term End Date is calculated as follows:</w:t>
      </w:r>
    </w:p>
    <w:p>
      <w:pPr>
        <w:spacing w:after="0" w:line="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$27,674.13 [Investment Amount adjusted for withdrawal]</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 $0 [Performance Rate Adjustment at Term End Date] = $27,674.13</w:t>
      </w:r>
    </w:p>
    <w:p>
      <w:pPr>
        <w:spacing w:after="0" w:line="30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TRANSFERS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without Performance Lock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or Renewals during Transfer Period following Term End Date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If you have not exercised Performance Lock, you may make transfers only during the Transfer Period following the Term End Date. You may transfer all or a portion of the amount in your Shield Option. Subject to the minimum allocation of $500, you may make transfers to or from the Fixed Account, to or from the Shield Option(s), and from the Holding Account. We must receive Notice of your election to transfer, in a form satisfactory to us or by calling us at 1-888-243-1932, no later than five (5) calendar days after the Contract Anniversary on which the transfer will take place. Your financial professional can provide more information or you may contact our Annuity Service Office. You cannot make transfers outside the Transfer Period and transfers may not be made after the Annuity Date. To make a transfer from a Shield Option in which you have an Investment Amount the Shield Option must have reached its Term End Date. The Transfer Period is the five (5) days following the Contract Anniversary coinciding with the Term End Date and Fixed Account Term End Date, as applicable, for the Shield Option(s) and/or the Fixed Account. The effective date of such transfer is the first day of the Fixed Account Term and/or a Term(s) in which the transfer is made.</w:t>
      </w:r>
    </w:p>
    <w:p>
      <w:pPr>
        <w:spacing w:after="0" w:line="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you make a transfer during the Transfer Period, the amount available to transfer is the Interim Value of each Shield Option, which will equal the Investment Amount in that Shield Option at the Term End Date. After the Transfer Period, the Interim Value of that Shield Option is a calculated value (as described in the “Interim Value Calculation” section). Once you exercise Performance Lock, the Performance Lock Value will be used as value of the Shield Option for the remainder of the Term.</w:t>
      </w:r>
    </w:p>
    <w:p>
      <w:pPr>
        <w:sectPr>
          <w:pgSz w:w="11900" w:h="16838" w:orient="portrait"/>
          <w:cols w:equalWidth="0" w:num="1">
            <w:col w:w="9019"/>
          </w:cols>
          <w:pgMar w:left="1440" w:top="1245" w:right="1440" w:bottom="1440" w:gutter="0" w:footer="0" w:header="0"/>
        </w:sect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19"/>
          </w:cols>
          <w:pgMar w:left="1440" w:top="1245" w:right="1440" w:bottom="1440" w:gutter="0" w:footer="0" w:header="0"/>
          <w:type w:val="continuous"/>
        </w:sectPr>
      </w:pPr>
    </w:p>
    <w:bookmarkStart w:id="41" w:name="page42"/>
    <w:bookmarkEnd w:id="41"/>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you do not make a transfer during the Transfer Period following the Term End Date, the Investment Amount allocated to the Shield Option that has reached its Term End Date will automatically be renewed into the same Shield Option unless you elect to transfer into a different Shield Option or the Fixed Account. If the same Shield Option is no longer available at the end of the existing Term, these amounts will automatically transfer into the Fixed Account at the Term End Date, unless otherwise instructed by you during the Transfer Period. The amounts transferred to the Fixed Account must remain in the Fixed Account until the Fixed Account Term End Date (which, currently, will not be less than one (1) year). If the Fixed Account is not available, these amounts will automatically transfer into the Holding Account, unless otherwise instructed by you.</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There are two ways you may find out what the renewal Cap Rates, Step Rates, and Edge Rates will be for a subsequent Term. Thirty (30) days before the current Term expires, we will send you a notification, written or electronic depending on your selected preference, indicating your maturing Shield Options and how you can obtain the new Cap Rates, Step Rates, and Edge Rates. You may also access our website at https://www.brighthousefinancial.com/products/annuities/shield-annuities/shield-rates/ where at least two months of renewal rates for the Rate Crediting Types and the interest rate for the Fixed Account are posted – i.e., for the current month and the following month. See “RATE CREDITING TYPES.” You have the Transfer Period to notify us if you want to transfer some or all of your Investment Amount to a new Shield Option(s) or the Fixed Account.</w:t>
      </w:r>
    </w:p>
    <w:p>
      <w:pPr>
        <w:spacing w:after="0" w:line="78" w:lineRule="exact"/>
        <w:rPr>
          <w:sz w:val="20"/>
          <w:szCs w:val="20"/>
          <w:color w:val="auto"/>
        </w:rPr>
      </w:pPr>
    </w:p>
    <w:p>
      <w:pPr>
        <w:jc w:val="both"/>
        <w:ind w:left="12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Renewals</w:t>
      </w:r>
      <w:r>
        <w:rPr>
          <w:rFonts w:ascii="Times New Roman" w:cs="Times New Roman" w:eastAsia="Times New Roman" w:hAnsi="Times New Roman"/>
          <w:sz w:val="18"/>
          <w:szCs w:val="18"/>
          <w:color w:val="auto"/>
        </w:rPr>
        <w:t>. For renewals into the same Shield Option, a new Cap Rate, Step Rate or Edge Rate,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declared and will go into effect on the Contract Anniversary that coincides with the beginning of the new Shield Option.</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4—Transfers</w:t>
      </w:r>
    </w:p>
    <w:p>
      <w:pPr>
        <w:spacing w:after="0" w:line="121" w:lineRule="exact"/>
        <w:rPr>
          <w:sz w:val="20"/>
          <w:szCs w:val="20"/>
          <w:color w:val="auto"/>
        </w:rPr>
      </w:pPr>
    </w:p>
    <w:p>
      <w:pPr>
        <w:jc w:val="both"/>
        <w:ind w:left="120" w:right="659" w:firstLine="360"/>
        <w:spacing w:after="0" w:line="226" w:lineRule="auto"/>
        <w:rPr>
          <w:sz w:val="20"/>
          <w:szCs w:val="20"/>
          <w:color w:val="auto"/>
        </w:rPr>
      </w:pPr>
      <w:r>
        <w:rPr>
          <w:rFonts w:ascii="Times New Roman" w:cs="Times New Roman" w:eastAsia="Times New Roman" w:hAnsi="Times New Roman"/>
          <w:sz w:val="18"/>
          <w:szCs w:val="18"/>
          <w:color w:val="auto"/>
        </w:rPr>
        <w:t>Example 4 is intended to show how transfers work. Owner 1 allocates her $50,000 Purchase Payment to the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At the end of the 1-Year Term, she transfers 50% of her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into a 1-Year Term / Shield 10 /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12% and opts to let the remaining 50% of her Investment Amount automatically renew.</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Shield Options prior to Transfer:</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642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9"/>
        </w:trPr>
        <w:tc>
          <w:tcPr>
            <w:tcW w:w="6420" w:type="dxa"/>
            <w:vAlign w:val="bottom"/>
            <w:tcBorders>
              <w:left w:val="single" w:sz="8" w:color="auto"/>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Term Start Date</w:t>
            </w:r>
          </w:p>
        </w:tc>
        <w:tc>
          <w:tcPr>
            <w:tcW w:w="184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37"/>
        </w:trPr>
        <w:tc>
          <w:tcPr>
            <w:tcW w:w="642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8"/>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r>
      <w:tr>
        <w:trPr>
          <w:trHeight w:val="237"/>
        </w:trPr>
        <w:tc>
          <w:tcPr>
            <w:tcW w:w="642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End Dat</w:t>
            </w:r>
            <w:r>
              <w:rPr>
                <w:rFonts w:ascii="Times New Roman" w:cs="Times New Roman" w:eastAsia="Times New Roman" w:hAnsi="Times New Roman"/>
                <w:sz w:val="18"/>
                <w:szCs w:val="18"/>
                <w:color w:val="auto"/>
              </w:rPr>
              <w:t>e</w:t>
            </w:r>
          </w:p>
        </w:tc>
        <w:tc>
          <w:tcPr>
            <w:tcW w:w="1840" w:type="dxa"/>
            <w:vAlign w:val="bottom"/>
            <w:tcBorders>
              <w:top w:val="single" w:sz="8" w:color="auto"/>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8"/>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r>
      <w:tr>
        <w:trPr>
          <w:trHeight w:val="277"/>
        </w:trPr>
        <w:tc>
          <w:tcPr>
            <w:tcW w:w="6420" w:type="dxa"/>
            <w:vAlign w:val="bottom"/>
            <w:tcBorders>
              <w:top w:val="single" w:sz="8" w:color="auto"/>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68"/>
        </w:trPr>
        <w:tc>
          <w:tcPr>
            <w:tcW w:w="6420" w:type="dxa"/>
            <w:vAlign w:val="bottom"/>
            <w:tcBorders>
              <w:left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7"/>
        </w:trPr>
        <w:tc>
          <w:tcPr>
            <w:tcW w:w="642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6420" w:type="dxa"/>
            <w:vAlign w:val="bottom"/>
            <w:tcBorders>
              <w:left w:val="single" w:sz="8" w:color="auto"/>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Performance Rate (one year)</w:t>
            </w:r>
            <w:r>
              <w:rPr>
                <w:rFonts w:ascii="Times New Roman" w:cs="Times New Roman" w:eastAsia="Times New Roman" w:hAnsi="Times New Roman"/>
                <w:sz w:val="23"/>
                <w:szCs w:val="23"/>
                <w:color w:val="auto"/>
                <w:vertAlign w:val="superscript"/>
              </w:rPr>
              <w:t>(2)</w:t>
            </w:r>
          </w:p>
        </w:tc>
        <w:tc>
          <w:tcPr>
            <w:tcW w:w="1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6420" w:type="dxa"/>
            <w:vAlign w:val="bottom"/>
            <w:tcBorders>
              <w:left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62"/>
        </w:trPr>
        <w:tc>
          <w:tcPr>
            <w:tcW w:w="6420" w:type="dxa"/>
            <w:vAlign w:val="bottom"/>
            <w:tcBorders>
              <w:left w:val="single" w:sz="8" w:color="auto"/>
              <w:bottom w:val="single" w:sz="8" w:color="auto"/>
              <w:right w:val="single" w:sz="8" w:color="auto"/>
            </w:tcBorders>
            <w:gridSpan w:val="2"/>
            <w:shd w:val="clear" w:color="auto" w:fill="F0FFFF"/>
          </w:tcPr>
          <w:p>
            <w:pPr>
              <w:ind w:left="280"/>
              <w:spacing w:after="0" w:line="262" w:lineRule="exact"/>
              <w:rPr>
                <w:sz w:val="20"/>
                <w:szCs w:val="20"/>
                <w:color w:val="auto"/>
              </w:rPr>
            </w:pP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23"/>
                <w:szCs w:val="23"/>
                <w:color w:val="auto"/>
                <w:vertAlign w:val="superscript"/>
              </w:rPr>
              <w:t>(4)</w:t>
            </w:r>
          </w:p>
        </w:tc>
        <w:tc>
          <w:tcPr>
            <w:tcW w:w="1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$55,000</w:t>
            </w:r>
          </w:p>
        </w:tc>
      </w:tr>
      <w:tr>
        <w:trPr>
          <w:trHeight w:val="191"/>
        </w:trPr>
        <w:tc>
          <w:tcPr>
            <w:tcW w:w="1100" w:type="dxa"/>
            <w:vAlign w:val="bottom"/>
            <w:tcBorders>
              <w:bottom w:val="single" w:sz="8" w:color="auto"/>
            </w:tcBorders>
          </w:tcPr>
          <w:p>
            <w:pPr>
              <w:spacing w:after="0"/>
              <w:rPr>
                <w:sz w:val="16"/>
                <w:szCs w:val="16"/>
                <w:color w:val="auto"/>
              </w:rPr>
            </w:pPr>
          </w:p>
        </w:tc>
        <w:tc>
          <w:tcPr>
            <w:tcW w:w="532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-2331085</wp:posOffset>
            </wp:positionV>
            <wp:extent cx="52292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-1962150</wp:posOffset>
            </wp:positionV>
            <wp:extent cx="522922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-1602105</wp:posOffset>
            </wp:positionV>
            <wp:extent cx="522922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-1242695</wp:posOffset>
            </wp:positionV>
            <wp:extent cx="52292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-873760</wp:posOffset>
            </wp:positionV>
            <wp:extent cx="5229225"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-504825</wp:posOffset>
            </wp:positionV>
            <wp:extent cx="52292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29225" cy="18859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right="1159"/>
        <w:spacing w:after="0" w:line="263" w:lineRule="auto"/>
        <w:rPr>
          <w:sz w:val="20"/>
          <w:szCs w:val="20"/>
          <w:color w:val="auto"/>
        </w:rPr>
      </w:pPr>
      <w:r>
        <w:rPr>
          <w:rFonts w:ascii="Times New Roman" w:cs="Times New Roman" w:eastAsia="Times New Roman" w:hAnsi="Times New Roman"/>
          <w:sz w:val="18"/>
          <w:szCs w:val="18"/>
          <w:b w:val="1"/>
          <w:bCs w:val="1"/>
          <w:color w:val="auto"/>
        </w:rPr>
        <w:t>The following notes to the table above provide important calculations showing how certain values are determined.</w:t>
      </w:r>
    </w:p>
    <w:p>
      <w:pPr>
        <w:spacing w:after="0" w:line="36" w:lineRule="exact"/>
        <w:rPr>
          <w:sz w:val="20"/>
          <w:szCs w:val="20"/>
          <w:color w:val="auto"/>
        </w:rPr>
      </w:pPr>
    </w:p>
    <w:p>
      <w:pPr>
        <w:ind w:left="480" w:right="739" w:hanging="368"/>
        <w:spacing w:after="0" w:line="222" w:lineRule="auto"/>
        <w:tabs>
          <w:tab w:leader="none" w:pos="4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Term End Date.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(1,200 [Index Value at Term End Date] – 1,000 [Index Value at Term Start Date])</w:t>
      </w:r>
    </w:p>
    <w:p>
      <w:pPr>
        <w:spacing w:after="0" w:line="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1,000 [Index Value at Term Start Date]) = 20%</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right="999"/>
        <w:spacing w:after="0" w:line="233" w:lineRule="auto"/>
        <w:rPr>
          <w:sz w:val="20"/>
          <w:szCs w:val="20"/>
          <w:color w:val="auto"/>
        </w:rPr>
      </w:pPr>
      <w:r>
        <w:rPr>
          <w:rFonts w:ascii="Times New Roman" w:cs="Times New Roman" w:eastAsia="Times New Roman" w:hAnsi="Times New Roman"/>
          <w:sz w:val="18"/>
          <w:szCs w:val="18"/>
          <w:color w:val="auto"/>
        </w:rPr>
        <w:t>Since Index Performance is greater than zero and exceeds the Cap Rate, the Performance Rate equals the Cap Rate.</w:t>
      </w:r>
    </w:p>
    <w:p>
      <w:pPr>
        <w:spacing w:after="0" w:line="37" w:lineRule="exact"/>
        <w:rPr>
          <w:sz w:val="20"/>
          <w:szCs w:val="20"/>
          <w:color w:val="auto"/>
        </w:rPr>
      </w:pPr>
    </w:p>
    <w:p>
      <w:pPr>
        <w:jc w:val="both"/>
        <w:ind w:left="480" w:right="739" w:hanging="368"/>
        <w:spacing w:after="0" w:line="226" w:lineRule="auto"/>
        <w:tabs>
          <w:tab w:leader="none" w:pos="48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Rate Adjustment is equal to the product of the Investment Amount at the Term Start Date adjusted for any withdrawals (there are no withdrawals in the example) multiplied by the Performance Rate. The Performance Rate Adjustment is calculated as follows:</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$50,000 [Investment Amount at Term Start Date] x 10% [Performance Rate] = $5,000</w:t>
      </w:r>
    </w:p>
    <w:p>
      <w:pPr>
        <w:sectPr>
          <w:pgSz w:w="11900" w:h="16838" w:orient="portrait"/>
          <w:cols w:equalWidth="0" w:num="1">
            <w:col w:w="9019"/>
          </w:cols>
          <w:pgMar w:left="1440" w:top="1377" w:right="1440" w:bottom="1136" w:gutter="0" w:footer="0" w:header="0"/>
        </w:sectPr>
      </w:pPr>
    </w:p>
    <w:p>
      <w:pPr>
        <w:spacing w:after="0" w:line="29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1377" w:right="1440" w:bottom="1136" w:gutter="0" w:footer="0" w:header="0"/>
          <w:type w:val="continuous"/>
        </w:sectPr>
      </w:pPr>
    </w:p>
    <w:bookmarkStart w:id="42" w:name="page43"/>
    <w:bookmarkEnd w:id="42"/>
    <w:p>
      <w:pPr>
        <w:ind w:left="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(4)</w:t>
      </w:r>
    </w:p>
    <w:p>
      <w:pPr>
        <w:ind w:left="480"/>
        <w:spacing w:after="0" w:line="234" w:lineRule="auto"/>
        <w:rPr>
          <w:sz w:val="20"/>
          <w:szCs w:val="20"/>
          <w:color w:val="auto"/>
        </w:rPr>
      </w:pPr>
      <w:r>
        <w:rPr>
          <w:rFonts w:ascii="Times New Roman" w:cs="Times New Roman" w:eastAsia="Times New Roman" w:hAnsi="Times New Roman"/>
          <w:sz w:val="18"/>
          <w:szCs w:val="18"/>
          <w:color w:val="auto"/>
        </w:rPr>
        <w:t>The Investment Amount at Term End Date is equal to the Investment Amount at Term Start Date adjusted</w:t>
      </w:r>
    </w:p>
    <w:p>
      <w:pPr>
        <w:spacing w:after="0" w:line="1" w:lineRule="exact"/>
        <w:rPr>
          <w:sz w:val="20"/>
          <w:szCs w:val="20"/>
          <w:color w:val="auto"/>
        </w:rPr>
      </w:pP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for any withdrawals (there are no withdrawals in the example) plus the Performance Rate Adjustment. The Investment Amount is calculated as follows: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$50,000 [Investment Amount at Term Start Date] + $5,000 [Performance Rate Adjustment] = $55,000</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Shield Options after Transfer:</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3020" w:type="dxa"/>
            <w:vAlign w:val="bottom"/>
            <w:tcBorders>
              <w:top w:val="single" w:sz="8" w:color="auto"/>
              <w:left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Contract Year</w:t>
            </w:r>
          </w:p>
        </w:tc>
        <w:tc>
          <w:tcPr>
            <w:tcW w:w="2840" w:type="dxa"/>
            <w:vAlign w:val="bottom"/>
            <w:tcBorders>
              <w:top w:val="single" w:sz="8" w:color="auto"/>
            </w:tcBorders>
          </w:tcPr>
          <w:p>
            <w:pPr>
              <w:spacing w:after="0"/>
              <w:rPr>
                <w:sz w:val="24"/>
                <w:szCs w:val="24"/>
                <w:color w:val="auto"/>
              </w:rPr>
            </w:pPr>
          </w:p>
        </w:tc>
        <w:tc>
          <w:tcPr>
            <w:tcW w:w="2880" w:type="dxa"/>
            <w:vAlign w:val="bottom"/>
            <w:tcBorders>
              <w:top w:val="single" w:sz="8" w:color="auto"/>
              <w:right w:val="single" w:sz="8" w:color="auto"/>
            </w:tcBorders>
          </w:tcPr>
          <w:p>
            <w:pPr>
              <w:jc w:val="right"/>
              <w:ind w:right="2738"/>
              <w:spacing w:after="0"/>
              <w:rPr>
                <w:sz w:val="20"/>
                <w:szCs w:val="20"/>
                <w:color w:val="auto"/>
              </w:rPr>
            </w:pPr>
            <w:r>
              <w:rPr>
                <w:rFonts w:ascii="Times New Roman" w:cs="Times New Roman" w:eastAsia="Times New Roman" w:hAnsi="Times New Roman"/>
                <w:sz w:val="11"/>
                <w:szCs w:val="11"/>
                <w:b w:val="1"/>
                <w:bCs w:val="1"/>
                <w:color w:val="auto"/>
                <w:w w:val="71"/>
              </w:rPr>
              <w:t>2</w:t>
            </w:r>
          </w:p>
        </w:tc>
      </w:tr>
      <w:tr>
        <w:trPr>
          <w:trHeight w:val="23"/>
        </w:trPr>
        <w:tc>
          <w:tcPr>
            <w:tcW w:w="1100" w:type="dxa"/>
            <w:vAlign w:val="bottom"/>
            <w:tcBorders>
              <w:left w:val="single" w:sz="8" w:color="auto"/>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8"/>
        </w:trPr>
        <w:tc>
          <w:tcPr>
            <w:tcW w:w="1100" w:type="dxa"/>
            <w:vAlign w:val="bottom"/>
            <w:tcBorders>
              <w:left w:val="single" w:sz="8" w:color="auto"/>
            </w:tcBorders>
            <w:shd w:val="clear" w:color="auto" w:fill="F0FFFF"/>
          </w:tcPr>
          <w:p>
            <w:pPr>
              <w:spacing w:after="0"/>
              <w:rPr>
                <w:sz w:val="19"/>
                <w:szCs w:val="19"/>
                <w:color w:val="auto"/>
              </w:rPr>
            </w:pPr>
          </w:p>
        </w:tc>
        <w:tc>
          <w:tcPr>
            <w:tcW w:w="1920" w:type="dxa"/>
            <w:vAlign w:val="bottom"/>
            <w:tcBorders>
              <w:right w:val="single" w:sz="8" w:color="auto"/>
            </w:tcBorders>
            <w:shd w:val="clear" w:color="auto" w:fill="F0FFFF"/>
          </w:tcPr>
          <w:p>
            <w:pPr>
              <w:spacing w:after="0"/>
              <w:rPr>
                <w:sz w:val="19"/>
                <w:szCs w:val="19"/>
                <w:color w:val="auto"/>
              </w:rPr>
            </w:pPr>
          </w:p>
        </w:tc>
        <w:tc>
          <w:tcPr>
            <w:tcW w:w="2840" w:type="dxa"/>
            <w:vAlign w:val="bottom"/>
            <w:tcBorders>
              <w:right w:val="single" w:sz="8" w:color="auto"/>
            </w:tcBorders>
            <w:shd w:val="clear" w:color="auto" w:fill="F0FFFF"/>
          </w:tcPr>
          <w:p>
            <w:pPr>
              <w:jc w:val="center"/>
              <w:spacing w:after="0" w:line="229" w:lineRule="exact"/>
              <w:rPr>
                <w:sz w:val="20"/>
                <w:szCs w:val="20"/>
                <w:color w:val="auto"/>
              </w:rPr>
            </w:pPr>
            <w:r>
              <w:rPr>
                <w:rFonts w:ascii="Times New Roman" w:cs="Times New Roman" w:eastAsia="Times New Roman" w:hAnsi="Times New Roman"/>
                <w:sz w:val="18"/>
                <w:szCs w:val="18"/>
                <w:color w:val="auto"/>
                <w:w w:val="98"/>
              </w:rPr>
              <w:t>1-Year Term / Shield 10 / S&amp;P 500</w:t>
            </w:r>
            <w:r>
              <w:rPr>
                <w:rFonts w:ascii="Times New Roman" w:cs="Times New Roman" w:eastAsia="Times New Roman" w:hAnsi="Times New Roman"/>
                <w:sz w:val="23"/>
                <w:szCs w:val="23"/>
                <w:color w:val="auto"/>
                <w:w w:val="98"/>
                <w:vertAlign w:val="superscript"/>
              </w:rPr>
              <w:t>®</w:t>
            </w:r>
          </w:p>
        </w:tc>
        <w:tc>
          <w:tcPr>
            <w:tcW w:w="28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1-Year Term / Shield 10 / Russell</w:t>
            </w:r>
          </w:p>
        </w:tc>
      </w:tr>
      <w:tr>
        <w:trPr>
          <w:trHeight w:val="313"/>
        </w:trPr>
        <w:tc>
          <w:tcPr>
            <w:tcW w:w="1100" w:type="dxa"/>
            <w:vAlign w:val="bottom"/>
            <w:tcBorders>
              <w:left w:val="single" w:sz="8" w:color="auto"/>
              <w:bottom w:val="single" w:sz="8" w:color="auto"/>
            </w:tcBorders>
            <w:shd w:val="clear" w:color="auto" w:fill="F0FFFF"/>
          </w:tcPr>
          <w:p>
            <w:pPr>
              <w:spacing w:after="0"/>
              <w:rPr>
                <w:sz w:val="24"/>
                <w:szCs w:val="24"/>
                <w:color w:val="auto"/>
              </w:rPr>
            </w:pPr>
          </w:p>
        </w:tc>
        <w:tc>
          <w:tcPr>
            <w:tcW w:w="1920" w:type="dxa"/>
            <w:vAlign w:val="bottom"/>
            <w:tcBorders>
              <w:bottom w:val="single" w:sz="8" w:color="auto"/>
              <w:right w:val="single" w:sz="8" w:color="auto"/>
            </w:tcBorders>
            <w:shd w:val="clear" w:color="auto" w:fill="F0FFFF"/>
          </w:tcPr>
          <w:p>
            <w:pPr>
              <w:spacing w:after="0"/>
              <w:rPr>
                <w:sz w:val="24"/>
                <w:szCs w:val="24"/>
                <w:color w:val="auto"/>
              </w:rPr>
            </w:pPr>
          </w:p>
        </w:tc>
        <w:tc>
          <w:tcPr>
            <w:tcW w:w="284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Index with a Cap Rate of 10%</w:t>
            </w:r>
          </w:p>
        </w:tc>
        <w:tc>
          <w:tcPr>
            <w:tcW w:w="288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2000</w:t>
            </w:r>
            <w:r>
              <w:rPr>
                <w:rFonts w:ascii="Times New Roman" w:cs="Times New Roman" w:eastAsia="Times New Roman" w:hAnsi="Times New Roman"/>
                <w:sz w:val="23"/>
                <w:szCs w:val="23"/>
                <w:color w:val="auto"/>
                <w:w w:val="99"/>
                <w:vertAlign w:val="superscript"/>
              </w:rPr>
              <w:t>®</w:t>
            </w:r>
            <w:r>
              <w:rPr>
                <w:rFonts w:ascii="Times New Roman" w:cs="Times New Roman" w:eastAsia="Times New Roman" w:hAnsi="Times New Roman"/>
                <w:sz w:val="18"/>
                <w:szCs w:val="18"/>
                <w:color w:val="auto"/>
                <w:w w:val="99"/>
              </w:rPr>
              <w:t xml:space="preserve"> Index with a Cap Rate of 12%</w:t>
            </w:r>
          </w:p>
        </w:tc>
      </w:tr>
      <w:tr>
        <w:trPr>
          <w:trHeight w:val="207"/>
        </w:trPr>
        <w:tc>
          <w:tcPr>
            <w:tcW w:w="302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 Amount at Term Start Date</w:t>
            </w:r>
          </w:p>
        </w:tc>
        <w:tc>
          <w:tcPr>
            <w:tcW w:w="28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r>
      <w:tr>
        <w:trPr>
          <w:trHeight w:val="302"/>
        </w:trPr>
        <w:tc>
          <w:tcPr>
            <w:tcW w:w="302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(second term)</w:t>
            </w:r>
            <w:r>
              <w:rPr>
                <w:rFonts w:ascii="Times New Roman" w:cs="Times New Roman" w:eastAsia="Times New Roman" w:hAnsi="Times New Roman"/>
                <w:sz w:val="23"/>
                <w:szCs w:val="23"/>
                <w:color w:val="auto"/>
                <w:vertAlign w:val="superscript"/>
              </w:rPr>
              <w:t>(1)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$27,500</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$27,500</w:t>
            </w:r>
          </w:p>
        </w:tc>
      </w:tr>
      <w:tr>
        <w:trPr>
          <w:trHeight w:val="193"/>
        </w:trPr>
        <w:tc>
          <w:tcPr>
            <w:tcW w:w="1100" w:type="dxa"/>
            <w:vAlign w:val="bottom"/>
            <w:tcBorders>
              <w:bottom w:val="single" w:sz="8" w:color="9A9A9A"/>
            </w:tcBorders>
          </w:tcPr>
          <w:p>
            <w:pPr>
              <w:spacing w:after="0"/>
              <w:rPr>
                <w:sz w:val="16"/>
                <w:szCs w:val="16"/>
                <w:color w:val="auto"/>
              </w:rPr>
            </w:pPr>
          </w:p>
        </w:tc>
        <w:tc>
          <w:tcPr>
            <w:tcW w:w="19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-1019810</wp:posOffset>
            </wp:positionV>
            <wp:extent cx="553783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3783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-471170</wp:posOffset>
            </wp:positionV>
            <wp:extent cx="5537835" cy="3257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37835" cy="3257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table above.</w:t>
      </w:r>
    </w:p>
    <w:p>
      <w:pPr>
        <w:ind w:left="120"/>
        <w:spacing w:after="0" w:line="190" w:lineRule="auto"/>
        <w:rPr>
          <w:sz w:val="20"/>
          <w:szCs w:val="20"/>
          <w:color w:val="auto"/>
        </w:rPr>
      </w:pPr>
      <w:r>
        <w:rPr>
          <w:rFonts w:ascii="Times New Roman" w:cs="Times New Roman" w:eastAsia="Times New Roman" w:hAnsi="Times New Roman"/>
          <w:sz w:val="11"/>
          <w:szCs w:val="11"/>
          <w:color w:val="auto"/>
        </w:rPr>
        <w:t>(1)</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Investment Amount at Term End Date is reallocated so that 50% is renewed in the same Shield Option and 50% is allocated to a new Shield Option.</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with Performance Lock</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or Renewals at Term End Date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You may remain in your current Shield Option until the Term End Date and either (i) transfer all or a portion of the Performance Lock Value to a new Shield Option or to the Fixed Account (if available) or (ii) renew into the same Shield Option (if available) for a new Term. We must receive Notice of your election to transfer in a form satisfactory to us or by calling the Annuity Service Office at (888) 243-1932 no later than five (5) calendar days after the Contract Anniversary on which the transfer will take place. Your financial professional can provide more information, or you may contact our Annuity Service Office. If you decide to transfer the Performance Lock Value to a new Shield Option, the Index Value on the Term Start Date of your new Shield Option will be the then-current Index Value for that option. For renewals into the same Shield Option, a new Cap Rate, Step Rate, or Edge Rate will be declared and will go into effect on the Contract Anniversary that coincides with the beginning of the new Term in the Shield Option that just ended.</w:t>
      </w:r>
    </w:p>
    <w:p>
      <w:pPr>
        <w:spacing w:after="0" w:line="10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do not notify us to transfer to a new Shield Option or to the Fixed Account, the Performance Lock Value will automatically be renewed into the same Shield Option. If the same Shield Option is no longer available at the Term End Date, the Performance Lock Value will automatically transfer into the Fixed Account at the Term End Date, unless you instruct us otherwise. The amounts transferred to the Fixed Account must remain in the Fixed Account until the Fixed Account Term End Date (which, currently, will not be less than one (1) year). If the Fixed Account is not available, the Performance Lock Value will automatically transfer into the Holding Account, unless you instruct us otherwise.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on a Contract Anniversary before the Term End Date</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After exercising Performance Lock, you may elect to transfer the Performance Lock Value to a new Shield Option or to the Fixed Account (if available) on any Contract Anniversary that is not a Term End Date. We must receive Notice of your election to transfer prior to or on any Contract Anniversary prior to the Term End Date. Notice of election to transfer under such circumstances must be received at our Annuity Service Office using one of the methods of communication identified in “REQUESTS AND ELECTIONS.” A transfer of the Performance Lock Value will only occur on a Contract Anniversary and you may only transfer the entire amount of the Performance Lock Value to a new Shield Option or to the Fixed Account (if available). On the Term End Date, you have the Transfer Period to transfer all or a portion of your Performance Lock Value.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Performance Lock with a New Shield Option</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Whether you choose to transfer or renew the Performance Lock Value to a new Shield Option at the Term End Date or transfer the Performance Lock Value to a new Shield Option prior to the Term End Date (or if your Performance Lock Value is automatically renewed or transferred), you will have the ability to elect the Performance Lock on that new Shield Option.</w:t>
      </w:r>
    </w:p>
    <w:p>
      <w:pPr>
        <w:spacing w:after="0" w:line="28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PERFORMANCE LOCK</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With Performance Lock, once during each Term you may elect to lock the Interim Value by providing Notice of election to the Annuity Service Office, using one of the methods identified in “REQUESTS AND ELECTIONS.” You may want to consult with your financial professional before exercising Performance Lock.</w:t>
      </w:r>
    </w:p>
    <w:p>
      <w:pPr>
        <w:sectPr>
          <w:pgSz w:w="11900" w:h="16838" w:orient="portrait"/>
          <w:cols w:equalWidth="0" w:num="1">
            <w:col w:w="9019"/>
          </w:cols>
          <w:pgMar w:left="1440" w:top="1245" w:right="1440" w:bottom="947"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1245" w:right="1440" w:bottom="947" w:gutter="0" w:footer="0" w:header="0"/>
          <w:type w:val="continuous"/>
        </w:sectPr>
      </w:pPr>
    </w:p>
    <w:bookmarkStart w:id="43" w:name="page44"/>
    <w:bookmarkEnd w:id="43"/>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Performance Lock may be requested on any Business Day prior to the Term End Date. We use the Interim Value calculated at the end of the current Business Day on which you exercise Performance Lock to determine your Performance Lock Value. This means you will not be able to determine in advance your Performance Lock Value, and it may be higher or lower than it was at the point in time you requested the Performance Lock. You may obtain your Interim Value on any Business Day by calling us at (888) 243-1932 or by accessing our website at www.brighthousefinancial.com.</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we receive your Notice of election on a day that is not a Business Day, or after 4 PM Eastern Standard Time on a Business Day, the Notice of election will be deemed to have been received on the next Business Day. If multiple Notices of election are submitted during a Business Day, the last Notice received prior to 4 PM Eastern Standard Time or the close of the NYSE, whichever is earlier will be utilized. If the Performance Lock takes effect, subsequent Notices of election will be disregarded.</w:t>
      </w:r>
    </w:p>
    <w:p>
      <w:pPr>
        <w:spacing w:after="0" w:line="75"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Once Performance Lock is exercised for a Shield Option, it is irrevocable for the remainder of that Term. The Performance Lock Value will be used as the value of that Shield Option for the remainder of the Term. This means, you will no longer participate in the Index Performance for the current Term and you may receive less than the full Cap Rate, Step Rate, or Edge Rate, or less than the full protection of the Shield Rate, than you would have received if you waited for us to apply the Performance Rate Adjustment on the Term End Date.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Only one Performance Lock can occur for any given Shield Option during a Term. The Performance Lock cannot be applied retroactively and must be for the full amount of the Interim Value at the end of the Business Day that we receive your request. Performance Lock requests for any amount other than the Interim Value are not permitted.</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Once a Shield Option is locked, the Performance Lock Value will not change for the rest of the Term, except that the Performance Lock Value will reflect any subsequent withdrawals that occur during the remainder of the Term. Withdrawals will reduce the Performance Lock Value by the dollar amount of the withdrawal.</w:t>
      </w:r>
    </w:p>
    <w:p>
      <w:pPr>
        <w:spacing w:after="0" w:line="68"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Upon executing Performance Lock, the Performance Lock Value will remain in the Shield Option and you have the option of (1) transferring the entire Performance Lock Value to any available Shield Option or to the Fixed Account on any Contract Anniversary occurring prior to the Term End Date or (2) remaining in your current Shield Option until the Term End Date and either (i) transfer all or a portion of the Performance Lock Value to a new Shield Option or to the Fixed Account (if available) or (ii) renew into the same Shield Option (if available) for a new Term. See “Transfers” above for additional information.</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limit the use of the Performance Lock feature for certain Shield Options. Additionally, we may discontinue the use of this feature for future Performance Lock requests at any time.</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currently offer Performance Lock with all Shield Options.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 5—Calculating your Performance Lock Value</w:t>
      </w:r>
    </w:p>
    <w:p>
      <w:pPr>
        <w:spacing w:after="0" w:line="121" w:lineRule="exact"/>
        <w:rPr>
          <w:sz w:val="20"/>
          <w:szCs w:val="20"/>
          <w:color w:val="auto"/>
        </w:rPr>
      </w:pPr>
    </w:p>
    <w:p>
      <w:pPr>
        <w:jc w:val="both"/>
        <w:ind w:left="120" w:right="639" w:firstLine="360"/>
        <w:spacing w:after="0" w:line="246" w:lineRule="auto"/>
        <w:rPr>
          <w:sz w:val="20"/>
          <w:szCs w:val="20"/>
          <w:color w:val="auto"/>
        </w:rPr>
      </w:pPr>
      <w:r>
        <w:rPr>
          <w:rFonts w:ascii="Times New Roman" w:cs="Times New Roman" w:eastAsia="Times New Roman" w:hAnsi="Times New Roman"/>
          <w:sz w:val="18"/>
          <w:szCs w:val="18"/>
          <w:color w:val="auto"/>
        </w:rPr>
        <w:t>Examples 5A and 5B are intended to show how Performance Lock works. The examples assume a $100,000 Purchase Payment allocation to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 Example 5A illustrates Performance Lock by locking in the Interim Value on the Business Day you request to exercise Performance Lock, which in this example occurs halfway in the 1-Year Term. Example 5B illustrates Performance Lock by calculating the remaining Performance Lock Value after a subsequent $50,000 withdrawal (including Withdrawal Charges) is taken halfway through the 1-Year Term.</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019"/>
          </w:cols>
          <w:pgMar w:left="1440" w:top="1377" w:right="1440" w:bottom="1440" w:gutter="0" w:footer="0" w:header="0"/>
          <w:type w:val="continuous"/>
        </w:sectPr>
      </w:pPr>
    </w:p>
    <w:bookmarkStart w:id="44" w:name="page45"/>
    <w:bookmarkEnd w:id="44"/>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5A—Locking in an Interim Value (no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255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50180" cy="255841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6"/>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$98,904.80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$8,124.74</w:t>
            </w:r>
          </w:p>
        </w:tc>
        <w:tc>
          <w:tcPr>
            <w:tcW w:w="20" w:type="dxa"/>
            <w:vAlign w:val="bottom"/>
          </w:tcPr>
          <w:p>
            <w:pPr>
              <w:spacing w:after="0"/>
              <w:rPr>
                <w:sz w:val="22"/>
                <w:szCs w:val="22"/>
                <w:color w:val="auto"/>
              </w:rPr>
            </w:pPr>
          </w:p>
        </w:tc>
      </w:tr>
      <w:tr>
        <w:trPr>
          <w:trHeight w:val="277"/>
        </w:trPr>
        <w:tc>
          <w:tcPr>
            <w:tcW w:w="642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w:t>
            </w:r>
            <w:r>
              <w:rPr>
                <w:rFonts w:ascii="Times New Roman" w:cs="Times New Roman" w:eastAsia="Times New Roman" w:hAnsi="Times New Roman"/>
                <w:sz w:val="23"/>
                <w:szCs w:val="23"/>
                <w:color w:val="auto"/>
                <w:vertAlign w:val="superscript"/>
              </w:rPr>
              <w:t>(2)</w:t>
            </w: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$107,029.53</w:t>
            </w:r>
          </w:p>
        </w:tc>
        <w:tc>
          <w:tcPr>
            <w:tcW w:w="20" w:type="dxa"/>
            <w:vAlign w:val="bottom"/>
            <w:tcBorders>
              <w:top w:val="single" w:sz="8" w:color="auto"/>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shd w:val="clear" w:color="auto" w:fill="F0FFFF"/>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Performance Lock Value</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$107,029.53</w:t>
            </w:r>
          </w:p>
        </w:tc>
        <w:tc>
          <w:tcPr>
            <w:tcW w:w="20" w:type="dxa"/>
            <w:vAlign w:val="bottom"/>
            <w:tcBorders>
              <w:bottom w:val="single" w:sz="8" w:color="auto"/>
            </w:tcBorders>
          </w:tcPr>
          <w:p>
            <w:pPr>
              <w:spacing w:after="0"/>
              <w:rPr>
                <w:sz w:val="22"/>
                <w:szCs w:val="22"/>
                <w:color w:val="auto"/>
              </w:rPr>
            </w:pPr>
          </w:p>
        </w:tc>
      </w:tr>
      <w:tr>
        <w:trPr>
          <w:trHeight w:val="193"/>
        </w:trPr>
        <w:tc>
          <w:tcPr>
            <w:tcW w:w="1100" w:type="dxa"/>
            <w:vAlign w:val="bottom"/>
            <w:tcBorders>
              <w:bottom w:val="single" w:sz="8" w:color="auto"/>
            </w:tcBorders>
          </w:tcPr>
          <w:p>
            <w:pPr>
              <w:spacing w:after="0"/>
              <w:rPr>
                <w:sz w:val="16"/>
                <w:szCs w:val="16"/>
                <w:color w:val="auto"/>
              </w:rPr>
            </w:pPr>
          </w:p>
        </w:tc>
        <w:tc>
          <w:tcPr>
            <w:tcW w:w="5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following notes to the table above provide important calculations showing how certain values are determined.</w:t>
      </w:r>
    </w:p>
    <w:p>
      <w:pPr>
        <w:ind w:left="120"/>
        <w:spacing w:after="0" w:line="180" w:lineRule="auto"/>
        <w:rPr>
          <w:sz w:val="20"/>
          <w:szCs w:val="20"/>
          <w:color w:val="auto"/>
        </w:rPr>
      </w:pPr>
      <w:r>
        <w:rPr>
          <w:rFonts w:ascii="Times New Roman" w:cs="Times New Roman" w:eastAsia="Times New Roman" w:hAnsi="Times New Roman"/>
          <w:sz w:val="11"/>
          <w:szCs w:val="11"/>
          <w:color w:val="auto"/>
        </w:rPr>
        <w:t>(1)</w:t>
      </w:r>
    </w:p>
    <w:p>
      <w:pPr>
        <w:jc w:val="both"/>
        <w:ind w:left="480" w:right="739"/>
        <w:spacing w:after="0" w:line="23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51" w:lineRule="exact"/>
        <w:rPr>
          <w:sz w:val="20"/>
          <w:szCs w:val="20"/>
          <w:color w:val="auto"/>
        </w:rPr>
      </w:pPr>
    </w:p>
    <w:p>
      <w:pPr>
        <w:jc w:val="center"/>
        <w:ind w:left="120" w:right="719"/>
        <w:spacing w:after="0" w:line="247" w:lineRule="auto"/>
        <w:rPr>
          <w:sz w:val="20"/>
          <w:szCs w:val="20"/>
          <w:color w:val="auto"/>
        </w:rPr>
      </w:pPr>
      <w:r>
        <w:rPr>
          <w:rFonts w:ascii="Times New Roman" w:cs="Times New Roman" w:eastAsia="Times New Roman" w:hAnsi="Times New Roman"/>
          <w:sz w:val="18"/>
          <w:szCs w:val="18"/>
          <w:color w:val="auto"/>
        </w:rPr>
        <w:t>(1,200 [Index Value on date of the Interim Value calculation] – 1,000 [Index Value at Term Start Date]) ÷ 1,000 [Index Value at Term Start Date] = 20%</w:t>
      </w:r>
    </w:p>
    <w:p>
      <w:pPr>
        <w:ind w:left="120"/>
        <w:spacing w:after="0" w:line="198" w:lineRule="auto"/>
        <w:rPr>
          <w:sz w:val="20"/>
          <w:szCs w:val="20"/>
          <w:color w:val="auto"/>
        </w:rPr>
      </w:pPr>
      <w:r>
        <w:rPr>
          <w:rFonts w:ascii="Times New Roman" w:cs="Times New Roman" w:eastAsia="Times New Roman" w:hAnsi="Times New Roman"/>
          <w:sz w:val="7"/>
          <w:szCs w:val="7"/>
          <w:color w:val="auto"/>
        </w:rPr>
        <w:t>(2)</w:t>
      </w:r>
    </w:p>
    <w:p>
      <w:pPr>
        <w:ind w:left="480"/>
        <w:spacing w:after="0" w:line="234" w:lineRule="auto"/>
        <w:rPr>
          <w:sz w:val="20"/>
          <w:szCs w:val="20"/>
          <w:color w:val="auto"/>
        </w:rPr>
      </w:pPr>
      <w:r>
        <w:rPr>
          <w:rFonts w:ascii="Times New Roman" w:cs="Times New Roman" w:eastAsia="Times New Roman" w:hAnsi="Times New Roman"/>
          <w:sz w:val="18"/>
          <w:szCs w:val="18"/>
          <w:color w:val="auto"/>
        </w:rPr>
        <w:t>The Interim Value is equal to the sum of the market value of the Fixed Income Asset Proxy and the</w:t>
      </w:r>
    </w:p>
    <w:p>
      <w:pPr>
        <w:spacing w:after="0" w:line="1" w:lineRule="exact"/>
        <w:rPr>
          <w:sz w:val="20"/>
          <w:szCs w:val="20"/>
          <w:color w:val="auto"/>
        </w:rPr>
      </w:pP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Derivative Asset Proxy. This is the amount in the Shield Option selected that would be available if you annuitize, die, make a withdrawal or Surrender your Contract on that date. The Interim Value is calculated as follows:</w:t>
      </w:r>
    </w:p>
    <w:p>
      <w:pPr>
        <w:spacing w:after="0" w:line="50" w:lineRule="exact"/>
        <w:rPr>
          <w:sz w:val="20"/>
          <w:szCs w:val="20"/>
          <w:color w:val="auto"/>
        </w:rPr>
      </w:pPr>
    </w:p>
    <w:p>
      <w:pPr>
        <w:jc w:val="center"/>
        <w:ind w:left="120" w:right="699"/>
        <w:spacing w:after="0" w:line="247" w:lineRule="auto"/>
        <w:rPr>
          <w:sz w:val="20"/>
          <w:szCs w:val="20"/>
          <w:color w:val="auto"/>
        </w:rPr>
      </w:pPr>
      <w:r>
        <w:rPr>
          <w:rFonts w:ascii="Times New Roman" w:cs="Times New Roman" w:eastAsia="Times New Roman" w:hAnsi="Times New Roman"/>
          <w:sz w:val="18"/>
          <w:szCs w:val="18"/>
          <w:color w:val="auto"/>
        </w:rPr>
        <w:t>$98,904.80 [Market value of Fixed Income Asset Proxy] + $8,124.74 [Market value of Derivative Asset Proxy] = $107,029.53</w:t>
      </w:r>
    </w:p>
    <w:p>
      <w:pPr>
        <w:ind w:left="120"/>
        <w:spacing w:after="0" w:line="198" w:lineRule="auto"/>
        <w:rPr>
          <w:sz w:val="20"/>
          <w:szCs w:val="20"/>
          <w:color w:val="auto"/>
        </w:rPr>
      </w:pPr>
      <w:r>
        <w:rPr>
          <w:rFonts w:ascii="Times New Roman" w:cs="Times New Roman" w:eastAsia="Times New Roman" w:hAnsi="Times New Roman"/>
          <w:sz w:val="7"/>
          <w:szCs w:val="7"/>
          <w:color w:val="auto"/>
        </w:rPr>
        <w:t>(3)</w:t>
      </w:r>
    </w:p>
    <w:p>
      <w:pPr>
        <w:jc w:val="both"/>
        <w:ind w:left="480" w:right="739"/>
        <w:spacing w:after="0"/>
        <w:rPr>
          <w:sz w:val="20"/>
          <w:szCs w:val="20"/>
          <w:color w:val="auto"/>
        </w:rPr>
      </w:pPr>
      <w:r>
        <w:rPr>
          <w:rFonts w:ascii="Times New Roman" w:cs="Times New Roman" w:eastAsia="Times New Roman" w:hAnsi="Times New Roman"/>
          <w:sz w:val="17"/>
          <w:szCs w:val="17"/>
          <w:color w:val="auto"/>
        </w:rPr>
        <w:t>The Performance Lock Value is equal to the Interim Value of the Shield Option(s) at the end of the Business Day that you exercise Performance Lock, reduced by the dollar amount of any subsequent withdrawals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(including any applicable Withdrawal Charge).</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019"/>
          </w:cols>
          <w:pgMar w:left="1440" w:top="1377" w:right="1440" w:bottom="1440" w:gutter="0" w:footer="0" w:header="0"/>
          <w:type w:val="continuous"/>
        </w:sectPr>
      </w:pPr>
    </w:p>
    <w:bookmarkStart w:id="45" w:name="page46"/>
    <w:bookmarkEnd w:id="45"/>
    <w:p>
      <w:pPr>
        <w:ind w:left="1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Example 5B—Performance Lock Value After Withdrawal (including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49530</wp:posOffset>
            </wp:positionV>
            <wp:extent cx="5250180" cy="3484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50180" cy="3484245"/>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Term Start Date</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6420" w:type="dxa"/>
            <w:vAlign w:val="bottom"/>
            <w:tcBorders>
              <w:top w:val="single" w:sz="8" w:color="auto"/>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Investment Amount</w:t>
            </w:r>
          </w:p>
        </w:tc>
        <w:tc>
          <w:tcPr>
            <w:tcW w:w="1820" w:type="dxa"/>
            <w:vAlign w:val="bottom"/>
            <w:tcBorders>
              <w:top w:val="single" w:sz="8" w:color="auto"/>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Borders>
              <w:top w:val="single" w:sz="8" w:color="auto"/>
            </w:tcBorders>
          </w:tcPr>
          <w:p>
            <w:pPr>
              <w:spacing w:after="0"/>
              <w:rPr>
                <w:sz w:val="24"/>
                <w:szCs w:val="24"/>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Shield Rate</w:t>
            </w:r>
          </w:p>
        </w:tc>
        <w:tc>
          <w:tcPr>
            <w:tcW w:w="18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Shield 10</w:t>
            </w: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F0FFFF"/>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b w:val="1"/>
                <w:bCs w:val="1"/>
                <w:color w:val="auto"/>
              </w:rPr>
              <w:t>Interim Value Calculation Halfway Through Term</w:t>
            </w:r>
          </w:p>
        </w:tc>
        <w:tc>
          <w:tcPr>
            <w:tcW w:w="182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Index Value</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Index Performance</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Rate on calculation date</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Market value of Fixed Income Asset Proxy</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$98,904.80</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F0FFFF"/>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Market value of Derivative Asset Proxy</w:t>
            </w:r>
          </w:p>
        </w:tc>
        <w:tc>
          <w:tcPr>
            <w:tcW w:w="182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$8,124.74</w:t>
            </w:r>
          </w:p>
        </w:tc>
        <w:tc>
          <w:tcPr>
            <w:tcW w:w="20" w:type="dxa"/>
            <w:vAlign w:val="bottom"/>
          </w:tcPr>
          <w:p>
            <w:pPr>
              <w:spacing w:after="0"/>
              <w:rPr>
                <w:sz w:val="22"/>
                <w:szCs w:val="22"/>
                <w:color w:val="auto"/>
              </w:rPr>
            </w:pPr>
          </w:p>
        </w:tc>
      </w:tr>
      <w:tr>
        <w:trPr>
          <w:trHeight w:val="237"/>
        </w:trPr>
        <w:tc>
          <w:tcPr>
            <w:tcW w:w="6420" w:type="dxa"/>
            <w:vAlign w:val="bottom"/>
            <w:tcBorders>
              <w:top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Time Remaining in Shield Option (in months)</w:t>
            </w: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Borders>
              <w:top w:val="single" w:sz="8" w:color="auto"/>
            </w:tcBorders>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Interim Value of Shield Option on day you exercise Performance Lock</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$107,029.53</w:t>
            </w:r>
          </w:p>
        </w:tc>
        <w:tc>
          <w:tcPr>
            <w:tcW w:w="20" w:type="dxa"/>
            <w:vAlign w:val="bottom"/>
            <w:tcBorders>
              <w:bottom w:val="single" w:sz="8" w:color="auto"/>
            </w:tcBorders>
          </w:tcPr>
          <w:p>
            <w:pPr>
              <w:spacing w:after="0"/>
              <w:rPr>
                <w:sz w:val="24"/>
                <w:szCs w:val="24"/>
                <w:color w:val="auto"/>
              </w:rPr>
            </w:pPr>
          </w:p>
        </w:tc>
      </w:tr>
      <w:tr>
        <w:trPr>
          <w:trHeight w:val="237"/>
        </w:trPr>
        <w:tc>
          <w:tcPr>
            <w:tcW w:w="64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Gross Withdrawal Amount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Free Withdrawal Amount</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Withdrawal Charge Amount</w:t>
            </w:r>
            <w:r>
              <w:rPr>
                <w:rFonts w:ascii="Times New Roman" w:cs="Times New Roman" w:eastAsia="Times New Roman" w:hAnsi="Times New Roman"/>
                <w:sz w:val="23"/>
                <w:szCs w:val="23"/>
                <w:color w:val="auto"/>
                <w:vertAlign w:val="superscript"/>
              </w:rPr>
              <w:t>(4)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tcBorders>
              <w:bottom w:val="single" w:sz="8" w:color="auto"/>
            </w:tcBorders>
          </w:tcPr>
          <w:p>
            <w:pPr>
              <w:spacing w:after="0"/>
              <w:rPr>
                <w:sz w:val="24"/>
                <w:szCs w:val="24"/>
                <w:color w:val="auto"/>
              </w:rPr>
            </w:pPr>
          </w:p>
        </w:tc>
      </w:tr>
      <w:tr>
        <w:trPr>
          <w:trHeight w:val="277"/>
        </w:trPr>
        <w:tc>
          <w:tcPr>
            <w:tcW w:w="6420" w:type="dxa"/>
            <w:vAlign w:val="bottom"/>
            <w:tcBorders>
              <w:bottom w:val="single" w:sz="8" w:color="auto"/>
              <w:right w:val="single" w:sz="8" w:color="auto"/>
            </w:tcBorders>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Net Proceeds from Withdrawal paid to Contract Owner</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$47,200</w:t>
            </w:r>
          </w:p>
        </w:tc>
        <w:tc>
          <w:tcPr>
            <w:tcW w:w="20" w:type="dxa"/>
            <w:vAlign w:val="bottom"/>
            <w:tcBorders>
              <w:bottom w:val="single" w:sz="8" w:color="auto"/>
            </w:tcBorders>
          </w:tcPr>
          <w:p>
            <w:pPr>
              <w:spacing w:after="0"/>
              <w:rPr>
                <w:sz w:val="24"/>
                <w:szCs w:val="24"/>
                <w:color w:val="auto"/>
              </w:rPr>
            </w:pPr>
          </w:p>
        </w:tc>
      </w:tr>
      <w:tr>
        <w:trPr>
          <w:trHeight w:val="260"/>
        </w:trPr>
        <w:tc>
          <w:tcPr>
            <w:tcW w:w="6420" w:type="dxa"/>
            <w:vAlign w:val="bottom"/>
            <w:tcBorders>
              <w:bottom w:val="single" w:sz="8" w:color="auto"/>
              <w:right w:val="single" w:sz="8" w:color="auto"/>
            </w:tcBorders>
            <w:gridSpan w:val="2"/>
          </w:tcPr>
          <w:p>
            <w:pPr>
              <w:ind w:left="280"/>
              <w:spacing w:after="0" w:line="261" w:lineRule="exact"/>
              <w:rPr>
                <w:sz w:val="20"/>
                <w:szCs w:val="20"/>
                <w:color w:val="auto"/>
              </w:rPr>
            </w:pPr>
            <w:r>
              <w:rPr>
                <w:rFonts w:ascii="Times New Roman" w:cs="Times New Roman" w:eastAsia="Times New Roman" w:hAnsi="Times New Roman"/>
                <w:sz w:val="18"/>
                <w:szCs w:val="18"/>
                <w:b w:val="1"/>
                <w:bCs w:val="1"/>
                <w:color w:val="auto"/>
              </w:rPr>
              <w:t>Performance Lock Value after Withdrawal</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$57,029.53</w:t>
            </w:r>
          </w:p>
        </w:tc>
        <w:tc>
          <w:tcPr>
            <w:tcW w:w="20" w:type="dxa"/>
            <w:vAlign w:val="bottom"/>
            <w:tcBorders>
              <w:bottom w:val="single" w:sz="8" w:color="auto"/>
            </w:tcBorders>
          </w:tcPr>
          <w:p>
            <w:pPr>
              <w:spacing w:after="0"/>
              <w:rPr>
                <w:sz w:val="22"/>
                <w:szCs w:val="22"/>
                <w:color w:val="auto"/>
              </w:rPr>
            </w:pPr>
          </w:p>
        </w:tc>
      </w:tr>
      <w:tr>
        <w:trPr>
          <w:trHeight w:val="206"/>
        </w:trPr>
        <w:tc>
          <w:tcPr>
            <w:tcW w:w="1100" w:type="dxa"/>
            <w:vAlign w:val="bottom"/>
            <w:tcBorders>
              <w:bottom w:val="single" w:sz="8" w:color="auto"/>
            </w:tcBorders>
          </w:tcPr>
          <w:p>
            <w:pPr>
              <w:spacing w:after="0"/>
              <w:rPr>
                <w:sz w:val="17"/>
                <w:szCs w:val="17"/>
                <w:color w:val="auto"/>
              </w:rPr>
            </w:pPr>
          </w:p>
        </w:tc>
        <w:tc>
          <w:tcPr>
            <w:tcW w:w="5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following notes to the table above provide important calculations showing how certain values are determined.</w:t>
      </w:r>
    </w:p>
    <w:p>
      <w:pPr>
        <w:ind w:left="120"/>
        <w:spacing w:after="0" w:line="208" w:lineRule="auto"/>
        <w:rPr>
          <w:sz w:val="20"/>
          <w:szCs w:val="20"/>
          <w:color w:val="auto"/>
        </w:rPr>
      </w:pPr>
      <w:r>
        <w:rPr>
          <w:rFonts w:ascii="Times New Roman" w:cs="Times New Roman" w:eastAsia="Times New Roman" w:hAnsi="Times New Roman"/>
          <w:sz w:val="9"/>
          <w:szCs w:val="9"/>
          <w:color w:val="auto"/>
        </w:rPr>
        <w:t>(1)</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Interim Value calculation. Index Performance is calculated as follows:</w:t>
      </w:r>
    </w:p>
    <w:p>
      <w:pPr>
        <w:spacing w:after="0" w:line="47" w:lineRule="exact"/>
        <w:rPr>
          <w:sz w:val="20"/>
          <w:szCs w:val="20"/>
          <w:color w:val="auto"/>
        </w:rPr>
      </w:pPr>
    </w:p>
    <w:p>
      <w:pPr>
        <w:jc w:val="center"/>
        <w:ind w:left="112" w:right="691"/>
        <w:spacing w:after="0" w:line="253" w:lineRule="auto"/>
        <w:rPr>
          <w:sz w:val="20"/>
          <w:szCs w:val="20"/>
          <w:color w:val="auto"/>
        </w:rPr>
      </w:pPr>
      <w:r>
        <w:rPr>
          <w:rFonts w:ascii="Times New Roman" w:cs="Times New Roman" w:eastAsia="Times New Roman" w:hAnsi="Times New Roman"/>
          <w:sz w:val="18"/>
          <w:szCs w:val="18"/>
          <w:color w:val="auto"/>
        </w:rPr>
        <w:t>(1,200 [Index Value on the date of the Interim Value calculation] – 1,000 [Index Value at Term Start Date]) ÷ 1,000 [Index Value at Term Start Date] = 20%</w:t>
      </w:r>
    </w:p>
    <w:p>
      <w:pPr>
        <w:ind w:left="120"/>
        <w:spacing w:after="0" w:line="181" w:lineRule="auto"/>
        <w:rPr>
          <w:sz w:val="20"/>
          <w:szCs w:val="20"/>
          <w:color w:val="auto"/>
        </w:rPr>
      </w:pPr>
      <w:r>
        <w:rPr>
          <w:rFonts w:ascii="Times New Roman" w:cs="Times New Roman" w:eastAsia="Times New Roman" w:hAnsi="Times New Roman"/>
          <w:sz w:val="8"/>
          <w:szCs w:val="8"/>
          <w:color w:val="auto"/>
        </w:rPr>
        <w:t>(2)</w:t>
      </w:r>
    </w:p>
    <w:p>
      <w:pPr>
        <w:ind w:left="480" w:right="739"/>
        <w:spacing w:after="0" w:line="226" w:lineRule="auto"/>
        <w:rPr>
          <w:sz w:val="20"/>
          <w:szCs w:val="20"/>
          <w:color w:val="auto"/>
        </w:rPr>
      </w:pPr>
      <w:r>
        <w:rPr>
          <w:rFonts w:ascii="Times New Roman" w:cs="Times New Roman" w:eastAsia="Times New Roman" w:hAnsi="Times New Roman"/>
          <w:sz w:val="18"/>
          <w:szCs w:val="18"/>
          <w:color w:val="auto"/>
        </w:rPr>
        <w:t>The Interim Value is equal to the sum of the market value of the Fixed Income Asset Proxy and the Derivative Asset Proxy. This is the amount in the Shield Option selected that would be available if you</w:t>
      </w:r>
    </w:p>
    <w:p>
      <w:pPr>
        <w:spacing w:after="0" w:line="2" w:lineRule="exact"/>
        <w:rPr>
          <w:sz w:val="20"/>
          <w:szCs w:val="20"/>
          <w:color w:val="auto"/>
        </w:rPr>
      </w:pP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annuitize, die, make a withdrawal or Surrender your Contract on that date. The Interim Value is calculated as follows:</w:t>
      </w:r>
    </w:p>
    <w:p>
      <w:pPr>
        <w:spacing w:after="0" w:line="47" w:lineRule="exact"/>
        <w:rPr>
          <w:sz w:val="20"/>
          <w:szCs w:val="20"/>
          <w:color w:val="auto"/>
        </w:rPr>
      </w:pPr>
    </w:p>
    <w:p>
      <w:pPr>
        <w:jc w:val="center"/>
        <w:ind w:left="112" w:right="691"/>
        <w:spacing w:after="0" w:line="253" w:lineRule="auto"/>
        <w:rPr>
          <w:sz w:val="20"/>
          <w:szCs w:val="20"/>
          <w:color w:val="auto"/>
        </w:rPr>
      </w:pPr>
      <w:r>
        <w:rPr>
          <w:rFonts w:ascii="Times New Roman" w:cs="Times New Roman" w:eastAsia="Times New Roman" w:hAnsi="Times New Roman"/>
          <w:sz w:val="18"/>
          <w:szCs w:val="18"/>
          <w:color w:val="auto"/>
        </w:rPr>
        <w:t>$98,904.80 [Market value of Fixed Income Asset Proxy] + $8,124.74 [Market value of Derivative Asset Proxy] = $107,029.53</w:t>
      </w:r>
    </w:p>
    <w:p>
      <w:pPr>
        <w:ind w:left="120"/>
        <w:spacing w:after="0" w:line="181" w:lineRule="auto"/>
        <w:rPr>
          <w:sz w:val="20"/>
          <w:szCs w:val="20"/>
          <w:color w:val="auto"/>
        </w:rPr>
      </w:pPr>
      <w:r>
        <w:rPr>
          <w:rFonts w:ascii="Times New Roman" w:cs="Times New Roman" w:eastAsia="Times New Roman" w:hAnsi="Times New Roman"/>
          <w:sz w:val="8"/>
          <w:szCs w:val="8"/>
          <w:color w:val="auto"/>
        </w:rPr>
        <w:t>(3)</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Free Withdrawal Amount is the value as of the most recent Contract Anniversary multiplied by the Free Withdrawal Amount Percentage. The Free Withdrawal Amount is amount is calculated as follows: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$100,000 [value as of most recent Contract Anniversary] x 10% [Free Withdrawal Amount Percentage] = $10,000</w:t>
      </w:r>
    </w:p>
    <w:p>
      <w:pPr>
        <w:ind w:left="120"/>
        <w:spacing w:after="0" w:line="183" w:lineRule="auto"/>
        <w:rPr>
          <w:sz w:val="20"/>
          <w:szCs w:val="20"/>
          <w:color w:val="auto"/>
        </w:rPr>
      </w:pPr>
      <w:r>
        <w:rPr>
          <w:rFonts w:ascii="Times New Roman" w:cs="Times New Roman" w:eastAsia="Times New Roman" w:hAnsi="Times New Roman"/>
          <w:sz w:val="11"/>
          <w:szCs w:val="11"/>
          <w:color w:val="auto"/>
        </w:rPr>
        <w:t>(4)</w:t>
      </w:r>
    </w:p>
    <w:p>
      <w:pPr>
        <w:ind w:left="480" w:right="739"/>
        <w:spacing w:after="0" w:line="233" w:lineRule="auto"/>
        <w:rPr>
          <w:sz w:val="20"/>
          <w:szCs w:val="20"/>
          <w:color w:val="auto"/>
        </w:rPr>
      </w:pPr>
      <w:r>
        <w:rPr>
          <w:rFonts w:ascii="Times New Roman" w:cs="Times New Roman" w:eastAsia="Times New Roman" w:hAnsi="Times New Roman"/>
          <w:sz w:val="18"/>
          <w:szCs w:val="18"/>
          <w:color w:val="auto"/>
        </w:rPr>
        <w:t>The Withdrawal Charge Amount is the gross withdrawal amount minus the Free Withdrawal Amount multiplied by the Withdrawal Charge.</w:t>
      </w:r>
    </w:p>
    <w:p>
      <w:pPr>
        <w:spacing w:after="0" w:line="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($50,000 [gross withdrawal amount] – $10,000 [Free Withdrawal Amount]) x 7% [Withdrawal Charge] = $2,800</w:t>
      </w:r>
    </w:p>
    <w:p>
      <w:pPr>
        <w:spacing w:after="0" w:line="33" w:lineRule="exact"/>
        <w:rPr>
          <w:sz w:val="20"/>
          <w:szCs w:val="20"/>
          <w:color w:val="auto"/>
        </w:rPr>
      </w:pPr>
    </w:p>
    <w:p>
      <w:pPr>
        <w:ind w:left="480" w:hanging="368"/>
        <w:spacing w:after="0"/>
        <w:tabs>
          <w:tab w:leader="none" w:pos="4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net amount payable to the Contract Owner is equal to:</w:t>
      </w:r>
    </w:p>
    <w:p>
      <w:pPr>
        <w:spacing w:after="0" w:line="4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$50,000 [the amount withdrawn] – $2,800 [Withdrawal Charges] = $47,200</w:t>
      </w:r>
    </w:p>
    <w:p>
      <w:pPr>
        <w:ind w:left="120"/>
        <w:spacing w:after="0" w:line="192" w:lineRule="auto"/>
        <w:rPr>
          <w:sz w:val="20"/>
          <w:szCs w:val="20"/>
          <w:color w:val="auto"/>
        </w:rPr>
      </w:pPr>
      <w:r>
        <w:rPr>
          <w:rFonts w:ascii="Times New Roman" w:cs="Times New Roman" w:eastAsia="Times New Roman" w:hAnsi="Times New Roman"/>
          <w:sz w:val="9"/>
          <w:szCs w:val="9"/>
          <w:color w:val="auto"/>
        </w:rPr>
        <w:t>(6)</w:t>
      </w:r>
    </w:p>
    <w:p>
      <w:pPr>
        <w:ind w:left="480" w:right="739"/>
        <w:spacing w:after="0" w:line="243" w:lineRule="auto"/>
        <w:rPr>
          <w:sz w:val="20"/>
          <w:szCs w:val="20"/>
          <w:color w:val="auto"/>
        </w:rPr>
      </w:pPr>
      <w:r>
        <w:rPr>
          <w:rFonts w:ascii="Times New Roman" w:cs="Times New Roman" w:eastAsia="Times New Roman" w:hAnsi="Times New Roman"/>
          <w:sz w:val="18"/>
          <w:szCs w:val="18"/>
          <w:color w:val="auto"/>
        </w:rPr>
        <w:t>The Performance Lock Value is equal to the Interim Value of the Shield Option(s) at the end of the Business Day that you exercise Performance Lock, reduced by the dollar amount of the withdrawal.</w:t>
      </w:r>
    </w:p>
    <w:p>
      <w:pPr>
        <w:spacing w:after="0" w:line="4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$107,029.53 [Performance Lock Value before Withdrawal] – $50,000 [Gross Withdrawal Amount]</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$57,029.53 [Performance Lock Value after Withdrawal]</w:t>
      </w:r>
    </w:p>
    <w:p>
      <w:pPr>
        <w:spacing w:after="0" w:line="30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die during the Accumulation Period, we will pay a death benefit to your Beneficiary (or Beneficiaries).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standard death benefit for your Contract is described below.</w:t>
      </w:r>
    </w:p>
    <w:p>
      <w:pPr>
        <w:sectPr>
          <w:pgSz w:w="11900" w:h="16838" w:orient="portrait"/>
          <w:cols w:equalWidth="0" w:num="1">
            <w:col w:w="9019"/>
          </w:cols>
          <w:pgMar w:left="1440" w:top="1377" w:right="1440" w:bottom="1440" w:gutter="0" w:footer="0" w:header="0"/>
        </w:sectPr>
      </w:pPr>
    </w:p>
    <w:p>
      <w:pPr>
        <w:spacing w:after="0" w:line="28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019"/>
          </w:cols>
          <w:pgMar w:left="1440" w:top="1377" w:right="1440" w:bottom="1440" w:gutter="0" w:footer="0" w:header="0"/>
          <w:type w:val="continuous"/>
        </w:sectPr>
      </w:pPr>
    </w:p>
    <w:bookmarkStart w:id="46" w:name="page47"/>
    <w:bookmarkEnd w:id="46"/>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Please check your Contract and riders for the specific provisions applicable to you. We will require both due proof of death and an acceptable election for the payment method before any death benefit is paid. Our obligations are subject to all payments made and actions taken by us before our receipt of Notice of due proof of death. Any death benefit will be paid in accordance with New York law or regulations governing death benefit payments. (See “General Death Benefit Provisions” below.)</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Standard Death Benefit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are age 81 or older at the Issue Date of your Contract, the standard death benefit is the Account Value.</w:t>
      </w:r>
    </w:p>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If you are age 80 or younger at the Issue Date of your Contract, the standard death benefit will be the Return of Premium death benefit which is the greater of:</w:t>
      </w:r>
    </w:p>
    <w:p>
      <w:pPr>
        <w:spacing w:after="0" w:line="94" w:lineRule="exact"/>
        <w:rPr>
          <w:sz w:val="20"/>
          <w:szCs w:val="20"/>
          <w:color w:val="auto"/>
        </w:rPr>
      </w:pPr>
    </w:p>
    <w:p>
      <w:pPr>
        <w:ind w:left="1180" w:hanging="708"/>
        <w:spacing w:after="0"/>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Account Value; or</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Purchase Payment, reduced proportionally by the percentage reduction in Account Value of the Shield Option(s), the Fixed Account, and the Holding Account for each partial withdrawal (including any applicable Withdrawal Charge).</w:t>
      </w:r>
    </w:p>
    <w:p>
      <w:pPr>
        <w:spacing w:after="0" w:line="8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a non-natural person owns the Contract, then the Annuitant will be deemed to be the Owner for purposes of determining the Death Benefit Amount. If Joint Owners are named, the age of the oldest Joint Owner will be used to determine the Death Benefit.</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the Owner is a natural person and the Owner is changed to someone other than a spouse, the Death Benefit Amount will be determined as defined above; however, for the Return of Premium death benefit, subsection (2) will be changed to provide as follows: “the Account Value as of the effective date of the change of Owner, reduced proportionally by the percentage reduction in Account Value of the Shield Option(s), the Fixed Account, and the Holding Account for each partial withdrawal (including any applicable Withdrawal Charge) made after such date.”</w:t>
      </w:r>
    </w:p>
    <w:p>
      <w:pPr>
        <w:spacing w:after="0" w:line="93"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a Beneficiary who is the spouse of the Owner elects to continue the Contract in his or her name after the Owner dies, the Death Benefit Amount for the Return of Premium death benefit, will be determined in accordance with (1) or (2) above.</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Death Benefit Amount cannot be withdrawn as a lump sum prior to the death of the Owner (or Annuitant where the Owner is a non-natural person).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current Death Benefit Amount will appear on any reports that are sent to you.</w:t>
      </w:r>
    </w:p>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death benefit terminates (a) upon termination of the Contract; (b) when the entire Account Value is applied to an Annuity Option; or (c) when the Account Value is reduced to zero.</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Appendix C for examples of the Return of Premium death benefit.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Death Benefit Provisions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the Beneficiary under a Qualified Contract is the Annuitant’s spouse, the tax law generally allows distributions to begin by the year in which the Annuitant would have been required to begin taking distributions (which may be more or less than ten years after the Annuitant’s death). (See “FEDERAL TAX CONSIDERATIONS” for a discussion of the tax law requirements applicable to distributions from Qualified Contracts).</w:t>
      </w:r>
    </w:p>
    <w:p>
      <w:pPr>
        <w:spacing w:after="0" w:line="7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Death Benefit Amount is determined as of the end of the Business Day on which we receive both due proof of death and an acceptable election for the payment method. Where there are multiple Beneficiaries, the death benefit will be determined as of the time the first Beneficiary submits the necessary documentation in Good Order. The Death Benefit Amount remains in the Contract until each of the other Beneficiaries submits the necessary documentation in Good Order to claim his/her death benefit. Any Death Benefit Amounts held in the Contract on behalf of the remaining Beneficiaries will remain in the existing Shield Options and/or the Fixed Account and are subject to fluctuation in value. This risk is borne by the Beneficiaries. There is no additional death benefit guarantee.</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the Return of Premium death benefit, if the Beneficiary chooses to continue the Contract, any excess of the Death Benefit Amount over the Account Value will be allocated to the Fixed Account. If the Fixed Account is not available, any excess amount of the Death Benefit Amount over the Account Value will be allocated into the Holding Account, unless otherwise instructed by the Beneficiary.</w:t>
      </w:r>
    </w:p>
    <w:p>
      <w:pPr>
        <w:spacing w:after="0" w:line="72"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Upon the death of either Owner, the surviving Joint Owner will be the primary Beneficiary. Any other Beneficiary designation will be treated as a contingent Beneficiary, unless instructed otherwise.</w:t>
      </w:r>
    </w:p>
    <w:p>
      <w:pPr>
        <w:sectPr>
          <w:pgSz w:w="11900" w:h="16838" w:orient="portrait"/>
          <w:cols w:equalWidth="0" w:num="1">
            <w:col w:w="9019"/>
          </w:cols>
          <w:pgMar w:left="1440" w:top="1377" w:right="1440" w:bottom="1440"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019"/>
          </w:cols>
          <w:pgMar w:left="1440" w:top="1377" w:right="1440" w:bottom="1440" w:gutter="0" w:footer="0" w:header="0"/>
          <w:type w:val="continuous"/>
        </w:sectPr>
      </w:pPr>
    </w:p>
    <w:bookmarkStart w:id="47" w:name="page48"/>
    <w:bookmarkEnd w:id="47"/>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we are presented with Notice of your death before any requested transaction is completed, we will cancel the request. As described above, the death benefit will be determined when we receive both due proof of death and an election for the payment method.</w:t>
      </w:r>
    </w:p>
    <w:p>
      <w:pPr>
        <w:spacing w:after="0" w:line="8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pay interest on any delayed death benefit payments from the date of death. Interest will be paid in accordance with the laws and regulations in effect in the state of New York.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Payout</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You may elect to have the death benefit proceeds paid to your Beneficiary in the form of Annuity Payments for life or over a period of time that does not exceed your Beneficiary’s life expectancy, subject to applicable tax law requirements. This election must be in writing in a form acceptable to us. You may revoke the election only in writing and only in a form acceptable to us. Upon your death, the Beneficiary cannot revoke or modify your election. The Controlled Payout is only available to Non-Qualified Contracts.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Owner During the Accumulation Period</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death benefit will be paid to your Beneficiary(ies) upon your death, or the first death of a Joint Owner. If the Contract is owned by a non-natural person, the Annuitant will be deemed the Owner in determining the death benefit. If there are Joint Owners, the age of the older Owner will be used to determine the death benefit.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Annuitant During the Accumulation Period</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Upon the death of an Annuitant, who is not the Owner or Joint Owner, the Owner (or Oldest Joint Owner) automatically becomes the Annuitant, unless the Owner chooses a new Annuitant, subject to the maximum specified age in effect at the time of the request. If the Owner is a non-natural person, the death of the Annuitant will be treated as the death of an Owner, and a new Annuitant may not be named. (See “Death of Owner During the Accumulation Period” above).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 Options</w:t>
      </w:r>
    </w:p>
    <w:p>
      <w:pPr>
        <w:spacing w:after="0" w:line="13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the event an Owner (or the Annuitant, where the Owner is not an individual) dies during the Accumulation Period, a Beneficiary must choose payment of the death benefit under one of the options below (unless the Owner has previously made the election or due to the requirements of the Code). The death benefit options available under the Contract include the following and any other options acceptable to you and us:</w:t>
      </w:r>
    </w:p>
    <w:p>
      <w:pPr>
        <w:spacing w:after="0" w:line="112" w:lineRule="exact"/>
        <w:rPr>
          <w:sz w:val="20"/>
          <w:szCs w:val="20"/>
          <w:color w:val="auto"/>
        </w:rPr>
      </w:pPr>
    </w:p>
    <w:p>
      <w:pPr>
        <w:ind w:left="1180" w:hanging="708"/>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1—lump sum payment in cash; or</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55" w:lineRule="auto"/>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2—payment of death benefit under an Annuity Option or other periodic payment option acceptable to us (if permitted by the Code) in substantially equal periodic payments (made at least annually) over the lifetime of the Beneficiary or over a period not extending beyond the life expectancy of the Beneficiary with distribution beginning within one (1) year of the date of death of the Owner or the first Joint Owner to die. Any portion of the death benefit not applied within one (1) year of the date of the Owner’s or Joint Owner’s death must be distributed within five (5) years of the date of death.</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Non-Qualified Contracts, payment must begin within one year of the date of death. For Qualified Contracts, payment must begin no later than the end of the calendar year immediately following the year of death.</w:t>
      </w:r>
    </w:p>
    <w:p>
      <w:pPr>
        <w:spacing w:after="0" w:line="5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may also offer a payment option, for both Non-Qualified Contracts and certain Qualified Contracts, under which your Beneficiary may receive payments, over a period not extending beyond his or her life expectancy, under a method of distribution similar to the distribution of RMDs that are taken as withdrawals from Individual Retirement Accounts. Such payment option may be limited to certain categories of beneficiaries. If this option is elected, we will issue a new contract to your Beneficiary in order to facilitate the distribution of payments. Upon the death of your Beneficiary, the death benefit would be required to be distributed in accordance with applicable tax law requirements. In some cases, this will require that the proceeds be distributed more rapidly than the method of distribution in effect at the time of your Beneficiary’s death. (See “FEDERAL TAX CONSIDERATIONS.”)</w:t>
      </w:r>
    </w:p>
    <w:p>
      <w:pPr>
        <w:spacing w:after="0" w:line="80"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If a lump sum payment is elected and all the necessary requirements are met, the payment will be made within seven (7) days.</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All options must comply with applicable federal income tax rules. The tax rules are complex and differ for Non-Qualified Contracts and Qualified Contracts. As a general matter, the entire death benefit must be paid within five (5) years (or in some cases 10 years for Qualified Contracts) of the Owner’s date of death unless an exception applies. You should consult your tax adviser about the tax rules applicable to your situation.</w:t>
      </w:r>
    </w:p>
    <w:p>
      <w:pPr>
        <w:sectPr>
          <w:pgSz w:w="11900" w:h="16838" w:orient="portrait"/>
          <w:cols w:equalWidth="0" w:num="1">
            <w:col w:w="9019"/>
          </w:cols>
          <w:pgMar w:left="1440" w:top="1377" w:right="1440" w:bottom="144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9019"/>
          </w:cols>
          <w:pgMar w:left="1440" w:top="1377" w:right="1440" w:bottom="1440" w:gutter="0" w:footer="0" w:header="0"/>
          <w:type w:val="continuous"/>
        </w:sectPr>
      </w:pPr>
    </w:p>
    <w:bookmarkStart w:id="48" w:name="page49"/>
    <w:bookmarkEnd w:id="48"/>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Beneficiary Continuation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two types of Beneficiary Continuation Options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Accumulation Period: the Spousal Continuation and Non-Spousal Beneficiary Continuation Options described below. We must receive Notice of the election of one of these Beneficiary Continuation Options by the end of the 90th day after we receive Notice of due proof of death. If the surviving spouse qualifies for Spousal Continuation and has not chosen one of the death benefit options above by the end of the 90 day period, the Spousal Continuation Option will be automatically applied on the 90th day. If a Non-Spousal Beneficiary qualifies for Non-Spousal Beneficiary Continuation and has not chosen one of the death benefit options above by the end of the 90 day period, the Non-Spousal Beneficiary Continuation Option will be automatically applied on the 90th day.</w:t>
      </w:r>
    </w:p>
    <w:p>
      <w:pPr>
        <w:spacing w:after="0" w:line="9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Spousal Continuation.  </w:t>
      </w:r>
      <w:r>
        <w:rPr>
          <w:rFonts w:ascii="Times New Roman" w:cs="Times New Roman" w:eastAsia="Times New Roman" w:hAnsi="Times New Roman"/>
          <w:sz w:val="18"/>
          <w:szCs w:val="18"/>
          <w:color w:val="auto"/>
        </w:rPr>
        <w:t>If the Owner dies during the Accumulation Period, the spouse may choose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the Contract in his or her own name, to the extent permitted by law, and exercise all of the Owner’s rights under the Contract. Upon such election the Account Value will be adjusted to an amount equal to the Death Benefit Amount determined upon such election and receipt of due proof of death of the Owner. Any excess of the Death Benefit Amount over the Account Value will be allocated to the Fixed Account. If the Fixed Account is not available, any excess amount of the Death Benefit Amount over the Account Value will be allocated into the Holding Account, unless otherwise elected by the spouse.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Spousal continuation will not satisfy minimum required distribution rules for Qualified Contracts other than IRAs. (see “FEDERAL TAX CONSIDERATIONS.”)</w:t>
      </w:r>
    </w:p>
    <w:p>
      <w:pPr>
        <w:spacing w:after="0" w:line="63"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Non-Spousal Beneficiary Continuation.  </w:t>
      </w:r>
      <w:r>
        <w:rPr>
          <w:rFonts w:ascii="Times New Roman" w:cs="Times New Roman" w:eastAsia="Times New Roman" w:hAnsi="Times New Roman"/>
          <w:sz w:val="18"/>
          <w:szCs w:val="18"/>
          <w:color w:val="auto"/>
        </w:rPr>
        <w:t>A Beneficiary who is not a spouse generally can choose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a Non-Qualified Contract until the fifth anniversary of the Owner’s death, and a Qualified Contract generally until the tenth anniversary of the Owner’s death. The Contract can be continued by a Beneficiary only if his or her share of the death benefit is at least equal to the Minimum Account Value. If the Beneficiary continues the Contract under this provision his or her share will not be paid. It will instead be continued in the Contract on the date we determine the Death Benefit Amount. Such Beneficiary will have the right to make partial and full withdrawals of his/her share of the Contract, not subject to Withdrawal Charges. Such Beneficiary will also have the right to make transfers at the Term End Date or the Fixed Account Term End Date.</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During the continuation period the Beneficiary can choose to receive his/her share of the Contract in a single lump sum payment or, to the extent permitted by the Code, apply it to an Annuity Option or other option acceptable to us that must be payable for the life of the Beneficiary or for a term no longer than the life expectancy of the Beneficiary starting within one (1) year after the death of the Owner.</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On the fifth anniversary of the death of a Non-Qualified Contract Owner, (or generally the tenth anniversary of the death of a Qualified Contract Owner), any Beneficiary will be paid his/her share of the Account Value that has not been applied to an Annuity Option or other settlement option permissible under the Code, in a single lump sum payment and the Contract will terminate.</w:t>
      </w:r>
    </w:p>
    <w:p>
      <w:pPr>
        <w:spacing w:after="0" w:line="29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ANNUITY PAYMENTS (THE ANNUITY PERIOD)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Date</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Under the Contract you can receive regular Annuity Payments. You can choose the month and year in which those payments begin (the “Annuity Date”). The Annuity Date must not be less than thirteen (13) months from the Issue Date and will be the first day of the calendar month unless, subject to our current established administrative procedures, we allow you to select another day of the month as your Annuity Date. You can change the Annuity Date at any time before the Annuity Date, subject to certain limitations and restrictions that may apply in New York state. Annuity Payments must begin on, or before, the Maturity Date. Please note that in the Contract, the Annuity Date and Maturity Date are the same date.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21" w:lineRule="exact"/>
        <w:rPr>
          <w:sz w:val="20"/>
          <w:szCs w:val="20"/>
          <w:color w:val="auto"/>
        </w:rPr>
      </w:pPr>
    </w:p>
    <w:p>
      <w:pPr>
        <w:jc w:val="both"/>
        <w:ind w:left="120" w:right="639" w:firstLine="360"/>
        <w:spacing w:after="0" w:line="243" w:lineRule="auto"/>
        <w:rPr>
          <w:sz w:val="20"/>
          <w:szCs w:val="20"/>
          <w:color w:val="auto"/>
        </w:rPr>
      </w:pPr>
      <w:r>
        <w:rPr>
          <w:rFonts w:ascii="Times New Roman" w:cs="Times New Roman" w:eastAsia="Times New Roman" w:hAnsi="Times New Roman"/>
          <w:sz w:val="18"/>
          <w:szCs w:val="18"/>
          <w:color w:val="auto"/>
        </w:rPr>
        <w:t>The Maturity Date is specified in your Contract at purchase and is the Contract Anniversary after the oldest Owner’s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birthday or 10 years from the date we issue your Contract, whichever is later. If Annuity Payments do not begin on, or before, the Maturity Date, the Contract will be annuitized at the Maturity Date under the Contract’s default Annuity Option, or you can make a complete withdrawal of your Account Value.</w:t>
      </w:r>
    </w:p>
    <w:p>
      <w:pPr>
        <w:spacing w:after="0" w:line="8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 can change or extend your Maturity Date at any time before the Maturity Date with thirty (30) days prior notice to us (subject to restrictions that may apply in New York state, restrictions imposed by your selling firm and our current established administrative procedures.) The latest date we will allow you to extend to must be based on the Owner’s age and not the Annuitant’s age. You must contact us at our Annuity Service Office to make this election. This requirement may be changed by us. </w:t>
      </w:r>
      <w:r>
        <w:rPr>
          <w:rFonts w:ascii="Times New Roman" w:cs="Times New Roman" w:eastAsia="Times New Roman" w:hAnsi="Times New Roman"/>
          <w:sz w:val="18"/>
          <w:szCs w:val="18"/>
          <w:b w:val="1"/>
          <w:bCs w:val="1"/>
          <w:color w:val="auto"/>
        </w:rPr>
        <w:t>Please be aware that once your Contract is annuitized,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beneficiaries are ineligible to receive any death benefit.</w:t>
      </w:r>
    </w:p>
    <w:p>
      <w:pPr>
        <w:sectPr>
          <w:pgSz w:w="11900" w:h="16838" w:orient="portrait"/>
          <w:cols w:equalWidth="0" w:num="1">
            <w:col w:w="9019"/>
          </w:cols>
          <w:pgMar w:left="1440" w:top="1373" w:right="1440" w:bottom="1136" w:gutter="0" w:footer="0" w:header="0"/>
        </w:sectPr>
      </w:pPr>
    </w:p>
    <w:p>
      <w:pPr>
        <w:spacing w:after="0" w:line="2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019"/>
          </w:cols>
          <w:pgMar w:left="1440" w:top="1373" w:right="1440" w:bottom="1136" w:gutter="0" w:footer="0" w:header="0"/>
          <w:type w:val="continuous"/>
        </w:sectPr>
      </w:pPr>
    </w:p>
    <w:bookmarkStart w:id="49" w:name="page50"/>
    <w:bookmarkEnd w:id="49"/>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Annuity Payments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You (unless another payee is named) will receive Annuity Payments during the Annuity Period. The Annuitant is the natural person(s) whose life we look to in the determination of Annuity Payments. All Annuity Payments are fixed as to amount.</w:t>
      </w:r>
    </w:p>
    <w:p>
      <w:pPr>
        <w:spacing w:after="0" w:line="68"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The Account Value, less any applicable Premium Taxes on the day immediately preceding the Annuity Date will be used to determine the Annuity Payment amount. The amount of each Annuity Payment will be based upon the Annuity Option elected, the Annuitant’s age, the Annuitant’s sex (where permitted by law), and the appropriate Annuity Option table. Your annuity rates will not be less than those guaranteed in your Contract at the time of purchase. If, as of the annuity calculation date, the then current Annuity Option rates applicable to this class of contracts provide an Annuity Payment greater than that which is guaranteed under the same Annuity Option under the Contract, the greater payment will be made.</w:t>
      </w:r>
    </w:p>
    <w:p>
      <w:pPr>
        <w:spacing w:after="0" w:line="9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Annuity Payments will be paid as monthly installments or at any frequency acceptable to you and us. If the amount of the Account Value to be applied under an Annuity Option is less than $5,000, we reserve the right to make one lump sum payment equal to the then current Account Value in lieu of Annuity Payments. If the amount of the Annuity Payment would be less than $100, we may reduce the frequency of payments to an interval which will result in the payment being at least $100, but with a frequency of no less than annually.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Annuity Options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can choose among annuity plans (the “Annuity Options”). You can change it at any time before the death benefit becomes payable or the Annuity Date.</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 do not choose an Annuity Option before the Contract is annuitized, Option 1, which provides a life annuity with 10 years of guaranteed Annuity Payments, will automatically be applied.</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can choose one of the following Annuity Options or any other Annuity Option acceptable to us. After Annuity Payments begin, you cannot change the Annuity Option, subject to the requirements of the Code.</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more than one frequency is permitted under your Contract, choosing less frequent payments will result in each Annuity Payment being larger. For Annuity Options with a designated period, choosing a shorter designated period will result in each Annuity Payment being larger.</w:t>
      </w:r>
    </w:p>
    <w:p>
      <w:pPr>
        <w:spacing w:after="0" w:line="64" w:lineRule="exact"/>
        <w:rPr>
          <w:sz w:val="20"/>
          <w:szCs w:val="20"/>
          <w:color w:val="auto"/>
        </w:rPr>
      </w:pPr>
    </w:p>
    <w:p>
      <w:pPr>
        <w:jc w:val="both"/>
        <w:ind w:left="12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 1. Life Annuity With 10 Years of Annuity Payments Guaranteed.  </w:t>
      </w:r>
      <w:r>
        <w:rPr>
          <w:rFonts w:ascii="Times New Roman" w:cs="Times New Roman" w:eastAsia="Times New Roman" w:hAnsi="Times New Roman"/>
          <w:sz w:val="18"/>
          <w:szCs w:val="18"/>
          <w:color w:val="auto"/>
        </w:rPr>
        <w:t>Under this option, we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Annuity Payments so long as the Annuitant is alive. If, when the Annuitant dies, we have made Annuity Payments for less than ten years, we will then continue to make Annuity Payments to the Beneficiary for the rest of the 10 year period.</w:t>
      </w:r>
    </w:p>
    <w:p>
      <w:pPr>
        <w:spacing w:after="0" w:line="68"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Option 2. Joint and Last Survivor Annuity with 10 Years of Annuity Payments Guaranteed. 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we will make Annuity Payments so long as the Annuitant and a second person (joint Annuitant) are both alive. When either Annuitant dies, we will continue to make Annuity Payments, so long as the survivor continues to live. If, at the last death of the Annuitant and the joint Annuitant, we have made Annuity Payments for less than ten years, we will then continue to make Annuity Payments to the Beneficiary for the rest of the 10 year period.</w:t>
      </w:r>
    </w:p>
    <w:p>
      <w:pPr>
        <w:spacing w:after="0" w:line="7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may require proof of the age or sex of an Annuitant before making any Annuity Payments under the Contract that are measured by the Annuitant’s life. If the age or sex of the Annuitant has been misstated, the amount payable will be the amount that the Account Value would have provided at the correct age or sex. Once Annuity Payments have begun, the amount of any overpayments or underpayments, with interest at 6% per annum, will be, as applicable, deducted from, or added to, the payment or payments made after the adjustment.</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Upon the death of the last surviving Annuitant, the Beneficiary may choose to continue receiving Annuity Payments (if permitted by the Code) or to receive the commuted value of the remaining guaranteed payments. The calculation of the commuted value will be done using the then current Annuity Option rates.</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Due to underwriting, administrative or Code considerations, there may be limitations on payments to the survivor under Option 2 and/or the duration of the guarantee period under Options 1 and 2.</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Tax rules with respect to decedent contracts may prohibit the election of Joint and Last Survivor Annuity Options (or annuity types) and may also prohibit payments for as long as the Owner’s life in certain circumstances.</w:t>
      </w:r>
    </w:p>
    <w:p>
      <w:pPr>
        <w:spacing w:after="0" w:line="68"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 addition to the Annuity Options described above, we may offer an additional payment option that would allow your Beneficiary to take distribution of the Account Value over a period not extending beyond his or her life expectancy. Under this option, annual distributions would not be made in the form of an annuity, but would be calculated in a manner similar to the calculation of RMDs from IRAs. (See “FEDERAL TAX CONSIDERATIONS.”) We generally intend to make this payment option available to both Qualified Contracts and Non-Qualified Contracts, to the extent allowed under the Code; however, such payment option may be limited to certain categories of beneficiaries. In the event that you purchased the Contract as a</w:t>
      </w:r>
    </w:p>
    <w:p>
      <w:pPr>
        <w:sectPr>
          <w:pgSz w:w="11900" w:h="16838" w:orient="portrait"/>
          <w:cols w:equalWidth="0" w:num="1">
            <w:col w:w="9019"/>
          </w:cols>
          <w:pgMar w:left="1440" w:top="1373" w:right="1440" w:bottom="542"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019"/>
          </w:cols>
          <w:pgMar w:left="1440" w:top="1373" w:right="1440" w:bottom="542" w:gutter="0" w:footer="0" w:header="0"/>
          <w:type w:val="continuous"/>
        </w:sectPr>
      </w:pPr>
    </w:p>
    <w:bookmarkStart w:id="50" w:name="page51"/>
    <w:bookmarkEnd w:id="50"/>
    <w:p>
      <w:pPr>
        <w:jc w:val="both"/>
        <w:ind w:left="120" w:right="63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Qualified Contract, you must take distribution of the Account Value in accordance with the minimum required distribution rules set forth in applicable tax law. (See “FEDERAL TAX CONSIDERATIONS.”) Under certain circumstances, you may satisfy those requirements by electing an Annuity Option. Upon your death, if Annuity Payments have already begun under a Qualified Contract, applicable tax law may require that any remaining Annuity Payments be paid over a shorter period than originally elected or otherwise adjusted to comply with the tax law. If you purchased the Contract as a Non-Qualified Contract, the tax rules that apply upon your death are similar to the tax rules for Qualified Contracts, but differ in some material respects. For example, if you die after Annuity Payments have already begun under a Non-Qualified Contract, any remaining Annuity Payments can continue to be paid, provided that they are paid at least as rapidly as under the method of distribution in effect at the time of your death.</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of Owner During the Annuity Period</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the Owner (or a Joint Owner), is not the Annuitant, and dies during the Annuity Period, any remaining guaranteed payments under the Annuity Option elected will continue at least as rapidly as under the method of distribution in effect at the time of the Owner’s (or Joint Owner’s) death, but in all events in accordance with applicable tax law requirements. Upon the death of the Owner (or a Joint Owner) during the Annuity Period, the Beneficiary becomes entitled to exercise the rights of the Owner. If an Owner (or Joint Owner) is the Annuitant and dies during the Annuity Period, any remaining Annuity Payments will be as specified in the Annuity Option chosen and will continue at least as rapidly as under the method of distribution in effect at the time of the Owner’s (or Joint Owner’s) death, but in all events in accordance with applicable tax law requirements.</w:t>
      </w: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PREMIUM AND OTHER TAXES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reserve the right to deduct from the Purchase Payment or Account Value any taxes relating to the Contract paid by us to any government entity. New York state does not currently assess Premium Taxes on purchase payments you make. We will determine when taxes relate to the Contract.</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may pay taxes when due and deduct that amount from the Account Value at a later date. Payment at an earlier date does not waive any right we may have to deduct amounts at a later date. Generally, it is our practice not to charge Premium Taxes until Annuity Payments begin.</w:t>
      </w:r>
    </w:p>
    <w:p>
      <w:pPr>
        <w:spacing w:after="0" w:line="28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deduct from the Contract for any income taxes which we incur because of the Contract. At the present time, however, we are not incurring any such income tax or making any such deductions.</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FEDERAL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following information on taxes is a general discussion of the subject. It is not intended as tax advice. The provisions of the Code that govern the Contract are complex and subject to change. The applicability of Federal income tax rules may vary with your particular circumstances. This discussion does not include all the Federal income tax rules that may affect you and your Contract. Nor does this discussion address other Federal tax consequences (such as estate and gift taxes, sales to foreign individuals or entities), or state or local tax consequences, which may affect your investment in the Contract. As a result, you should always consult a tax adviser for complete information and advice applicable to your individual situation.</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You are responsible for determining whether your purchase of a Contract, withdrawals, Annuity Payments and any other transactions under your Contract satisfy applicable tax law.</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Federal tax purposes, the term “spouse” refers to the person to whom you are lawfully married, regardless of sex. The term “spouse” generally will not include individuals who are in a registered domestic partnership or civil union not denominated as marriage under state or other applicable law.</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Annuity Contracts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This discussion assumes the Contract is a “non-qualified” annuity Contract for Federal income tax purposes, that is not held in a tax qualified “plan.” Tax qualified plans include arrangements described in Code Sections 401(a), 401(k), 403(a), 403(b) or tax sheltered annuities (“TSA”), 408 or “IRAs” (including SEP and SIMPLE IRAs), 408A or “Roth IRAs” and 457(b) plans. Contracts owned through such plans are referred to below as “qualified” contracts.</w:t>
      </w:r>
    </w:p>
    <w:p>
      <w:pPr>
        <w:sectPr>
          <w:pgSz w:w="11900" w:h="16838" w:orient="portrait"/>
          <w:cols w:equalWidth="0" w:num="1">
            <w:col w:w="9019"/>
          </w:cols>
          <w:pgMar w:left="1440" w:top="1377"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1377" w:right="1440" w:bottom="1440" w:gutter="0" w:footer="0" w:header="0"/>
          <w:type w:val="continuous"/>
        </w:sectPr>
      </w:pPr>
    </w:p>
    <w:bookmarkStart w:id="51" w:name="page52"/>
    <w:bookmarkEnd w:id="51"/>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Non-Qualified Annuity Contracts Owned by Corporations and Other Legal Entities</w:t>
      </w:r>
    </w:p>
    <w:p>
      <w:pPr>
        <w:spacing w:after="0" w:line="13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Taxes on earnings are deferred until you take money out. Non-qualified annuity Contracts owned by a non-natural person, such as corporations or certain other legal entities (other than a trust that holds the Contract as an agent for a natural person), do not receive tax deferral on earnings.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Generally, an owner of a non-qualified annuity Contract is not taxed on increases in the value of the Contract until there is a distribution from the Contract, i.e. surrender, partial withdrawal Annuity Payments or commutation. This deferral of taxation on accumulated value in the Contract is limited to Contracts owned by or held for the benefit of “natural persons.” A Contract will be treated as held by a natural person even if the nominal owner is a trust or other entity which holds the Contract as an agent for the exclusive benefit of a natural person.</w:t>
      </w:r>
    </w:p>
    <w:p>
      <w:pPr>
        <w:spacing w:after="0" w:line="8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contrast, a Contract owned by other than a “natural person,” such as a corporation, partnership, trust or other entity (other than a trust holding the Contract as an agent for a natural person), will be taxed currently on the increase in accumulated value in the Contract in the year earned.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Surrenders or Withdrawals—Early Distribution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If you take a withdrawal from your Contract, or surrender your Contract prior to the date you commence taking annuity or “income” payments (the “Annuity Starting Date”), the amount you receive will generally be treated first as coming from earnings, if any, (and thus subject to income tax) and then from your purchase payments (which are not subject to income tax). If the accumulated value is less than your purchase payments upon surrender of your Contract, your ability to claim any unrecovered purchase payments on your Federal income tax return as a miscellaneous itemized deduction is suspended under the 2017 Tax Cuts and Job Act effective for tax years beginning after December 31, 2017 and before January 1, 2026.</w:t>
      </w:r>
    </w:p>
    <w:p>
      <w:pPr>
        <w:spacing w:after="0" w:line="8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portion of any withdrawal from an annuity Contract that is subject to income tax may also be subject to a 10% Federal income tax penalty for “early” distribution if such withdrawal is taken prior to you reaching age 59½, unless an exception applies. Exceptions include distributions made:</w:t>
      </w:r>
    </w:p>
    <w:p>
      <w:pPr>
        <w:spacing w:after="0" w:line="95" w:lineRule="exact"/>
        <w:rPr>
          <w:sz w:val="20"/>
          <w:szCs w:val="20"/>
          <w:color w:val="auto"/>
        </w:rPr>
      </w:pPr>
    </w:p>
    <w:p>
      <w:pPr>
        <w:ind w:left="1180" w:hanging="70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your death or disability;</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series of substantially equal periodic payments made at least annually payable for your life (or life expectancy) or joint lives (or joint life expectancies) of you and your designated beneficiary; or</w:t>
      </w:r>
    </w:p>
    <w:p>
      <w:pPr>
        <w:spacing w:after="0" w:line="108"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immediate income annuities.</w:t>
      </w:r>
    </w:p>
    <w:p>
      <w:pPr>
        <w:spacing w:after="0" w:line="117"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If you receive systematic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or additional withdrawals from the Contract.</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Amounts received as a partial withdrawal may be fully includable in taxable income to the extent of gain in the Contract.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Aggregation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you purchase two or more deferred annuity Contracts after October 21, 1988, from BLNY (or its affiliates) during the same calendar year, the law requires that all such Contracts must be treated as a single Contract for purposes of determining whether any payments not received as an annuity (e.g., withdrawals) will be includible in income. Aggregation could affect the amount of a withdrawal that is taxable and subject to the 10% Federal income tax penalty described above. Since the IRS may require aggregation in other circumstances as well, you should consult a tax adviser if you are purchasing more than one annuity Contract from the same insurance company in a single calendar year. Aggregation does not affect distributions paid in the form of an annuity (See “Taxation of Payments in Annuity Form” below).</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Exchanges/Transfers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annuity Contract may be exchanged in whole or in part for another annuity contract or a long-term care insurance policy. An exchange in whole of an annuity for another annuity or for a qualified long-term care insurance policy will generally be a tax-free transaction under Section 1035 of the Code. The partial exchange of an annuity contract may be a tax-free transaction provided that, among other prescribed IRS conditions, no amounts are distributed from either contract involved in the exchange for 180 days following the date of the exchange—other than annuity payments made for life, joint lives, or for a term of 10 years or more. If a distribution is made from either contract within the 180-day period after the exchange or the</w:t>
      </w:r>
    </w:p>
    <w:p>
      <w:pPr>
        <w:sectPr>
          <w:pgSz w:w="11900" w:h="16838" w:orient="portrait"/>
          <w:cols w:equalWidth="0" w:num="1">
            <w:col w:w="9019"/>
          </w:cols>
          <w:pgMar w:left="1440" w:top="1373" w:right="1440" w:bottom="42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019"/>
          </w:cols>
          <w:pgMar w:left="1440" w:top="1373" w:right="1440" w:bottom="420" w:gutter="0" w:footer="0" w:header="0"/>
          <w:type w:val="continuous"/>
        </w:sectPr>
      </w:pPr>
    </w:p>
    <w:bookmarkStart w:id="52" w:name="page53"/>
    <w:bookmarkEnd w:id="52"/>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exchange otherwise fails to satisfy other IRS prescriptions, the IRS reserves the right to characterize the exchange in a manner consistent with its substance, based on general tax principles and all the facts and circumstances. For instance, such distribution from either contract may be taxable to the extent of the combined gain attributable to both contracts, or only to the extent of your gain in the contract from which the distribution is paid. Some of the ramifications of a partial exchange remain unclear. You should consult your tax adviser concerning potential tax consequences prior to any partial exchange or split of annuity contracts.</w:t>
      </w:r>
    </w:p>
    <w:p>
      <w:pPr>
        <w:spacing w:after="0" w:line="7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 transfer of ownership of the Contract, or the designation of an annuitant or other beneficiary who is not also the Contract owner, may result in income or gift tax consequences to the Contract owner. You should consult your tax adviser if you are considering such a transfer or assignment.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For non-qualified Contracts, the death benefit is taxable to the recipient in the same manner as if paid to the Contract owner (under the rules for withdrawals or Annuity Payments, whichever is applicable). After your death, any death benefit determined under the Contract must be distributed according to certain rules. The method of distribution that is required depends on whether you die before or after the Annuity Starting Date. If you die on or after the Annuity Starting Date, the remaining portion of the interest in the Contract must be distributed at least as rapidly as under the method of distribution being used as of the date of death. If you die before the Annuity Starting Date, the entire interest in the Contract must be distributed within five (5) years after the date of death, or as periodic payments over a period not extending beyond the life or life expectancy of the designated beneficiary (provided such payments begin within one year of your death) and the beneficiary must be a natural person. Additionally, if the annuity is payable to (or for the benefit of) your surviving spouse, that portion of the Contract may be continued with your spouse as the owner. For Contracts owned by a non-natural person, the required distribution rules apply upon the death of the annuitant. If there is more than one annuitant of a Contract held by a non-natural person, then such required distributions will be triggered by the death of the first co-annuitant.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Payments in Annuity Form</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Payments received from the Contract in the form of an annuity, are taxable as ordinary income to the extent they exceed the portion of the payment determined by applying the exclusion ratio to the entire payment. The exclusion ratio is determined at the time the Contract is annuitized (i.e. accumulated value is converted to an annuity form of distribution). Generally, the applicable exclusion ratio is your investment in the Contract divided by the total payments you expect to receive based on IRS factors, such as the form of annuity and mortality. The excludable portion of each annuity payment is the return of investment in the Contract and it is excludable from your taxable income until your investment in the Contract is fully recovered. We will make this calculation for you. However, it is possible that the IRS could conclude that the taxable portion of Annuity Payments under a non-qualified Contract is an amount greater—or less—than the taxable amount determined by us and reported by us to you and the IRS.</w:t>
      </w:r>
    </w:p>
    <w:p>
      <w:pPr>
        <w:spacing w:after="0" w:line="86"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Once you have recovered the investment in the Contract, further annuity payments are fully taxable. If you die before your investment in the Contract is fully recovered, the balance may be deducted on your last tax return, or if annuity payments continue after your death, the balance may be deducted by your beneficiary.</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IRS has not furnished explicit guidance as to how the excludable amount is to be determined each year under variable income annuities that permit transfers between a fixed annuity option and variable investment options, as well as transfers between investment options after the Annuity Starting Date. Once annuity payments have commenced, you may not be able to transfer to another non-qualified annuity contract or a long-term care contract as part of a tax-free exchange.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you receive payments that you intend to qualify for the “substantially equal periodic payments” exception noted above, any modifications (except due to death or disability) to your payment before age 59½ or within five</w:t>
      </w:r>
    </w:p>
    <w:p>
      <w:pPr>
        <w:jc w:val="both"/>
        <w:ind w:left="120" w:right="659" w:hanging="8"/>
        <w:spacing w:after="0" w:line="255" w:lineRule="auto"/>
        <w:tabs>
          <w:tab w:leader="none" w:pos="3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beginning these payments, whichever is later, will result in the retroactive imposition of the 10% Federal income tax penalty with interest. Such modifications may include additional purchase payments or withdrawals (including tax-free transfers or rollovers of Annuity Payments) from the Contract.</w:t>
      </w:r>
    </w:p>
    <w:p>
      <w:pPr>
        <w:spacing w:after="0" w:line="7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If the Contract allows, you may elect to convert less than the full value of your Contract to an annuity form of pay-out (i.e., “partial annuitization.”) In this case, your investment in the Contract will be pro-rated between the annuitized portion of the Contract and the deferred portion. An exclusion ratio will apply to the annuity payments as described above, provided the annuity form you elect is payable for at least 10 years or for the life of one or more individuals.</w:t>
      </w:r>
    </w:p>
    <w:p>
      <w:pPr>
        <w:sectPr>
          <w:pgSz w:w="11900" w:h="16838" w:orient="portrait"/>
          <w:cols w:equalWidth="0" w:num="1">
            <w:col w:w="9019"/>
          </w:cols>
          <w:pgMar w:left="1440" w:top="1377" w:right="1440" w:bottom="1440" w:gutter="0" w:footer="0" w:header="0"/>
        </w:sectPr>
      </w:pPr>
    </w:p>
    <w:p>
      <w:pPr>
        <w:spacing w:after="0" w:line="37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019"/>
          </w:cols>
          <w:pgMar w:left="1440" w:top="1377" w:right="1440" w:bottom="1440" w:gutter="0" w:footer="0" w:header="0"/>
          <w:type w:val="continuous"/>
        </w:sectPr>
      </w:pPr>
    </w:p>
    <w:bookmarkStart w:id="53" w:name="page54"/>
    <w:bookmarkEnd w:id="5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3.8% Tax on Net Investment Income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Federal tax law imposes a 3.8% Net Investment Income tax on the lesser of:</w:t>
      </w:r>
    </w:p>
    <w:p>
      <w:pPr>
        <w:spacing w:after="0" w:line="158" w:lineRule="exact"/>
        <w:rPr>
          <w:sz w:val="20"/>
          <w:szCs w:val="20"/>
          <w:color w:val="auto"/>
        </w:rPr>
      </w:pPr>
    </w:p>
    <w:p>
      <w:pPr>
        <w:ind w:left="1180" w:right="739" w:hanging="708"/>
        <w:spacing w:after="0" w:line="282"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taxpayer’s “net investment income,” (from non-qualified annuities, interest, dividends, and other investments, offset by specified allowable deductions); or</w:t>
      </w:r>
    </w:p>
    <w:p>
      <w:pPr>
        <w:spacing w:after="0" w:line="94"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taxpayer’s modified adjusted gross income in excess of a specified income threshold ($250,000 for married couples filing jointly and qualifying surviving spouses, $125,000 for married couples filing separately, and $200,000 for single filers).</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investment income” in Item 1 above does not include distributions from tax qualified plans, (i.e., arrangements described in Code Sections 401(a), 403(a), 403(b), 408, 408A or 457(b)), but such income will increase modified adjusted gross income in Item 2 above.</w:t>
      </w:r>
    </w:p>
    <w:p>
      <w:pPr>
        <w:spacing w:after="0" w:line="68"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adviser regarding the applicability of this tax to income under your annuity Contract.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Qualified Annuity Contracts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Currently, the Contract is available for use in connection with Non-Qualified Plans, Traditional IRAs and Roth IRAs. In general, annuity contracts purchased through certain types of retirement plans receive favorable treatment under the Code (“tax qualified plans” or “qualified plans”). Tax-qualified plans include arrangements described in Code Sections 401(a), 401(k), 403(a), 403(b) or tax sheltered annuities (“TSA”), 408 or “IRAs” (including SEP and SIMPLE IRAs), 408A or “Roth IRAs” and 457(b) plans. Extensive special tax rules apply to qualified plans and to the annuity Contracts used in connection with these plans. Therefore, the following discussion provides only general information about the use of the Contract with the various types of qualified plans. Adverse tax consequences may result if you do not ensure that contributions, distributions and other transactions with respect to the Contract comply with the law.</w:t>
      </w:r>
    </w:p>
    <w:p>
      <w:pPr>
        <w:spacing w:after="0" w:line="9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rights to any benefit under the plan will be subject to the terms and conditions of the plan itself as well as the terms and conditions of the Contract.</w:t>
      </w:r>
    </w:p>
    <w:p>
      <w:pPr>
        <w:spacing w:after="0" w:line="6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exercise no control over whether a particular retirement plan or a particular contribution to the plan satisfies the applicable requirements of the Code, or whether a particular individual is entitled to participate or benefit under a plan.</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All qualified plans and arrangements receive tax deferral under the Code. Since there are no additional tax benefits in funding such retirement arrangements with an annuity, there should be reasons other than tax deferral for acquiring the annuity within the plan. Such non-tax benefits may include additional insurance benefits, such as the availability of a guaranteed income for life.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Accumulation</w:t>
      </w:r>
    </w:p>
    <w:p>
      <w:pPr>
        <w:spacing w:after="0" w:line="13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tax rules applicable to qualified plans vary according to the type of plan and the terms and conditions of the plan itself. Both the amount of the contribution that may be made and the tax deduction or exclusion that you may claim for that contribution under qualified plans are limited under the Code.</w:t>
      </w:r>
    </w:p>
    <w:p>
      <w:pPr>
        <w:spacing w:after="0" w:line="68"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Purchase payments or contributions to IRAs or tax qualified retirement plans of an employer may be taken from current income on a before tax basis or after tax basis. Purchase payments made on a “before tax” basis entitle you to a tax deduction or are not subject to current income tax. Purchase payments made on an “after tax” basis do not reduce your taxable income or give you a tax deduction. Contributions may also consist of transfers or rollovers as described below and are not subject to the annual limitations on contributions.</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An IRA Contract will accept as a single purchase payment a transfer or rollover from another IRA (including a SEP or SIMPLE IRA) or rollover from an eligible retirement plan of an employer (i.e., 401(a), 401(k), 403(a), 403(b) or governmental 457(b) plans.) A rollover or transfer from a SIMPLE IRA is allowed provided that the taxpayer has participated in such arrangement for at least two years. As part of the single purchase payment, the IRA Contract will also accept an IRA contribution subject to the Code limits for the year of purchase.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Annuity Distributions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contributions are made on a “before tax” basis, you generally pay income taxes on the full amount of money you receive under the Contract. Withdrawals attributable to any after-tax contributions are your basis in the Contract and not subject to income tax (except for the portion of the withdrawal allocable to earnings if any). Under current Federal income tax</w:t>
      </w:r>
    </w:p>
    <w:p>
      <w:pPr>
        <w:sectPr>
          <w:pgSz w:w="11900" w:h="16838" w:orient="portrait"/>
          <w:cols w:equalWidth="0" w:num="1">
            <w:col w:w="9019"/>
          </w:cols>
          <w:pgMar w:left="1440" w:top="1373" w:right="1440" w:bottom="1055"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019"/>
          </w:cols>
          <w:pgMar w:left="1440" w:top="1373" w:right="1440" w:bottom="1055" w:gutter="0" w:footer="0" w:header="0"/>
          <w:type w:val="continuous"/>
        </w:sectPr>
      </w:pPr>
    </w:p>
    <w:bookmarkStart w:id="54" w:name="page55"/>
    <w:bookmarkEnd w:id="54"/>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rules, the taxable portion of distributions under annuity contracts and qualified plans (including IRAs) is not eligible for the reduced tax rate applicable to long-term capital gains and qualifying dividends.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 meet certain requirements, your Roth IRA earnings can be received free of Federal income taxes.</w:t>
      </w:r>
    </w:p>
    <w:p>
      <w:pPr>
        <w:spacing w:after="0" w:line="117"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With respect to IRA Contracts, we will withhold a portion of the taxable amount of your withdrawal for income taxes, unless you elect otherwise. The amount we will withhold is determined by the Code.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Withdrawals Prior to Age 59½</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 taxable withdrawal from a qualified Contract which is subject to income tax may also be subject to a 10% Federal income tax penalty for “early” distribution if taken prior to age 59½, unless an exception described below applies.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Exceptions to the early distribution penalty for qualified plans include withdrawals or distributions made:</w:t>
      </w:r>
    </w:p>
    <w:p>
      <w:pPr>
        <w:spacing w:after="0" w:line="158" w:lineRule="exact"/>
        <w:rPr>
          <w:sz w:val="20"/>
          <w:szCs w:val="20"/>
          <w:color w:val="auto"/>
        </w:rPr>
      </w:pPr>
    </w:p>
    <w:p>
      <w:pPr>
        <w:ind w:left="1180" w:hanging="70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your death or disability,</w:t>
      </w:r>
    </w:p>
    <w:p>
      <w:pPr>
        <w:spacing w:after="0" w:line="157" w:lineRule="exact"/>
        <w:rPr>
          <w:rFonts w:ascii="Times New Roman" w:cs="Times New Roman" w:eastAsia="Times New Roman" w:hAnsi="Times New Roman"/>
          <w:sz w:val="18"/>
          <w:szCs w:val="18"/>
          <w:color w:val="auto"/>
        </w:rPr>
      </w:pPr>
    </w:p>
    <w:p>
      <w:pPr>
        <w:jc w:val="both"/>
        <w:ind w:left="1180" w:right="739" w:hanging="708"/>
        <w:spacing w:after="0" w:line="266"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series of substantially equal periodic payments payable for your life (or life expectancy) or joint lives (or joint life expectancies) of you and your designated beneficiary and (in the case of certain employer-sponsored qualified plans) you are separated from employment,</w:t>
      </w:r>
    </w:p>
    <w:p>
      <w:pPr>
        <w:spacing w:after="0" w:line="108" w:lineRule="exact"/>
        <w:rPr>
          <w:rFonts w:ascii="Times New Roman" w:cs="Times New Roman" w:eastAsia="Times New Roman" w:hAnsi="Times New Roman"/>
          <w:sz w:val="18"/>
          <w:szCs w:val="18"/>
          <w:color w:val="auto"/>
        </w:rPr>
      </w:pPr>
    </w:p>
    <w:p>
      <w:pPr>
        <w:ind w:left="1180" w:right="1079" w:hanging="708"/>
        <w:spacing w:after="0" w:line="282"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separation from service after age 55. This rule does not apply to IRAs (including SEPs and SIMPLE IRAs),</w:t>
      </w:r>
    </w:p>
    <w:p>
      <w:pPr>
        <w:spacing w:after="0" w:line="80"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(“QDRO”). This rule does not apply to IRAs (including SEPs and SIMPLE IRAs),</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IRS levies (and made after December 31, 1999),</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deductible medical expenses, or</w:t>
      </w:r>
    </w:p>
    <w:p>
      <w:pPr>
        <w:spacing w:after="0" w:line="157"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IRAs only, to pay for medical insurance (if you are unemployed), qualified higher education expenses, or for a qualified first time home purchase up to $10,000.</w:t>
      </w:r>
    </w:p>
    <w:p>
      <w:pPr>
        <w:spacing w:after="0" w:line="5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Other exceptions may be applicable under certain circumstances and special rules apply or may become applicable in connection with the exceptions enumerated above. Other exceptions include certain provisions under the SECURE 2.0 Act of 2022 which may provide the ability to recontribute an “early” distribution to an IRA or employer sponsored qualified plan (subject to the provisions of the Code, the qualified plan/IRA, the Contract and our administrative rules.) You should consult your tax adviser to confirm whether an exception applies.</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you receive systematic payments or any other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and additional withdrawals from the Contract.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Rollovers and Transfers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Your Contract is non-forfeitable (i.e., not subject to the claims of your creditors) and non-transferable (i.e., you may not transfer it to someone else).</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Under certain circumstances, you may be able to transfer amounts distributed from your Contract to another eligible retirement plan or IRA.</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Generally, a distribution may be eligible for rollover. Certain types of distributions cannot be rolled over, such as distributions received on account of:</w:t>
      </w:r>
    </w:p>
    <w:p>
      <w:pPr>
        <w:spacing w:after="0" w:line="94" w:lineRule="exact"/>
        <w:rPr>
          <w:sz w:val="20"/>
          <w:szCs w:val="20"/>
          <w:color w:val="auto"/>
        </w:rPr>
      </w:pPr>
    </w:p>
    <w:p>
      <w:pPr>
        <w:ind w:left="1180" w:hanging="708"/>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distribution requirements, or</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hardship; or</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ten or more years or for life.</w:t>
      </w:r>
    </w:p>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Federal income tax law allows you to make only one rollover from an IRA to another (or the same) IRA in any 12-month period, regardless of the number of IRAs you own. Generally, this limit does not apply to trustee-to-trustee transfers between IRAs. Because the rollover rules are complex, please consult with your tax adviser before making an IRA rollover.</w:t>
      </w:r>
    </w:p>
    <w:p>
      <w:pPr>
        <w:sectPr>
          <w:pgSz w:w="11900" w:h="16838" w:orient="portrait"/>
          <w:cols w:equalWidth="0" w:num="1">
            <w:col w:w="9019"/>
          </w:cols>
          <w:pgMar w:left="1440" w:top="1377" w:right="1440" w:bottom="144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019"/>
          </w:cols>
          <w:pgMar w:left="1440" w:top="1377" w:right="1440" w:bottom="1440" w:gutter="0" w:footer="0" w:header="0"/>
          <w:type w:val="continuous"/>
        </w:sectPr>
      </w:pPr>
    </w:p>
    <w:bookmarkStart w:id="55" w:name="page56"/>
    <w:bookmarkEnd w:id="55"/>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20% Withholding on Eligible Rollover Distributions</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For certain qualified employer plans, we are required to withhold 20% of the taxable portion of your withdrawal that constitutes an “eligible rollover distribution” for Federal income taxes. The amount we withhold is determined by the Code. You may avoid withholding if you directly transfer a withdrawal from this Contract to another IRA or other qualified plan. Similarly, you may be able to avoid withholding on a transfer into this Contract from an existing qualified plan you may have with another provider by arranging to have the transfer made directly to us. For taxable withdrawals that are not “eligible rollover distributions,” the Code imposes different withholding rules to determine the withholding percentages.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Death Benefit</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death benefit in a qualified Contract is taxable to the recipient in the same manner as if paid to the Contract owner or plan participant (under the rules for withdrawals or Annuity Payments, whichever is applicable).</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RMD amounts are required to be distributed from a Qualified annuity Contract (including a contract issued as a Roth IRA) following your death. Congress recently changed the RMD rules for individuals who die after 2019. The after-death RMD rules are complex, and you should consult your tax adviser about how they may apply to your situation.</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Effective January 1, 2020, when an IRA owner or participant in a defined contribution plan dies, any remaining interest generally must be distributed within 10 years (or in some cases five years) after his or her death, unless an exception applies. An exception permits an “eligible designated beneficiary” to take distributions over life or a period not exceeding life expectancy, subject to special rules and limitations. An “eligible designated beneficiary” includes: the IRA owner/participant’s spouse or minor child (until the child reaches age of majority), certain disabled or chronically ill individuals, and an individual who is not more than 10 years younger than the IRA owner/participant. We may limit any payment option over life, or a period not exceeding life expectancy, to certain categories of eligible designated beneficiary.</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Generally, distributions under this exception must start by the end of the year following your death. However, if your surviving spouse is the sole designated beneficiary, distributions may generally be delayed until December 31 of the year you would have attained the Applicable Age (as defined in the chart below), if your Contract permits.</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you die after annuity payments have already begun under a Qualified Contract, any remaining payments under the contract also must be made in accordance with the RMD rules. In some cases, those rules may require that the remaining payments be made over a shorter period than originally elected or otherwise adjusted to comply with the tax law.</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If your surviving spouse is the sole designated beneficiary of your Traditional or Roth IRA, then your surviving spouse may elect to treat the Traditional or Roth IRA as his or her own.</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Your designated beneficiary is the person to whom benefit rights under the Contract pass by reason of death. The beneficiary generally must be a natural person in order to elect a periodic payment option based on life expectancy or a period exceeding five years. Different tax rules may apply if your Beneficiary is not a natural person, such as your estate.</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Alternatively, your spouse may be able to roll over the death proceeds into another eligible retirement plan in which he or she participates, if permitted under the receiving plan, or he or she may elect to rollover the death proceeds into his or her own IRA, or he or she may elect to transfer the death proceeds into an inherited IRA.</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If your beneficiary is not your spouse and your plan and Contract permit, your beneficiary may be able to rollover the death proceeds via a direct trustee-to-trustee transfer into an inherited IRA. However, a non-spouse beneficiary may not treat the inherited IRA as his or her own IRA.</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Additionally, for contracts issued in connection with qualified plans subject to ERISA, the spouse or ex-spouse of the participant may have rights in the contract. In such a case, the participant may need the consent of the spouse or ex-spouse to change annuity options or make a withdrawal from the contract.</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019"/>
          </w:cols>
          <w:pgMar w:left="1440" w:top="1373" w:right="1440" w:bottom="1440" w:gutter="0" w:footer="0" w:header="0"/>
          <w:type w:val="continuous"/>
        </w:sectPr>
      </w:pPr>
    </w:p>
    <w:bookmarkStart w:id="56" w:name="page57"/>
    <w:bookmarkEnd w:id="5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Applicable Age for Required Minimum Distributions (RMD)</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used in this prospectus, “Applicable Age” means the following:</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237"/>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If you…</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Your “Applicable Age”</w:t>
            </w:r>
          </w:p>
        </w:tc>
      </w:tr>
      <w:tr>
        <w:trPr>
          <w:trHeight w:val="238"/>
        </w:trPr>
        <w:tc>
          <w:tcPr>
            <w:tcW w:w="494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68"/>
        </w:trPr>
        <w:tc>
          <w:tcPr>
            <w:tcW w:w="49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Were born on or before June 30, 1949</w:t>
            </w:r>
          </w:p>
        </w:tc>
        <w:tc>
          <w:tcPr>
            <w:tcW w:w="19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70½</w:t>
            </w:r>
          </w:p>
        </w:tc>
      </w:tr>
      <w:tr>
        <w:trPr>
          <w:trHeight w:val="218"/>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Were born on or after July 1, 1949 (and attain age 72 prior to</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34"/>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January 1, 2023)</w:t>
            </w:r>
          </w:p>
        </w:tc>
        <w:tc>
          <w:tcPr>
            <w:tcW w:w="1980" w:type="dxa"/>
            <w:vAlign w:val="bottom"/>
            <w:tcBorders>
              <w:right w:val="single" w:sz="8" w:color="auto"/>
            </w:tcBorders>
          </w:tcPr>
          <w:p>
            <w:pPr>
              <w:spacing w:after="0"/>
              <w:rPr>
                <w:sz w:val="20"/>
                <w:szCs w:val="20"/>
                <w:color w:val="auto"/>
              </w:rPr>
            </w:pP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18"/>
        </w:trPr>
        <w:tc>
          <w:tcPr>
            <w:tcW w:w="494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Attain age 72 on or after January 1, 2023 (and attain age 73 on or</w:t>
            </w:r>
          </w:p>
        </w:tc>
        <w:tc>
          <w:tcPr>
            <w:tcW w:w="19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266"/>
        </w:trPr>
        <w:tc>
          <w:tcPr>
            <w:tcW w:w="49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before December 31, 2032)</w:t>
            </w:r>
          </w:p>
        </w:tc>
        <w:tc>
          <w:tcPr>
            <w:tcW w:w="1980" w:type="dxa"/>
            <w:vAlign w:val="bottom"/>
            <w:tcBorders>
              <w:bottom w:val="single" w:sz="8" w:color="F0FFFF"/>
              <w:right w:val="single" w:sz="8" w:color="auto"/>
            </w:tcBorders>
            <w:shd w:val="clear" w:color="auto" w:fill="F0FFFF"/>
          </w:tcPr>
          <w:p>
            <w:pPr>
              <w:spacing w:after="0"/>
              <w:rPr>
                <w:sz w:val="22"/>
                <w:szCs w:val="22"/>
                <w:color w:val="auto"/>
              </w:rPr>
            </w:pPr>
          </w:p>
        </w:tc>
      </w:tr>
      <w:tr>
        <w:trPr>
          <w:trHeight w:val="247"/>
        </w:trPr>
        <w:tc>
          <w:tcPr>
            <w:tcW w:w="49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Attain age 74 on or after January 1, 2033</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-1453515</wp:posOffset>
            </wp:positionV>
            <wp:extent cx="4380230" cy="316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80230"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-956310</wp:posOffset>
            </wp:positionV>
            <wp:extent cx="4380230" cy="316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80230" cy="3168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-321945</wp:posOffset>
            </wp:positionV>
            <wp:extent cx="438023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80230" cy="163195"/>
                    </a:xfrm>
                    <a:prstGeom prst="rect">
                      <a:avLst/>
                    </a:prstGeom>
                    <a:noFill/>
                  </pic:spPr>
                </pic:pic>
              </a:graphicData>
            </a:graphic>
          </wp:anchor>
        </w:drawing>
      </w:r>
    </w:p>
    <w:p>
      <w:pPr>
        <w:spacing w:after="0" w:line="48" w:lineRule="exact"/>
        <w:rPr>
          <w:sz w:val="20"/>
          <w:szCs w:val="20"/>
          <w:color w:val="auto"/>
        </w:rPr>
      </w:pPr>
    </w:p>
    <w:p>
      <w:pPr>
        <w:ind w:left="120" w:right="659"/>
        <w:spacing w:after="0" w:line="282" w:lineRule="auto"/>
        <w:rPr>
          <w:sz w:val="20"/>
          <w:szCs w:val="20"/>
          <w:color w:val="auto"/>
        </w:rPr>
      </w:pPr>
      <w:r>
        <w:rPr>
          <w:rFonts w:ascii="Times New Roman" w:cs="Times New Roman" w:eastAsia="Times New Roman" w:hAnsi="Times New Roman"/>
          <w:sz w:val="18"/>
          <w:szCs w:val="18"/>
          <w:color w:val="auto"/>
        </w:rPr>
        <w:t>*If you were born in 1959, you should consult your tax adviser regarding your “Applicable Age,” because it is not clear under the SECURE 2.0 Act whether your Applicable Age is age 73 or age 75.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Minimum Distributions During the Owner’s Life</w:t>
      </w:r>
    </w:p>
    <w:p>
      <w:pPr>
        <w:spacing w:after="0" w:line="121"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Generally, you must begin receiving RMD amounts from your qualified Contract by the Required Beginning Date. Generally, for retirement plans, the “Required Beginning Date” is April 1 following the latter of:</w:t>
      </w:r>
    </w:p>
    <w:p>
      <w:pPr>
        <w:spacing w:after="0" w:line="94" w:lineRule="exact"/>
        <w:rPr>
          <w:sz w:val="20"/>
          <w:szCs w:val="20"/>
          <w:color w:val="auto"/>
        </w:rPr>
      </w:pPr>
    </w:p>
    <w:p>
      <w:pPr>
        <w:ind w:left="1180" w:hanging="708"/>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year in which you reach the Applicable Age; or</w:t>
      </w:r>
    </w:p>
    <w:p>
      <w:pPr>
        <w:spacing w:after="0" w:line="157" w:lineRule="exact"/>
        <w:rPr>
          <w:rFonts w:ascii="Times New Roman" w:cs="Times New Roman" w:eastAsia="Times New Roman" w:hAnsi="Times New Roman"/>
          <w:sz w:val="18"/>
          <w:szCs w:val="18"/>
          <w:color w:val="auto"/>
        </w:rPr>
      </w:pPr>
    </w:p>
    <w:p>
      <w:pPr>
        <w:ind w:left="1180" w:right="739" w:hanging="708"/>
        <w:spacing w:after="0" w:line="282"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year you retire, provided you do not own more than 5% of the outstanding stock, capital, or profits of your employer.</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For IRAs (including SEPs and SIMPLEs) the Required Beginning Date by which you must begin receiving withdrawals is the year in which you attain the Applicable Age even if you have not retired, taking your first distribution no later than April 1 of the year after you reach the Applicable Age.</w:t>
      </w:r>
    </w:p>
    <w:p>
      <w:pPr>
        <w:spacing w:after="0" w:line="68"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all subsequent years, including the first year in which you took your RMD by April 1, you must take the required minimum distribution for the year by December 31st. This will require you to take two distributions in the same calendar year if you wait to take your first distribution until April 1 of the year after attaining the Applicable Age.</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tax penalty (an excise tax) of up to 25% applies to the shortfall of any required minimum distributions you fail to receive.</w:t>
      </w:r>
    </w:p>
    <w:p>
      <w:pPr>
        <w:spacing w:after="0" w:line="54"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minimum required distribution is calculated with respect to each IRA, but the aggregate distribution may be taken from any one or more of your IRAs.</w:t>
      </w:r>
    </w:p>
    <w:p>
      <w:pPr>
        <w:spacing w:after="0" w:line="5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regulations also require that the value of benefits under a deferred annuity including certain death benefits in excess of Contract value must be added to the amount credited to your account in computing the amount required to be distributed over the applicable period. We will provide you with additional information regarding the amount that is subject to minimum distribution under this rule. You should consult your own tax adviser as to how these rules affect your own distribution under this rule.</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you intend to receive your minimum distributions in the form of Annuity Payments that are payable over the joint lives of you and a beneficiary or over a guaranteed duration of more than 10 years, be advised that Federal tax law rules may require that, after your death, any remaining payments be made over a shorter period or be reduced after your death to satisfy the RMD rules and avoid the up to 25% excise tax. Other complex rules also apply to RMDs taken in the form of Annuity Payments. You should consult your own tax adviser as to how these rules affect your own Contract.</w:t>
      </w:r>
    </w:p>
    <w:p>
      <w:pPr>
        <w:spacing w:after="0" w:line="79"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Required minimum distribution rules that apply to other types of IRAs while you are alive do not apply to Roth IRAs. However, in general, the IRA post-death rules with respect to minimum distributions do apply to beneficiaries of Roth IRAs. Effective in 2024, similar rules apply to Roth account balances maintained in employer-sponsored qualified plans. As a result, required minimum distribution rules that generally apply under an employer-sponsored qualified plan once you attain your Applicable Age, will not apply to any Roth account balance while you are alive. However, in general, post-death rules with respect to minimum distributions do apply to beneficiaries upon your death.</w:t>
      </w:r>
    </w:p>
    <w:p>
      <w:pPr>
        <w:sectPr>
          <w:pgSz w:w="11900" w:h="16838" w:orient="portrait"/>
          <w:cols w:equalWidth="0" w:num="1">
            <w:col w:w="9019"/>
          </w:cols>
          <w:pgMar w:left="1440" w:top="1373" w:right="1440" w:bottom="1440" w:gutter="0" w:footer="0" w:header="0"/>
        </w:sectPr>
      </w:pPr>
    </w:p>
    <w:p>
      <w:pPr>
        <w:spacing w:after="0" w:line="3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019"/>
          </w:cols>
          <w:pgMar w:left="1440" w:top="1373" w:right="1440" w:bottom="1440" w:gutter="0" w:footer="0" w:header="0"/>
          <w:type w:val="continuous"/>
        </w:sectPr>
      </w:pPr>
    </w:p>
    <w:bookmarkStart w:id="57" w:name="page58"/>
    <w:bookmarkEnd w:id="5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Additional Information regarding IRAs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payments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Traditional IRA purchase payments (except for permissible rollovers and direct transfers) are limited in the aggregate to the lesser of 100% of compensation or the deductible amount established each year under the Code. A purchase payment up to the deductible amount can also be made for a non-working spouse provided the couple’s compensation is at least equal to their aggregate contributions. Individuals age 50 and older are permitted to make additional “catch-up” contributions if they have sufficient compensation. If you or your spouse are an active participant in a retirement plan of an employer, your deductible contributions may be limited. If you exceed purchase payment limits you may be subject to a tax penalty.</w:t>
      </w:r>
    </w:p>
    <w:p>
      <w:pPr>
        <w:spacing w:after="0" w:line="81" w:lineRule="exact"/>
        <w:rPr>
          <w:sz w:val="20"/>
          <w:szCs w:val="20"/>
          <w:color w:val="auto"/>
        </w:rPr>
      </w:pPr>
    </w:p>
    <w:p>
      <w:pPr>
        <w:jc w:val="both"/>
        <w:ind w:left="120" w:right="639" w:firstLine="360"/>
        <w:spacing w:after="0" w:line="277" w:lineRule="auto"/>
        <w:rPr>
          <w:sz w:val="20"/>
          <w:szCs w:val="20"/>
          <w:color w:val="auto"/>
        </w:rPr>
      </w:pPr>
      <w:r>
        <w:rPr>
          <w:rFonts w:ascii="Times New Roman" w:cs="Times New Roman" w:eastAsia="Times New Roman" w:hAnsi="Times New Roman"/>
          <w:sz w:val="17"/>
          <w:szCs w:val="17"/>
          <w:color w:val="auto"/>
        </w:rPr>
        <w:t>Roth IRA purchase payments for individuals are non-deductible (made on an “after tax” basis) and are limited to the lesser of 100% of compensation or the annual deductible IRA amount. Individuals age 50 and older can make an additional “catch-up” purchase payment each year (assuming the individual has sufficient compensation). You may contribute up to the annual purchase payment limit if your modified adjusted gross income does not exceed certain limits. If you exceed purchase payment limits, you may be subject to a tax penalty.</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If and to the extent that Traditional IRA purchase payments are made on an “after tax” basis, withdrawals would be included in income except for the portion that represents a return of non-deductible purchase payments. This portion is generally determined based upon the ratio of all non-deductible purchase payments to the total value of all your Traditional IRAs (including SEP IRAs and SIMPLE IRAs). We withhold a portion of the amount of your withdrawal for income taxes, unless you elect otherwise. The amount we withhold is determined by the Code.</w:t>
      </w:r>
    </w:p>
    <w:p>
      <w:pPr>
        <w:spacing w:after="0" w:line="79"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Generally, withdrawal of earnings from Roth IRAs are free from Federal income tax if (1) they are made at least five taxable years after the tax year for which you made your first purchase payment to a Roth IRA; and (2) they are made on or after the date you reach age 59½ or upon your death, disability or for a qualified first-home purchase (up to $10,000). Withdrawals from a Roth IRA are made first from purchase payments and then from earnings. We may be required to withhold a portion of your withdrawal for income taxes, unless you elect otherwise. The amount will be determined by the Code.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Traditional IRAs may be converted to Roth IRAs. Except to the extent you have non-deductible contributions, the amount converted from an existing Traditional IRA into a Roth IRA is taxable. Generally, the 10% Federal income tax penalty does not apply. However, the taxable amount to be converted must be based on the fair market value of the entire annuity contract being converted into a Roth IRA. Such fair market value, in general, is to be determined by taking into account the value of all benefits (both living benefits and death benefits) in addition to the account balance; as well as adding back certain loads and charges incurred during the prior twelve month period. Your Contract may include such benefits and applicable charges. Accordingly, if you are considering such conversion of your annuity Contract, please consult your tax adviser. The taxable amount may exceed the account balance at the date of conversion.</w:t>
      </w:r>
    </w:p>
    <w:p>
      <w:pPr>
        <w:spacing w:after="0" w:line="80"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Prior to 2018, contributions made to a Traditional IRA that were converted to a Roth IRA could be recharacterized as made back to the Traditional IRA, if certain conditions were met. Under a provision of the Tax Cuts and Jobs Act, recharacterization cannot be used to unwind a conversion from a Traditional IRA to a Roth IRA for taxable years beginning after December 31, 2017. For conversions made to a Roth IRA in 2017, the IRS has issued guidance allowing recharacterizations to be made in 2018. Please consult your tax adviser.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Federal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Annuity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to Tax Rules and Interpretations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to applicable tax rules and interpretations can adversely affect the tax treatment of your Contract.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changes may take effect retroactively.</w:t>
      </w:r>
    </w:p>
    <w:p>
      <w:pPr>
        <w:spacing w:after="0" w:line="9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amend your Contract where necessary to maintain its status as an Annuity Contract under Federal tax law and to protect you and other Contract owners from adverse tax consequences.</w:t>
      </w:r>
    </w:p>
    <w:p>
      <w:pPr>
        <w:sectPr>
          <w:pgSz w:w="11900" w:h="16838" w:orient="portrait"/>
          <w:cols w:equalWidth="0" w:num="1">
            <w:col w:w="9019"/>
          </w:cols>
          <w:pgMar w:left="1440" w:top="1373" w:right="1440" w:bottom="1440" w:gutter="0" w:footer="0" w:header="0"/>
        </w:sectPr>
      </w:pPr>
    </w:p>
    <w:p>
      <w:pPr>
        <w:spacing w:after="0" w:line="3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019"/>
          </w:cols>
          <w:pgMar w:left="1440" w:top="1373" w:right="1440" w:bottom="1440" w:gutter="0" w:footer="0" w:header="0"/>
          <w:type w:val="continuous"/>
        </w:sectPr>
      </w:pPr>
    </w:p>
    <w:bookmarkStart w:id="58" w:name="page59"/>
    <w:bookmarkEnd w:id="58"/>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Qualified Annuity Contracts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Annuity contracts purchased through tax qualified plans are subject to limitations imposed by the Code and regulations as a condition of tax qualification. There are various types of tax qualified plans which have certain beneficial tax consequences for Contract owners and plan participants.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Types of Qualified Plans</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includes individual account-type plans which may hold an annuity Contract as described in the Prospectus.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IRA</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traditional IRA is established by an individual, under Section 408(a) or 408(b) of the Code. See also Roth IRAs below.</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Roth Account</w:t>
      </w:r>
    </w:p>
    <w:p>
      <w:pPr>
        <w:spacing w:after="0" w:line="11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Individual or employee plan contributions made to certain plans on an after-tax basis. An IRA may be established as a Roth IRA under Section 408A, and 401(k), 403(b) and 457(b) plans may provide for Roth accounts. Contributions to a Roth IRA are limited based on the level of your modified adjusted gross income.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Comparison of Plan Limits for Individual Contributions:</w:t>
      </w:r>
    </w:p>
    <w:p>
      <w:pPr>
        <w:spacing w:after="0" w:line="166"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Plan Type</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Elective Contribution</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Catch-up Contribution</w:t>
            </w:r>
          </w:p>
        </w:tc>
      </w:tr>
      <w:tr>
        <w:trPr>
          <w:trHeight w:val="2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68"/>
        </w:trPr>
        <w:tc>
          <w:tcPr>
            <w:tcW w:w="27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IRA</w:t>
            </w:r>
          </w:p>
        </w:tc>
        <w:tc>
          <w:tcPr>
            <w:tcW w:w="2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2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SIMPLE IRA</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$16,000</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69"/>
        </w:trPr>
        <w:tc>
          <w:tcPr>
            <w:tcW w:w="27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401(k)</w:t>
            </w:r>
          </w:p>
        </w:tc>
        <w:tc>
          <w:tcPr>
            <w:tcW w:w="2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$23,000</w:t>
            </w:r>
          </w:p>
        </w:tc>
        <w:tc>
          <w:tcPr>
            <w:tcW w:w="2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$7,500</w:t>
            </w:r>
          </w:p>
        </w:tc>
      </w:tr>
      <w:tr>
        <w:trPr>
          <w:trHeight w:val="237"/>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SEP/401(a)</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(Employer contributions only)</w:t>
            </w:r>
          </w:p>
        </w:tc>
        <w:tc>
          <w:tcPr>
            <w:tcW w:w="2740" w:type="dxa"/>
            <w:vAlign w:val="bottom"/>
            <w:tcBorders>
              <w:top w:val="single" w:sz="8" w:color="auto"/>
              <w:right w:val="single" w:sz="8" w:color="auto"/>
            </w:tcBorders>
          </w:tcPr>
          <w:p>
            <w:pPr>
              <w:spacing w:after="0"/>
              <w:rPr>
                <w:sz w:val="20"/>
                <w:szCs w:val="20"/>
                <w:color w:val="auto"/>
              </w:rPr>
            </w:pP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68"/>
        </w:trPr>
        <w:tc>
          <w:tcPr>
            <w:tcW w:w="274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403(b) [TSA]</w:t>
            </w:r>
          </w:p>
        </w:tc>
        <w:tc>
          <w:tcPr>
            <w:tcW w:w="2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$23,000</w:t>
            </w:r>
          </w:p>
        </w:tc>
        <w:tc>
          <w:tcPr>
            <w:tcW w:w="2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$7,500</w:t>
            </w:r>
          </w:p>
        </w:tc>
      </w:tr>
      <w:tr>
        <w:trPr>
          <w:trHeight w:val="247"/>
        </w:trPr>
        <w:tc>
          <w:tcPr>
            <w:tcW w:w="27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457(b)</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-1227455</wp:posOffset>
            </wp:positionV>
            <wp:extent cx="522922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2922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-892810</wp:posOffset>
            </wp:positionV>
            <wp:extent cx="5229225"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2922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-532765</wp:posOffset>
            </wp:positionV>
            <wp:extent cx="5229225"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29225"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-172720</wp:posOffset>
            </wp:positionV>
            <wp:extent cx="5229225"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29225" cy="162560"/>
                    </a:xfrm>
                    <a:prstGeom prst="rect">
                      <a:avLst/>
                    </a:prstGeom>
                    <a:noFill/>
                  </pic:spPr>
                </pic:pic>
              </a:graphicData>
            </a:graphic>
          </wp:anchor>
        </w:drawing>
      </w:r>
    </w:p>
    <w:p>
      <w:pPr>
        <w:spacing w:after="0" w:line="17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Dollar limits are for 2024 and subject to cost-of-living adjustments in future years. Employer-sponsored individual account plans (other than 457(b) plans) may provide for additional employer contributions not to exceed the lesser of $69,000 and 100% of an employee’s compensation for 2024.</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While no attempt is being made to discuss the Federal estate tax implications of the Contract, you should bear in mind that the value of an annuity contract owned by a decedent and payable to a beneficiary by virtue of surviving the decedent is included in the decedent’s gross estate. Depending on the terms of the annuity contract, the value of the annuity included in the gross estate may be the value of the lump sum payment payable to the designated beneficiary or the actuarial value of the payments to be received by the beneficiary. Consult an estate planning adviser for more information.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Generation-Skipping Transfer Tax</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Code may impose a “generation-skipping transfer tax” when all or part of an annuity contract is transferred to, or a death benefit is paid to, an individual two or more generations younger than the contract owner. Regulations issued under the Code may require us to deduct the tax from your contract, or from any applicable payment, and pay it directly to the IRS.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 2.0 Act Considerations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part of the Consolidated Appropriations Act, 2023, Congress passed the SECURE 2.0 Act of 2022 (the “Act”) which was signed into law on December 29, 2022. The Act includes many provisions updating the Code affecting employer sponsored qualified plans and IRAs, including provisions that become effective immediately and provisions which become effective in later years through 2033. For example, the Act includes provisions affecting required minimum distributions (RMD), certain contribution and other limits affecting IRAs and qualified plans, as well as provisions providing new exceptions to the 10% federal income tax penalty for “early” distributions which may also provide for the ability to recontribute such early distributions to an IRA or qualified plan (subject to the provisions of the Code, the qualified plan/IRA, the Contract and our administrative rules.) This prospectus does not attempt to provide a complete discussion of the Act and its provisions. Individuals should consult with a qualified tax adviser.</w:t>
      </w:r>
    </w:p>
    <w:p>
      <w:pPr>
        <w:sectPr>
          <w:pgSz w:w="11900" w:h="16838" w:orient="portrait"/>
          <w:cols w:equalWidth="0" w:num="1">
            <w:col w:w="9019"/>
          </w:cols>
          <w:pgMar w:left="1440" w:top="1373" w:right="1440" w:bottom="1028"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9019"/>
          </w:cols>
          <w:pgMar w:left="1440" w:top="1373" w:right="1440" w:bottom="1028" w:gutter="0" w:footer="0" w:header="0"/>
          <w:type w:val="continuous"/>
        </w:sectPr>
      </w:pPr>
    </w:p>
    <w:bookmarkStart w:id="59" w:name="page60"/>
    <w:bookmarkEnd w:id="59"/>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Annuity Purchase Payments by Nonresident Aliens and Foreign Entities</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discussion above provides general information regarding U.S. Federal income tax consequences to annuity purchasers that are U.S. citizens or residents. Purchasers that are not U.S. citizens or residents will generally be subject to U.S. Federal withholding tax on taxable distributions from annuity contracts at a 30% rate, unless a lower treaty rate applies. In addition, purchasers may be subject to state and/or municipal taxes and taxes that may be imposed by the purchaser’s country of citizenship or residence. Prospective purchasers are advised to consult with a qualified tax adviser regarding U.S., state and foreign taxation with respect to an annuity contract purchase.</w:t>
      </w:r>
    </w:p>
    <w:p>
      <w:pPr>
        <w:spacing w:after="0" w:line="29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YOUR RIGHT TO CANCEL (FREE LOOK)</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If you change your mind about owning the Contract, you can cancel it within 10 days after receiving it by mailing or delivering the Contract to either us or the financial professional who sold it. This is known as a “Free Look.” We ask that you submit your request to cancel in writing, signed by you, to us (e.g., the Annuity Service Office) or to the financial professional who sold it. When you cancel the Contract within this Free Look period, we will not assess a Withdrawal Charge. You will receive (i) whatever your Contract is worth, plus (ii) the sum of all fees, taxes and charges deducted from the Purchase Payment during the Free Look period, as of the effective date of the Free Look, on the Business Day we receive your Contract. The amount you receive for a cancellation request submitted to your financial professional will depend on the day that such request is, in turn, provided to us.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29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OWNERSHIP PROVISIONS</w:t>
      </w:r>
    </w:p>
    <w:p>
      <w:pPr>
        <w:spacing w:after="0" w:line="117" w:lineRule="exact"/>
        <w:rPr>
          <w:sz w:val="20"/>
          <w:szCs w:val="20"/>
          <w:color w:val="auto"/>
        </w:rPr>
      </w:pPr>
    </w:p>
    <w:p>
      <w:pPr>
        <w:jc w:val="both"/>
        <w:ind w:left="12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xml:space="preserve">  You, as the Owner, have all the interest and rights under the Contract. Subject to our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we may also permit ownership by a corporation (a type of non-natural person) or other legal entity.</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rights include the right to:</w:t>
      </w:r>
    </w:p>
    <w:p>
      <w:pPr>
        <w:spacing w:after="0" w:line="158" w:lineRule="exact"/>
        <w:rPr>
          <w:sz w:val="20"/>
          <w:szCs w:val="20"/>
          <w:color w:val="auto"/>
        </w:rPr>
      </w:pPr>
    </w:p>
    <w:p>
      <w:pPr>
        <w:ind w:left="1180" w:hanging="708"/>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Beneficiary.</w:t>
      </w:r>
    </w:p>
    <w:p>
      <w:pPr>
        <w:spacing w:after="0" w:line="157" w:lineRule="exact"/>
        <w:rPr>
          <w:rFonts w:ascii="Times New Roman" w:cs="Times New Roman" w:eastAsia="Times New Roman" w:hAnsi="Times New Roman"/>
          <w:sz w:val="18"/>
          <w:szCs w:val="18"/>
          <w:color w:val="auto"/>
        </w:rPr>
      </w:pPr>
    </w:p>
    <w:p>
      <w:pPr>
        <w:ind w:left="1180" w:right="1079" w:hanging="708"/>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Annuitant before the Annuity Date (subject to our underwriting and administrative rules).</w:t>
      </w:r>
    </w:p>
    <w:p>
      <w:pPr>
        <w:spacing w:after="0" w:line="9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the Contract (subject to limitation).</w:t>
      </w:r>
    </w:p>
    <w:p>
      <w:pPr>
        <w:spacing w:after="0" w:line="14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Annuity Payments option before the Annuity Date.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other rights, benefits, options and privileges permitted by the Contract or us.</w:t>
      </w:r>
    </w:p>
    <w:p>
      <w:pPr>
        <w:spacing w:after="0" w:line="117"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Owner as designated at the time the Contract is issued, unless changed. You may change the Owner at any time. Any change of Owner is subject to the laws, rules or regulations in effect at the time of the request. A change of Owner will automatically revoke any prior designation of the Owner.</w:t>
      </w:r>
    </w:p>
    <w:p>
      <w:pPr>
        <w:spacing w:after="0" w:line="64" w:lineRule="exact"/>
        <w:rPr>
          <w:sz w:val="20"/>
          <w:szCs w:val="20"/>
          <w:color w:val="auto"/>
        </w:rPr>
      </w:pPr>
    </w:p>
    <w:p>
      <w:pPr>
        <w:jc w:val="both"/>
        <w:ind w:left="12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Joint Owner.</w:t>
      </w:r>
      <w:r>
        <w:rPr>
          <w:rFonts w:ascii="Times New Roman" w:cs="Times New Roman" w:eastAsia="Times New Roman" w:hAnsi="Times New Roman"/>
          <w:sz w:val="18"/>
          <w:szCs w:val="18"/>
          <w:color w:val="auto"/>
        </w:rPr>
        <w:t xml:space="preserve">  The Contract can be owned by Joint Owners, limited to natural persons. Either Joint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exercise all rights under the Contract unless you inform us otherwise in a Notice to us. Upon the death of either Owner, the surviving Joint Owner will be the primary Beneficiary, unless you inform us otherwise. Any other Beneficiary designation will be treated as a contingent Beneficiary unless otherwise indicated on the Contract Schedule or in a Notice to us.</w:t>
      </w:r>
    </w:p>
    <w:p>
      <w:pPr>
        <w:spacing w:after="0" w:line="71"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Annuitant.</w:t>
      </w:r>
      <w:r>
        <w:rPr>
          <w:rFonts w:ascii="Times New Roman" w:cs="Times New Roman" w:eastAsia="Times New Roman" w:hAnsi="Times New Roman"/>
          <w:sz w:val="18"/>
          <w:szCs w:val="18"/>
          <w:color w:val="auto"/>
        </w:rPr>
        <w:t xml:space="preserve">  The Annuitant is the natural person(s) on whose life we base Annuity Payments. The Annuitant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person designated by you on the Issue Date. You can change the Annuitant at any time prior to the Annuity Date, unless an Owner is not a natural person. Any reference to Annuitant includes any joint Annuitant under an Annuity Option. The Owner and the Annuitant do not have to be the same person except as required under certain sections of the Code. Any change of the Annuitant is subject to the specified maximum age in effect at the time of the request.</w:t>
      </w:r>
    </w:p>
    <w:p>
      <w:pPr>
        <w:spacing w:after="0" w:line="74"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xml:space="preserve">  The person(s) or entity(ies) you name to receive a death benefit payable under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death of the Owner or a Joint Owner, or in certain circumstances, an Annuitant. The Beneficiary is named at the time the Contract is issued unless changed at a later date. Unless an irrevocable Beneficiary has been named, you can change the Beneficiary at any time before you die by filing a Notice with us. If Joint Owners are named, and unless you tell us otherwise, the surviving Joint Owner will be the primary Beneficiary. Any other primary Beneficiary designation will be treated as the contingent Beneficiary.</w:t>
      </w:r>
    </w:p>
    <w:p>
      <w:pPr>
        <w:spacing w:after="0" w:line="74"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You may assign your rights under the Contract unless restricted by the Code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NY law. For example, in certain tax markets, assignment of the Contract is prohibited by the Code. If the Contract is assigned absolutely, we will treat it as a change of ownership and all rights will be transferred. We are not bound by any assignment</w:t>
      </w:r>
    </w:p>
    <w:p>
      <w:pPr>
        <w:sectPr>
          <w:pgSz w:w="11900" w:h="16838" w:orient="portrait"/>
          <w:cols w:equalWidth="0" w:num="1">
            <w:col w:w="9019"/>
          </w:cols>
          <w:pgMar w:left="1440" w:top="1373" w:right="1440" w:bottom="353"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9019"/>
          </w:cols>
          <w:pgMar w:left="1440" w:top="1373" w:right="1440" w:bottom="353" w:gutter="0" w:footer="0" w:header="0"/>
          <w:type w:val="continuous"/>
        </w:sectPr>
      </w:pPr>
    </w:p>
    <w:bookmarkStart w:id="60" w:name="page61"/>
    <w:bookmarkEnd w:id="60"/>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unless it is in writing and until it is received at our Annuity Service Office. We assume no responsibility for the validity or effect of any assignment. We will not be liable for any payment or other action we take in accordance with the Contract before we receive the assignment. Assignments will be effective as of the date the written notice of assignment was signed subject to all payments made and actions taken by us before a copy of the signed assignment form is received by us at our Annuity Service Office. You should consult your tax advisor regarding the tax consequences of an assignment. </w:t>
      </w:r>
      <w:r>
        <w:rPr>
          <w:rFonts w:ascii="Times New Roman" w:cs="Times New Roman" w:eastAsia="Times New Roman" w:hAnsi="Times New Roman"/>
          <w:sz w:val="18"/>
          <w:szCs w:val="18"/>
          <w:b w:val="1"/>
          <w:bCs w:val="1"/>
          <w:color w:val="auto"/>
        </w:rPr>
        <w:t>An assignment may be a taxable event.</w:t>
      </w:r>
    </w:p>
    <w:p>
      <w:pPr>
        <w:spacing w:after="0" w:line="29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ABANDONED PROPERTY REQUIREMENTS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Every state has unclaimed property laws that generally declare non-ERISA annuity contracts to be abandoned after a period of inactivity of three to five years from the contract’s maturity date, the date the death benefit is due and payable, or such other date as required by New York law. Contracts purchased through certain qualified plans, including IRAs and Roth IRAs, may be subject to special or additional abandoned property rules under New York law. For example, if the payment of a death benefit has been triggered, but, if after a thorough search, we are still unable to locate the Beneficiary of the death benefit, or the Beneficiary does not come forward to claim the death benefit in a timely manner, the death benefit will be paid to the abandoned property division or unclaimed property office of the state in which the Beneficiary or you last resided, as shown on our books and records, or to our state of domicile. (Escheatment is the formal, legal name for this process.) However, the state is obligated to pay the death benefit (without interest) if your Beneficiary steps forward to claim it with the proper documentation. To prevent your Contract’s proceeds from being paid to the state abandoned or unclaimed property office, it is important that you update your Beneficiary designations, including addresses, if and as they change. Please call 1-888-243-1932 to make such changes.</w:t>
      </w:r>
    </w:p>
    <w:p>
      <w:pPr>
        <w:spacing w:after="0" w:line="29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SUSPENSION OF PAYMENTS OR TRANSFERS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may be required to suspend or delay the payment of withdrawals and transfers when we cannot obtain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Index Value under the following circumstances:</w:t>
      </w:r>
    </w:p>
    <w:p>
      <w:pPr>
        <w:spacing w:after="0" w:line="139" w:lineRule="exact"/>
        <w:rPr>
          <w:sz w:val="20"/>
          <w:szCs w:val="20"/>
          <w:color w:val="auto"/>
        </w:rPr>
      </w:pPr>
    </w:p>
    <w:p>
      <w:pPr>
        <w:ind w:left="1180" w:hanging="70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NYSE is closed (other than customary weekend and holiday closings);</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on the NYSE is restricted;</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emergency exists such that we cannot value Investment Amounts; or</w:t>
      </w:r>
    </w:p>
    <w:p>
      <w:pPr>
        <w:spacing w:after="0" w:line="144"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other period when a regulator by order, so permits.</w:t>
      </w:r>
    </w:p>
    <w:p>
      <w:pPr>
        <w:spacing w:after="0" w:line="3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WHEN WE CAN CANCEL YOUR CONTRACT</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may terminate your Contract by paying you the Account Value in one sum if, prior to the Annuity Date the Minimum Account Value after any partial withdrawal is less than $2,000 or any lower amount required by Federal tax laws. Accordingly, no Contract will be terminated due solely to negative Index Performance. We will only do so to the extent allowed by law. If we do so, we will return the full Account Value. Federal tax law may impose additional restrictions on our right to cancel your Traditional IRA or Roth IRA Contract. We will not terminate any Contract if at the time the termination would otherwise occur the guaranteed amount under any death benefit is greater than the Account Value. For all other Contracts, we reserve the right to exercise this termination provision, subject to obtaining any required regulatory approvals.</w:t>
      </w:r>
    </w:p>
    <w:p>
      <w:pPr>
        <w:spacing w:after="0" w:line="2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THE INSURANCE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BLNY is a stock life insurance company organized under the laws of the State of New York in 1992. BLNY is licensed to do business only in the State of New York. BLNY is a wholly-owned subsidiary of, and controlled by, Brighthouse Life Insurance Company (“BLIC”). BLIC is an indirect, wholly-owned subsidiary of, and ultimately controlled by, Brighthouse Financial, Inc. (“BHF”), a publicly-traded company. BHF, through its subsidiaries and affiliates, is one of the largest providers of annuities and life insurance in the U.S.</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BLNY’s executive offices are located at 285 Madison Avenue, New York, NY 10017. Unless we designate a different office, the office that administers your Contract is located at P.O. Box 305075, Nashville, TN, 37230-5075.</w:t>
      </w:r>
    </w:p>
    <w:p>
      <w:pPr>
        <w:sectPr>
          <w:pgSz w:w="11900" w:h="16838" w:orient="portrait"/>
          <w:cols w:equalWidth="0" w:num="1">
            <w:col w:w="9019"/>
          </w:cols>
          <w:pgMar w:left="1440" w:top="1377" w:right="1440" w:bottom="1440" w:gutter="0" w:footer="0" w:header="0"/>
        </w:sectPr>
      </w:pP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019"/>
          </w:cols>
          <w:pgMar w:left="1440" w:top="1377" w:right="1440" w:bottom="1440" w:gutter="0" w:footer="0" w:header="0"/>
          <w:type w:val="continuous"/>
        </w:sectPr>
      </w:pPr>
    </w:p>
    <w:bookmarkStart w:id="61" w:name="page62"/>
    <w:bookmarkEnd w:id="61"/>
    <w:p>
      <w:pPr>
        <w:ind w:left="3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SEPARATE ACCOUNT</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assets of the Separate Account are held in our name on behalf of the Separate Account and legally belong to us. We are obligated to pay all money we owe under the Contracts—such as death benefits and Annuity Payments—even if that amount exceeds the assets in the Separate Account. Any such amount that exceeds the assets in the Separate Account is paid from our General Account. Amounts paid from the General Account are subject to the financial strength and claims paying ability of BLNY and our long term ability to make such payments and are not guaranteed by any other party. We issue other annuity contracts where we pay all money we owe under those contracts from our General Account. BLNY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p>
    <w:p>
      <w:pPr>
        <w:spacing w:after="0" w:line="86"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 Purchase Payment made to the Contract is allocated to the Separate Account. We have exclusive and absolute ownership and control of the assets of the Separate Account. It is a non-unitized separate account. You do not share in the investment performance of assets allocated to the Separate Account. All investment income, gains and losses, whether or not realized, from assets allocated to the Separate Account are borne by BLNY. The obligations under the Contract are independent of the investment performance of the Separate Account and are our obligations.</w:t>
      </w:r>
    </w:p>
    <w:p>
      <w:pPr>
        <w:spacing w:after="0" w:line="93"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maintain in the Separate Account assets with an aggregate value at least equal to the reserves for all contracts allocated under the Separate Account.</w:t>
      </w:r>
    </w:p>
    <w:p>
      <w:pPr>
        <w:spacing w:after="0" w:line="6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If the aggregate value of such assets in the Separate Account should fall below such amount, we will transfer assets into the Separate Account so that the value of the Separate Account’s assets is at least equal to such amount. Assets supporting reserves for annuity benefits under such contracts, in the course of payment, will not be maintained in the Separate Account.</w:t>
      </w:r>
    </w:p>
    <w:p>
      <w:pPr>
        <w:spacing w:after="0" w:line="28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INVESTMENTS BY BLNY</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must invest our assets according to New York state law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 Purchase Payments made to these Contracts issued by BLNY are invested in the Separate Account. The Separate Account is a non-unitized separate account. Owners do not share in the investment performance of assets allocated to the Separate Account. The obligations under the Contract are independent of the investment performance of the Separate Account and are the obligations of BLNY.</w:t>
      </w:r>
    </w:p>
    <w:p>
      <w:pPr>
        <w:spacing w:after="0" w:line="29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ANNUAL STATEMENT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least once each calendar year, we will send you a statement that will show:</w:t>
      </w:r>
    </w:p>
    <w:p>
      <w:pPr>
        <w:spacing w:after="0" w:line="158" w:lineRule="exact"/>
        <w:rPr>
          <w:sz w:val="20"/>
          <w:szCs w:val="20"/>
          <w:color w:val="auto"/>
        </w:rPr>
      </w:pPr>
    </w:p>
    <w:p>
      <w:pPr>
        <w:ind w:left="1180" w:hanging="70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Account Value;</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regarding your Contract during the year; and</w:t>
      </w:r>
    </w:p>
    <w:p>
      <w:pPr>
        <w:spacing w:after="0" w:line="157" w:lineRule="exact"/>
        <w:rPr>
          <w:rFonts w:ascii="Times New Roman" w:cs="Times New Roman" w:eastAsia="Times New Roman" w:hAnsi="Times New Roman"/>
          <w:sz w:val="18"/>
          <w:szCs w:val="18"/>
          <w:color w:val="auto"/>
        </w:rPr>
      </w:pPr>
    </w:p>
    <w:p>
      <w:pPr>
        <w:ind w:left="1180" w:hanging="708"/>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Amount and interest credited to your Contract.</w:t>
      </w:r>
    </w:p>
    <w:p>
      <w:pPr>
        <w:spacing w:after="0" w:line="117"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Such statements will be sent to your last known address on our records. You will have sixty (60) days from the date you receive such statement to inform us of any errors, otherwise such statement will be deemed final and correct.</w:t>
      </w:r>
    </w:p>
    <w:p>
      <w:pPr>
        <w:spacing w:after="0" w:line="2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DISTRIBUTION OF THE CONTRACTS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 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 or log on to </w:t>
      </w:r>
      <w:r>
        <w:rPr>
          <w:rFonts w:ascii="Times New Roman" w:cs="Times New Roman" w:eastAsia="Times New Roman" w:hAnsi="Times New Roman"/>
          <w:sz w:val="18"/>
          <w:szCs w:val="18"/>
          <w:u w:val="single" w:color="auto"/>
          <w:color w:val="auto"/>
        </w:rPr>
        <w:t>www.finra.org</w:t>
      </w:r>
      <w:r>
        <w:rPr>
          <w:rFonts w:ascii="Times New Roman" w:cs="Times New Roman" w:eastAsia="Times New Roman" w:hAnsi="Times New Roman"/>
          <w:sz w:val="18"/>
          <w:szCs w:val="18"/>
          <w:color w:val="auto"/>
        </w:rPr>
        <w:t>. An investor brochure that includes information describing FINRA BrokerCheck is available through the Hotline or on-line.</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Brighthouse Securities is not obligated to take and pay for, and is not required to sell, any specific number or dollar amount of Contracts. Brighthouse Securities, and in certain cases, we, have entered into selling agreements with unaffiliated selling firms for the sale of the Contracts. No selling firms are affiliated with us or Brighthouse Securities. We pay compensation to Brighthouse Securities for sales of the Contracts by selling firms. We also pay amounts to Brighthouse</w:t>
      </w:r>
    </w:p>
    <w:p>
      <w:pPr>
        <w:sectPr>
          <w:pgSz w:w="11900" w:h="16838" w:orient="portrait"/>
          <w:cols w:equalWidth="0" w:num="1">
            <w:col w:w="9019"/>
          </w:cols>
          <w:pgMar w:left="1440" w:top="1373" w:right="1440" w:bottom="299" w:gutter="0" w:footer="0" w:header="0"/>
        </w:sect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019"/>
          </w:cols>
          <w:pgMar w:left="1440" w:top="1373" w:right="1440" w:bottom="299" w:gutter="0" w:footer="0" w:header="0"/>
          <w:type w:val="continuous"/>
        </w:sectPr>
      </w:pPr>
    </w:p>
    <w:bookmarkStart w:id="62" w:name="page63"/>
    <w:bookmarkEnd w:id="62"/>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that may be used for its operating and other expenses, including the following sales expenses: compensation and bonuses for Brighthouse Securities’ management team, advertising expenses and other expenses of distributing the Contracts.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Firms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noted above, Brighthouse Securities, and in certain cases, we, have entered into selling agreements with selling firms for the sale of the Contracts.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Contract. A portion of the payments made to selling firms may be passed on to their financial professionals in accordance with the selling firms’ internal compensation programs. Those programs may also include other types of cash and non-cash compensation and other benefits. Financial professionals of the selling firms may also receive non-cash compensation, pursuant to their firm’s guidelines, directly from us or Brighthouse Securities.</w:t>
      </w:r>
    </w:p>
    <w:p>
      <w:pPr>
        <w:spacing w:after="0" w:line="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Compensation Paid to Selling Firms.  </w:t>
      </w:r>
      <w:r>
        <w:rPr>
          <w:rFonts w:ascii="Times New Roman" w:cs="Times New Roman" w:eastAsia="Times New Roman" w:hAnsi="Times New Roman"/>
          <w:sz w:val="18"/>
          <w:szCs w:val="18"/>
          <w:color w:val="auto"/>
        </w:rPr>
        <w:t>Brighthouse Securities pays compensation to all selling firms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commissions and may also provide certain types of non-cash compensation. The maximum commission payable is 6% of the Purchase Payment. Some selling firms may elect to receive a lower commission when the Purchase Payment is made, along with annual trail commissions up to 1% of Account Value for so long as the Contract remains in effect or as agreed in the selling agreement. We also pay commissions when an Owner elects to begin receiving regular Annuity Payments. (See “ANNUITY PAYMENTS—(THE ANNUITY PERIOD).”) Brighthouse Securities may also provide non-cash compensation items that we may provide jointly with Brighthouse Securities. Non-cash items may include expenses for conference or seminar trips, certain gifts, prizes and awards.</w:t>
      </w:r>
    </w:p>
    <w:p>
      <w:pPr>
        <w:spacing w:after="0" w:line="8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Ask your financial professional for further information about what payments your financial professional and the selling firm for which he or she works may receive in connection with your purchase of a Contract.</w:t>
      </w:r>
    </w:p>
    <w:p>
      <w:pPr>
        <w:spacing w:after="0" w:line="50"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Additional Compensation for Selected Selling Firms.  </w:t>
      </w:r>
      <w:r>
        <w:rPr>
          <w:rFonts w:ascii="Times New Roman" w:cs="Times New Roman" w:eastAsia="Times New Roman" w:hAnsi="Times New Roman"/>
          <w:sz w:val="18"/>
          <w:szCs w:val="18"/>
          <w:color w:val="auto"/>
        </w:rPr>
        <w:t>Brighthouse Securities has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Contracts) and may also depend on meeting thresholds in the sale of certain of our insurance contracts (other than the Contracts).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Account Values of the Contracts) or other persistency standards. Preferred status fees are paid to obtain preferred treatment in selling firms’ marketing programs, which may include marketing services, participation in marketing meetings, listings in data resources and increased access to their financial professionals. Industry conference fees are amounts paid to cover in part the costs associated with sales conferences and educational seminars for selling firms’ financial professionals.</w:t>
      </w:r>
    </w:p>
    <w:p>
      <w:pPr>
        <w:spacing w:after="0" w:line="8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professionals with an incentive to favor sales of the Contracts over other annuity contracts (or other investments) with respect to which selling firm does not receive additional compensation, or lower levels of additional compensation. You may wish to take such payment arrangements into account when considering and evaluating any recommendation relating to the Contracts. For more information about any such additional compensation arrangements, ask your financial professional.</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Wholesaling Firms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Contracts by the selling firms. Brighthouse Securities pays compensation to wholesaling firms in connection with these services.</w:t>
      </w:r>
    </w:p>
    <w:p>
      <w:pPr>
        <w:sectPr>
          <w:pgSz w:w="11900" w:h="16838" w:orient="portrait"/>
          <w:cols w:equalWidth="0" w:num="1">
            <w:col w:w="9019"/>
          </w:cols>
          <w:pgMar w:left="1440" w:top="1377" w:right="1440" w:bottom="555"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019"/>
          </w:cols>
          <w:pgMar w:left="1440" w:top="1377" w:right="1440" w:bottom="555" w:gutter="0" w:footer="0" w:header="0"/>
          <w:type w:val="continuous"/>
        </w:sectPr>
      </w:pPr>
    </w:p>
    <w:bookmarkStart w:id="63" w:name="page64"/>
    <w:bookmarkEnd w:id="63"/>
    <w:p>
      <w:pPr>
        <w:ind w:left="3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FIXED ACCOUNT</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may offer our Fixed Account as a funding option. Please refer to your Contract and Appendix D for more information.</w:t>
      </w:r>
    </w:p>
    <w:p>
      <w:pPr>
        <w:spacing w:after="0" w:line="26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HOLDING ACCOUNT</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There are certain circumstances where we will transfer amounts to the Holding Account. Please refer to your Contract and Appendix E for more information.</w:t>
      </w:r>
    </w:p>
    <w:p>
      <w:pPr>
        <w:spacing w:after="0" w:line="26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RESTRICTIONS ON FINANCIAL TRANSACTIONS</w:t>
      </w:r>
    </w:p>
    <w:p>
      <w:pPr>
        <w:spacing w:after="0" w:line="121" w:lineRule="exact"/>
        <w:rPr>
          <w:sz w:val="20"/>
          <w:szCs w:val="20"/>
          <w:color w:val="auto"/>
        </w:rPr>
      </w:pPr>
    </w:p>
    <w:p>
      <w:pPr>
        <w:jc w:val="both"/>
        <w:ind w:left="120" w:right="659" w:firstLine="360"/>
        <w:spacing w:after="0" w:line="281" w:lineRule="auto"/>
        <w:rPr>
          <w:sz w:val="20"/>
          <w:szCs w:val="20"/>
          <w:color w:val="auto"/>
        </w:rPr>
      </w:pPr>
      <w:r>
        <w:rPr>
          <w:rFonts w:ascii="Times New Roman" w:cs="Times New Roman" w:eastAsia="Times New Roman" w:hAnsi="Times New Roman"/>
          <w:sz w:val="17"/>
          <w:szCs w:val="17"/>
          <w:color w:val="auto"/>
        </w:rPr>
        <w:t>Federal laws designed to counter terrorism and prevent money laundering might, in certain circumstances, require us to block an Owner’s ability to make certain transactions and thereby refuse to accept any request for transfers, withdrawals, Surrenders, or death benefits, until instructions are received from the appropriate regulator. We may also be required to provide additional information about you and your Contract to government regulators.</w:t>
      </w:r>
    </w:p>
    <w:p>
      <w:pPr>
        <w:spacing w:after="0" w:line="26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REQUESTS AND ELECTIONS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will treat your request for a Contract transaction, or your submission of the Purchase Payment, as received by us if we receive a request conforming to our administrative procedures or the Purchase Payment at our Annuity Service Office on any Business Day before 4:00 PM Eastern Standard Time or when the NYSE closes, whichever is earlier. We will treat your submission of the Purchase Payment as received by us if we receive it at our Annuity Service Office (or a designee receives it in accordance with the designee’s administrative procedures) on any Business Day before 4:00 PM Eastern Standard Time or when the NYSE closes, whichever is earlier. If we receive the request, or if we (or our designee) receive the Purchase Payment, on any Business Day on or after 4:00 PM Eastern Standard Time or when the NYSE closes, whichever is earlier, then the request or payment will be treated as received on the next day. If you send your Purchase Payment or transaction requests to an address other than the one we have designated for receipt of such Purchase Payment or requests, as indicated in the chart below, we may return the Purchase Payment to you, or there may be a delay in applying the Purchase Payment or processing the transaction.</w:t>
      </w:r>
    </w:p>
    <w:p>
      <w:pPr>
        <w:spacing w:after="0" w:line="82"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Specific to the Performance Lock, all notifications to or other communication with us concerning the Performance Lock--including, to submit a Notice of election to lock the Interim Value for your Shield Option or to transfer the Performance Lock Value—may be made by you or through your financial professional. Note that any Notice of your election to transfer Performance Lock Value after Performance Lock takes effect must be received prior to or on any Contract Anniversary by 4 PM Eastern Standard Time or when the NYSE closes, whichever is earlier. Please direct your requests and elections under your Contract, and inquiries about your Contract, to us as directed below.</w:t>
      </w:r>
    </w:p>
    <w:p>
      <w:pPr>
        <w:spacing w:after="0" w:line="22" w:lineRule="exact"/>
        <w:rPr>
          <w:sz w:val="20"/>
          <w:szCs w:val="20"/>
          <w:color w:val="auto"/>
        </w:rPr>
      </w:pPr>
    </w:p>
    <w:tbl>
      <w:tblPr>
        <w:tblLayout w:type="fixed"/>
        <w:tblInd w:w="130" w:type="dxa"/>
        <w:tblCellMar>
          <w:top w:w="0" w:type="dxa"/>
          <w:left w:w="0" w:type="dxa"/>
          <w:bottom w:w="0" w:type="dxa"/>
          <w:right w:w="0" w:type="dxa"/>
        </w:tblCellMar>
      </w:tblPr>
      <w:tr>
        <w:trPr>
          <w:trHeight w:val="295"/>
        </w:trPr>
        <w:tc>
          <w:tcPr>
            <w:tcW w:w="418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Applications when purchasing the Contract, including</w:t>
            </w:r>
          </w:p>
        </w:tc>
        <w:tc>
          <w:tcPr>
            <w:tcW w:w="40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4365</w:t>
            </w:r>
          </w:p>
        </w:tc>
      </w:tr>
      <w:tr>
        <w:trPr>
          <w:trHeight w:val="234"/>
        </w:trPr>
        <w:tc>
          <w:tcPr>
            <w:tcW w:w="418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initial Purchase Payment</w:t>
            </w: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52733-4365</w:t>
            </w:r>
          </w:p>
        </w:tc>
      </w:tr>
      <w:tr>
        <w:trPr>
          <w:trHeight w:val="225"/>
        </w:trPr>
        <w:tc>
          <w:tcPr>
            <w:tcW w:w="420" w:type="dxa"/>
            <w:vAlign w:val="bottom"/>
            <w:tcBorders>
              <w:left w:val="single" w:sz="8" w:color="auto"/>
            </w:tcBorders>
          </w:tcPr>
          <w:p>
            <w:pPr>
              <w:spacing w:after="0"/>
              <w:rPr>
                <w:sz w:val="19"/>
                <w:szCs w:val="19"/>
                <w:color w:val="auto"/>
              </w:rPr>
            </w:pPr>
          </w:p>
        </w:tc>
        <w:tc>
          <w:tcPr>
            <w:tcW w:w="3760" w:type="dxa"/>
            <w:vAlign w:val="bottom"/>
          </w:tcPr>
          <w:p>
            <w:pPr>
              <w:spacing w:after="0"/>
              <w:rPr>
                <w:sz w:val="19"/>
                <w:szCs w:val="19"/>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245-2964</w:t>
            </w:r>
          </w:p>
        </w:tc>
      </w:tr>
      <w:tr>
        <w:trPr>
          <w:trHeight w:val="229"/>
        </w:trPr>
        <w:tc>
          <w:tcPr>
            <w:tcW w:w="420" w:type="dxa"/>
            <w:vAlign w:val="bottom"/>
            <w:tcBorders>
              <w:left w:val="single" w:sz="8" w:color="auto"/>
            </w:tcBorders>
          </w:tcPr>
          <w:p>
            <w:pPr>
              <w:spacing w:after="0"/>
              <w:rPr>
                <w:sz w:val="19"/>
                <w:szCs w:val="19"/>
                <w:color w:val="auto"/>
              </w:rPr>
            </w:pPr>
          </w:p>
        </w:tc>
        <w:tc>
          <w:tcPr>
            <w:tcW w:w="3760" w:type="dxa"/>
            <w:vAlign w:val="bottom"/>
          </w:tcPr>
          <w:p>
            <w:pPr>
              <w:spacing w:after="0"/>
              <w:rPr>
                <w:sz w:val="19"/>
                <w:szCs w:val="19"/>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0" w:type="dxa"/>
            <w:vAlign w:val="bottom"/>
            <w:tcBorders>
              <w:lef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Or through your financial professional</w:t>
            </w:r>
          </w:p>
        </w:tc>
      </w:tr>
      <w:tr>
        <w:trPr>
          <w:trHeight w:val="54"/>
        </w:trPr>
        <w:tc>
          <w:tcPr>
            <w:tcW w:w="4180" w:type="dxa"/>
            <w:vAlign w:val="bottom"/>
            <w:tcBorders>
              <w:left w:val="single" w:sz="8" w:color="auto"/>
              <w:bottom w:val="single" w:sz="8" w:color="auto"/>
            </w:tcBorders>
            <w:gridSpan w:val="2"/>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r>
      <w:tr>
        <w:trPr>
          <w:trHeight w:val="272"/>
        </w:trPr>
        <w:tc>
          <w:tcPr>
            <w:tcW w:w="418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Death Claims</w:t>
            </w: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4330</w:t>
            </w:r>
          </w:p>
        </w:tc>
      </w:tr>
      <w:tr>
        <w:trPr>
          <w:trHeight w:val="234"/>
        </w:trPr>
        <w:tc>
          <w:tcPr>
            <w:tcW w:w="420" w:type="dxa"/>
            <w:vAlign w:val="bottom"/>
            <w:tcBorders>
              <w:left w:val="single" w:sz="8" w:color="auto"/>
            </w:tcBorders>
            <w:shd w:val="clear" w:color="auto" w:fill="F0FFFF"/>
          </w:tcPr>
          <w:p>
            <w:pPr>
              <w:spacing w:after="0"/>
              <w:rPr>
                <w:sz w:val="20"/>
                <w:szCs w:val="20"/>
                <w:color w:val="auto"/>
              </w:rPr>
            </w:pPr>
          </w:p>
        </w:tc>
        <w:tc>
          <w:tcPr>
            <w:tcW w:w="3760" w:type="dxa"/>
            <w:vAlign w:val="bottom"/>
            <w:shd w:val="clear" w:color="auto" w:fill="F0FFFF"/>
          </w:tcPr>
          <w:p>
            <w:pPr>
              <w:spacing w:after="0"/>
              <w:rPr>
                <w:sz w:val="20"/>
                <w:szCs w:val="20"/>
                <w:color w:val="auto"/>
              </w:rPr>
            </w:pP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52733-4330</w:t>
            </w:r>
          </w:p>
        </w:tc>
      </w:tr>
      <w:tr>
        <w:trPr>
          <w:trHeight w:val="302"/>
        </w:trPr>
        <w:tc>
          <w:tcPr>
            <w:tcW w:w="420" w:type="dxa"/>
            <w:vAlign w:val="bottom"/>
            <w:tcBorders>
              <w:left w:val="single" w:sz="8" w:color="auto"/>
              <w:bottom w:val="single" w:sz="8" w:color="F0FFFF"/>
            </w:tcBorders>
            <w:shd w:val="clear" w:color="auto" w:fill="F0FFFF"/>
          </w:tcPr>
          <w:p>
            <w:pPr>
              <w:spacing w:after="0"/>
              <w:rPr>
                <w:sz w:val="24"/>
                <w:szCs w:val="24"/>
                <w:color w:val="auto"/>
              </w:rPr>
            </w:pPr>
          </w:p>
        </w:tc>
        <w:tc>
          <w:tcPr>
            <w:tcW w:w="3760" w:type="dxa"/>
            <w:vAlign w:val="bottom"/>
            <w:tcBorders>
              <w:bottom w:val="single" w:sz="8" w:color="F0FFFF"/>
            </w:tcBorders>
            <w:shd w:val="clear" w:color="auto" w:fill="F0FFFF"/>
          </w:tcPr>
          <w:p>
            <w:pPr>
              <w:spacing w:after="0"/>
              <w:rPr>
                <w:sz w:val="24"/>
                <w:szCs w:val="24"/>
                <w:color w:val="auto"/>
              </w:rPr>
            </w:pPr>
          </w:p>
        </w:tc>
        <w:tc>
          <w:tcPr>
            <w:tcW w:w="408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245-8163</w:t>
            </w:r>
          </w:p>
        </w:tc>
      </w:tr>
      <w:tr>
        <w:trPr>
          <w:trHeight w:val="263"/>
        </w:trPr>
        <w:tc>
          <w:tcPr>
            <w:tcW w:w="418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Annuity Payments</w:t>
            </w:r>
          </w:p>
        </w:tc>
        <w:tc>
          <w:tcPr>
            <w:tcW w:w="4080" w:type="dxa"/>
            <w:vAlign w:val="bottom"/>
            <w:tcBorders>
              <w:top w:val="single" w:sz="8" w:color="auto"/>
              <w:right w:val="single" w:sz="8" w:color="auto"/>
            </w:tcBorders>
          </w:tcPr>
          <w:p>
            <w:pPr>
              <w:spacing w:after="0"/>
              <w:rPr>
                <w:sz w:val="22"/>
                <w:szCs w:val="22"/>
                <w:color w:val="auto"/>
              </w:rPr>
            </w:pPr>
          </w:p>
        </w:tc>
      </w:tr>
      <w:tr>
        <w:trPr>
          <w:trHeight w:val="108"/>
        </w:trPr>
        <w:tc>
          <w:tcPr>
            <w:tcW w:w="420" w:type="dxa"/>
            <w:vAlign w:val="bottom"/>
            <w:tcBorders>
              <w:left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r>
      <w:tr>
        <w:trPr>
          <w:trHeight w:val="252"/>
        </w:trPr>
        <w:tc>
          <w:tcPr>
            <w:tcW w:w="420" w:type="dxa"/>
            <w:vAlign w:val="bottom"/>
            <w:tcBorders>
              <w:left w:val="single" w:sz="8" w:color="auto"/>
            </w:tcBorders>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Requests to receive regular Annuity Payments</w:t>
            </w: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4365</w:t>
            </w:r>
          </w:p>
        </w:tc>
      </w:tr>
      <w:tr>
        <w:trPr>
          <w:trHeight w:val="216"/>
        </w:trPr>
        <w:tc>
          <w:tcPr>
            <w:tcW w:w="420" w:type="dxa"/>
            <w:vAlign w:val="bottom"/>
            <w:tcBorders>
              <w:left w:val="single" w:sz="8" w:color="auto"/>
            </w:tcBorders>
            <w:shd w:val="clear" w:color="auto" w:fill="F0FFFF"/>
          </w:tcPr>
          <w:p>
            <w:pPr>
              <w:spacing w:after="0"/>
              <w:rPr>
                <w:sz w:val="18"/>
                <w:szCs w:val="18"/>
                <w:color w:val="auto"/>
              </w:rPr>
            </w:pPr>
          </w:p>
        </w:tc>
        <w:tc>
          <w:tcPr>
            <w:tcW w:w="3760" w:type="dxa"/>
            <w:vAlign w:val="bottom"/>
            <w:shd w:val="clear" w:color="auto" w:fill="F0FFFF"/>
          </w:tcPr>
          <w:p>
            <w:pPr>
              <w:spacing w:after="0"/>
              <w:rPr>
                <w:sz w:val="18"/>
                <w:szCs w:val="18"/>
                <w:color w:val="auto"/>
              </w:rPr>
            </w:pP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52733-4365</w:t>
            </w:r>
          </w:p>
        </w:tc>
      </w:tr>
      <w:tr>
        <w:trPr>
          <w:trHeight w:val="216"/>
        </w:trPr>
        <w:tc>
          <w:tcPr>
            <w:tcW w:w="420" w:type="dxa"/>
            <w:vAlign w:val="bottom"/>
            <w:tcBorders>
              <w:left w:val="single" w:sz="8" w:color="auto"/>
            </w:tcBorders>
            <w:shd w:val="clear" w:color="auto" w:fill="F0FFFF"/>
          </w:tcPr>
          <w:p>
            <w:pPr>
              <w:spacing w:after="0"/>
              <w:rPr>
                <w:sz w:val="18"/>
                <w:szCs w:val="18"/>
                <w:color w:val="auto"/>
              </w:rPr>
            </w:pPr>
          </w:p>
        </w:tc>
        <w:tc>
          <w:tcPr>
            <w:tcW w:w="3760" w:type="dxa"/>
            <w:vAlign w:val="bottom"/>
            <w:shd w:val="clear" w:color="auto" w:fill="F0FFFF"/>
          </w:tcPr>
          <w:p>
            <w:pPr>
              <w:spacing w:after="0"/>
              <w:rPr>
                <w:sz w:val="18"/>
                <w:szCs w:val="18"/>
                <w:color w:val="auto"/>
              </w:rPr>
            </w:pP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34"/>
        </w:trPr>
        <w:tc>
          <w:tcPr>
            <w:tcW w:w="420" w:type="dxa"/>
            <w:vAlign w:val="bottom"/>
            <w:tcBorders>
              <w:left w:val="single" w:sz="8" w:color="auto"/>
            </w:tcBorders>
            <w:shd w:val="clear" w:color="auto" w:fill="F0FFFF"/>
          </w:tcPr>
          <w:p>
            <w:pPr>
              <w:spacing w:after="0"/>
              <w:rPr>
                <w:sz w:val="20"/>
                <w:szCs w:val="20"/>
                <w:color w:val="auto"/>
              </w:rPr>
            </w:pPr>
          </w:p>
        </w:tc>
        <w:tc>
          <w:tcPr>
            <w:tcW w:w="3760" w:type="dxa"/>
            <w:vAlign w:val="bottom"/>
            <w:shd w:val="clear" w:color="auto" w:fill="F0FFFF"/>
          </w:tcPr>
          <w:p>
            <w:pPr>
              <w:spacing w:after="0"/>
              <w:rPr>
                <w:sz w:val="20"/>
                <w:szCs w:val="20"/>
                <w:color w:val="auto"/>
              </w:rPr>
            </w:pPr>
          </w:p>
        </w:tc>
        <w:tc>
          <w:tcPr>
            <w:tcW w:w="408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108"/>
        </w:trPr>
        <w:tc>
          <w:tcPr>
            <w:tcW w:w="420" w:type="dxa"/>
            <w:vAlign w:val="bottom"/>
            <w:tcBorders>
              <w:left w:val="single" w:sz="8" w:color="auto"/>
            </w:tcBorders>
            <w:shd w:val="clear" w:color="auto" w:fill="F0FFFF"/>
          </w:tcPr>
          <w:p>
            <w:pPr>
              <w:spacing w:after="0"/>
              <w:rPr>
                <w:sz w:val="9"/>
                <w:szCs w:val="9"/>
                <w:color w:val="auto"/>
              </w:rPr>
            </w:pPr>
          </w:p>
        </w:tc>
        <w:tc>
          <w:tcPr>
            <w:tcW w:w="3760" w:type="dxa"/>
            <w:vAlign w:val="bottom"/>
            <w:shd w:val="clear" w:color="auto" w:fill="F0FFFF"/>
          </w:tcPr>
          <w:p>
            <w:pPr>
              <w:spacing w:after="0"/>
              <w:rPr>
                <w:sz w:val="9"/>
                <w:szCs w:val="9"/>
                <w:color w:val="auto"/>
              </w:rPr>
            </w:pPr>
          </w:p>
        </w:tc>
        <w:tc>
          <w:tcPr>
            <w:tcW w:w="4080" w:type="dxa"/>
            <w:vAlign w:val="bottom"/>
            <w:tcBorders>
              <w:right w:val="single" w:sz="8" w:color="auto"/>
            </w:tcBorders>
            <w:shd w:val="clear" w:color="auto" w:fill="F0FFFF"/>
          </w:tcPr>
          <w:p>
            <w:pPr>
              <w:spacing w:after="0"/>
              <w:rPr>
                <w:sz w:val="9"/>
                <w:szCs w:val="9"/>
                <w:color w:val="auto"/>
              </w:rPr>
            </w:pPr>
          </w:p>
        </w:tc>
      </w:tr>
      <w:tr>
        <w:trPr>
          <w:trHeight w:val="252"/>
        </w:trPr>
        <w:tc>
          <w:tcPr>
            <w:tcW w:w="42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Death Claims for Contracts receiving Annuity</w:t>
            </w: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4364</w:t>
            </w:r>
          </w:p>
        </w:tc>
      </w:tr>
      <w:tr>
        <w:trPr>
          <w:trHeight w:val="216"/>
        </w:trPr>
        <w:tc>
          <w:tcPr>
            <w:tcW w:w="420" w:type="dxa"/>
            <w:vAlign w:val="bottom"/>
            <w:tcBorders>
              <w:left w:val="single" w:sz="8" w:color="auto"/>
            </w:tcBorders>
          </w:tcPr>
          <w:p>
            <w:pPr>
              <w:spacing w:after="0"/>
              <w:rPr>
                <w:sz w:val="18"/>
                <w:szCs w:val="18"/>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52733-4364</w:t>
            </w:r>
          </w:p>
        </w:tc>
      </w:tr>
      <w:tr>
        <w:trPr>
          <w:trHeight w:val="216"/>
        </w:trPr>
        <w:tc>
          <w:tcPr>
            <w:tcW w:w="420" w:type="dxa"/>
            <w:vAlign w:val="bottom"/>
            <w:tcBorders>
              <w:lef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34"/>
        </w:trPr>
        <w:tc>
          <w:tcPr>
            <w:tcW w:w="420" w:type="dxa"/>
            <w:vAlign w:val="bottom"/>
            <w:tcBorders>
              <w:lef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40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245-8163</w:t>
            </w:r>
          </w:p>
        </w:tc>
      </w:tr>
      <w:tr>
        <w:trPr>
          <w:trHeight w:val="51"/>
        </w:trPr>
        <w:tc>
          <w:tcPr>
            <w:tcW w:w="420" w:type="dxa"/>
            <w:vAlign w:val="bottom"/>
            <w:tcBorders>
              <w:left w:val="single" w:sz="8" w:color="auto"/>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-2847340</wp:posOffset>
            </wp:positionV>
            <wp:extent cx="5229225" cy="8058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29225" cy="80581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-1518920</wp:posOffset>
            </wp:positionV>
            <wp:extent cx="5229225"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29225" cy="24003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-627380</wp:posOffset>
            </wp:positionV>
            <wp:extent cx="5229225" cy="6172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29225" cy="617220"/>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019"/>
          </w:cols>
          <w:pgMar w:left="1440" w:top="1373" w:right="1440" w:bottom="1440" w:gutter="0" w:footer="0" w:header="0"/>
          <w:type w:val="continuous"/>
        </w:sectPr>
      </w:pPr>
    </w:p>
    <w:bookmarkStart w:id="64" w:name="page65"/>
    <w:bookmarkEnd w:id="64"/>
    <w:tbl>
      <w:tblPr>
        <w:tblLayout w:type="fixed"/>
        <w:tblInd w:w="130" w:type="dxa"/>
        <w:tblCellMar>
          <w:top w:w="0" w:type="dxa"/>
          <w:left w:w="0" w:type="dxa"/>
          <w:bottom w:w="0" w:type="dxa"/>
          <w:right w:w="0" w:type="dxa"/>
        </w:tblCellMar>
      </w:tblPr>
      <w:tr>
        <w:trPr>
          <w:trHeight w:val="295"/>
        </w:trPr>
        <w:tc>
          <w:tcPr>
            <w:tcW w:w="420" w:type="dxa"/>
            <w:vAlign w:val="bottom"/>
            <w:tcBorders>
              <w:top w:val="single" w:sz="8" w:color="auto"/>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requests and elections for Contracts</w:t>
            </w:r>
          </w:p>
        </w:tc>
        <w:tc>
          <w:tcPr>
            <w:tcW w:w="41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 Box 4363</w:t>
            </w:r>
          </w:p>
        </w:tc>
      </w:tr>
      <w:tr>
        <w:trPr>
          <w:trHeight w:val="234"/>
        </w:trPr>
        <w:tc>
          <w:tcPr>
            <w:tcW w:w="420" w:type="dxa"/>
            <w:vAlign w:val="bottom"/>
            <w:tcBorders>
              <w:left w:val="single" w:sz="8" w:color="auto"/>
            </w:tcBorders>
          </w:tcPr>
          <w:p>
            <w:pPr>
              <w:spacing w:after="0"/>
              <w:rPr>
                <w:sz w:val="20"/>
                <w:szCs w:val="20"/>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receiving Annuity Payments</w:t>
            </w:r>
          </w:p>
        </w:tc>
        <w:tc>
          <w:tcPr>
            <w:tcW w:w="4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Clinton, IA 52733-4363</w:t>
            </w:r>
          </w:p>
        </w:tc>
      </w:tr>
      <w:tr>
        <w:trPr>
          <w:trHeight w:val="238"/>
        </w:trPr>
        <w:tc>
          <w:tcPr>
            <w:tcW w:w="420" w:type="dxa"/>
            <w:vAlign w:val="bottom"/>
            <w:tcBorders>
              <w:left w:val="single" w:sz="8" w:color="auto"/>
            </w:tcBorders>
          </w:tcPr>
          <w:p>
            <w:pPr>
              <w:spacing w:after="0"/>
              <w:rPr>
                <w:sz w:val="20"/>
                <w:szCs w:val="20"/>
                <w:color w:val="auto"/>
              </w:rPr>
            </w:pPr>
          </w:p>
        </w:tc>
        <w:tc>
          <w:tcPr>
            <w:tcW w:w="3720" w:type="dxa"/>
            <w:vAlign w:val="bottom"/>
          </w:tcPr>
          <w:p>
            <w:pPr>
              <w:spacing w:after="0"/>
              <w:rPr>
                <w:sz w:val="20"/>
                <w:szCs w:val="20"/>
                <w:color w:val="auto"/>
              </w:rPr>
            </w:pPr>
          </w:p>
        </w:tc>
        <w:tc>
          <w:tcPr>
            <w:tcW w:w="4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Telephone: (800) 882-1292</w:t>
            </w:r>
          </w:p>
        </w:tc>
      </w:tr>
      <w:tr>
        <w:trPr>
          <w:trHeight w:val="234"/>
        </w:trPr>
        <w:tc>
          <w:tcPr>
            <w:tcW w:w="420" w:type="dxa"/>
            <w:vAlign w:val="bottom"/>
            <w:tcBorders>
              <w:left w:val="single" w:sz="8" w:color="auto"/>
            </w:tcBorders>
          </w:tcPr>
          <w:p>
            <w:pPr>
              <w:spacing w:after="0"/>
              <w:rPr>
                <w:sz w:val="20"/>
                <w:szCs w:val="20"/>
                <w:color w:val="auto"/>
              </w:rPr>
            </w:pPr>
          </w:p>
        </w:tc>
        <w:tc>
          <w:tcPr>
            <w:tcW w:w="3720" w:type="dxa"/>
            <w:vAlign w:val="bottom"/>
          </w:tcPr>
          <w:p>
            <w:pPr>
              <w:spacing w:after="0"/>
              <w:rPr>
                <w:sz w:val="20"/>
                <w:szCs w:val="20"/>
                <w:color w:val="auto"/>
              </w:rPr>
            </w:pPr>
          </w:p>
        </w:tc>
        <w:tc>
          <w:tcPr>
            <w:tcW w:w="4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54"/>
        </w:trPr>
        <w:tc>
          <w:tcPr>
            <w:tcW w:w="4140" w:type="dxa"/>
            <w:vAlign w:val="bottom"/>
            <w:tcBorders>
              <w:left w:val="single" w:sz="8" w:color="auto"/>
              <w:bottom w:val="single" w:sz="8" w:color="auto"/>
            </w:tcBorders>
            <w:gridSpan w:val="2"/>
          </w:tcPr>
          <w:p>
            <w:pPr>
              <w:spacing w:after="0"/>
              <w:rPr>
                <w:sz w:val="4"/>
                <w:szCs w:val="4"/>
                <w:color w:val="auto"/>
              </w:rPr>
            </w:pPr>
          </w:p>
        </w:tc>
        <w:tc>
          <w:tcPr>
            <w:tcW w:w="4120" w:type="dxa"/>
            <w:vAlign w:val="bottom"/>
            <w:tcBorders>
              <w:bottom w:val="single" w:sz="8" w:color="auto"/>
              <w:right w:val="single" w:sz="8" w:color="auto"/>
            </w:tcBorders>
          </w:tcPr>
          <w:p>
            <w:pPr>
              <w:spacing w:after="0"/>
              <w:rPr>
                <w:sz w:val="4"/>
                <w:szCs w:val="4"/>
                <w:color w:val="auto"/>
              </w:rPr>
            </w:pPr>
          </w:p>
        </w:tc>
      </w:tr>
      <w:tr>
        <w:trPr>
          <w:trHeight w:val="245"/>
        </w:trPr>
        <w:tc>
          <w:tcPr>
            <w:tcW w:w="414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All other requests and elections and general inquiries</w:t>
            </w:r>
          </w:p>
        </w:tc>
        <w:tc>
          <w:tcPr>
            <w:tcW w:w="412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P.O. Box 4301</w:t>
            </w:r>
          </w:p>
        </w:tc>
      </w:tr>
      <w:tr>
        <w:trPr>
          <w:trHeight w:val="216"/>
        </w:trPr>
        <w:tc>
          <w:tcPr>
            <w:tcW w:w="414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(except requests for a transaction or other notification</w:t>
            </w:r>
          </w:p>
        </w:tc>
        <w:tc>
          <w:tcPr>
            <w:tcW w:w="412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Clinton, IA 52733-4301</w:t>
            </w:r>
          </w:p>
        </w:tc>
      </w:tr>
      <w:tr>
        <w:trPr>
          <w:trHeight w:val="216"/>
        </w:trPr>
        <w:tc>
          <w:tcPr>
            <w:tcW w:w="4140" w:type="dxa"/>
            <w:vAlign w:val="bottom"/>
            <w:tcBorders>
              <w:left w:val="single" w:sz="8" w:color="auto"/>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related to the Performance Lock must be submitted in</w:t>
            </w:r>
          </w:p>
        </w:tc>
        <w:tc>
          <w:tcPr>
            <w:tcW w:w="4120" w:type="dxa"/>
            <w:vAlign w:val="bottom"/>
            <w:tcBorders>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Telephone: (888) 243-1932</w:t>
            </w:r>
          </w:p>
        </w:tc>
      </w:tr>
      <w:tr>
        <w:trPr>
          <w:trHeight w:val="268"/>
        </w:trPr>
        <w:tc>
          <w:tcPr>
            <w:tcW w:w="4140" w:type="dxa"/>
            <w:vAlign w:val="bottom"/>
            <w:tcBorders>
              <w:left w:val="single" w:sz="8" w:color="auto"/>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writing, by telephone or by fax)</w:t>
            </w:r>
          </w:p>
        </w:tc>
        <w:tc>
          <w:tcPr>
            <w:tcW w:w="4120" w:type="dxa"/>
            <w:vAlign w:val="bottom"/>
            <w:tcBorders>
              <w:bottom w:val="single" w:sz="8" w:color="F0FFFF"/>
              <w:right w:val="single" w:sz="8" w:color="auto"/>
            </w:tcBorders>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Fax: (877) 246-8424</w:t>
            </w: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41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-1296035</wp:posOffset>
            </wp:positionV>
            <wp:extent cx="5229225" cy="668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29225" cy="668655"/>
                    </a:xfrm>
                    <a:prstGeom prst="rect">
                      <a:avLst/>
                    </a:prstGeom>
                    <a:noFill/>
                  </pic:spPr>
                </pic:pic>
              </a:graphicData>
            </a:graphic>
          </wp:anchor>
        </w:drawing>
      </w:r>
    </w:p>
    <w:p>
      <w:pPr>
        <w:spacing w:after="0" w:line="66"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Some of the requests for service that may be made by telephone or Internet (www.brighthousefinancial.com) include transfers of your Account Value into Shield Option(s) or the Fixed Account. We may from time to time permit requests for other types of transactions to be made by telephone or Internet. All transaction requests must be in a form satisfactory to us. Contact us for further information. Some selling firms may restrict the ability of their financial professionals to convey transaction requests by telephone or Internet on your behalf.</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are not a fiduciary and do not provide investment advice or make recommendations regarding insurance or investment products. Ask your financial professional for guidance regarding any requests or elections and for information about your particular investment needs. Please bear in mind that your financial professional, or any financial firm or financial professional with whom you consult for advice, acts on your behalf, not ours. We are not party to any agreement between you and your financial professional. We do not recommend and are not responsible for any securities transactions or investment strategies involving securities.</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professional before submitting the form or request.</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will use reasonable procedures such as requiring certain identifying information, recording the telephone instructions, and providing written confirmation of the transaction, in order to confirm that instructions communicated by telephone, fax, Internet or other means are genuine. Any telephone, fax or Internet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fax or Internet are genuine, we may be liable for any losses due to unauthorized or fraudulent transactions. All other requests and elections under your Contract must be in writing signed by the proper party, must include any necessary documentation and must be received at our Annuity Service Office to be effective. If acceptable to us, requests or elections relating to Beneficiaries and Ownership will take effect as of the date signed unless we have already acted in reliance on the prior status. We are not responsible for the validity of any written request or action.</w:t>
      </w:r>
    </w:p>
    <w:p>
      <w:pPr>
        <w:spacing w:after="0" w:line="84"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Telephone and computer systems may not always be available. Any telephone or computer system, whether it is yours, your service provider’s, your financial professional’s,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Annuity Service Office.</w:t>
      </w:r>
    </w:p>
    <w:p>
      <w:pPr>
        <w:spacing w:after="0" w:line="29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CONFIRMING TRANSACTIONS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send out written statements confirming that a transaction was recently completed. Unless you inform us of any errors within 60 days of receipt, we will consider these communications to be accurate and complete.</w:t>
      </w: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BLNY,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and/or material settlement payments have been made.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It is not possible to predict with certainty the ultimate outcome of any pending legal proceeding or regulatory action. However, BLNY does not believe any such action or proceeding will have a material adverse effect upon the Separate Account or upon the ability of Brighthouse Securities to perform its contract with the Separate Account or of BLNY to meet its obligations under the contracts.</w:t>
      </w:r>
    </w:p>
    <w:p>
      <w:pPr>
        <w:sectPr>
          <w:pgSz w:w="11900" w:h="16838" w:orient="portrait"/>
          <w:cols w:equalWidth="0" w:num="1">
            <w:col w:w="9019"/>
          </w:cols>
          <w:pgMar w:left="1440" w:top="1372" w:right="1440" w:bottom="1109"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019"/>
          </w:cols>
          <w:pgMar w:left="1440" w:top="1372" w:right="1440" w:bottom="1109" w:gutter="0" w:footer="0" w:header="0"/>
          <w:type w:val="continuous"/>
        </w:sectPr>
      </w:pPr>
    </w:p>
    <w:bookmarkStart w:id="65" w:name="page66"/>
    <w:bookmarkEnd w:id="6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EXPERTS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Legal matters in connection with Federal laws and regulations affecting the issue and sale of the Contracts described in this prospectus and the organization of BLNY, its authority to issue such Contracts under New York law and the validity of the forms of the Contracts under New York law have been passed on by legal counsel for BLNY.</w:t>
      </w:r>
    </w:p>
    <w:p>
      <w:pPr>
        <w:spacing w:after="0" w:line="28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statutory-basis financial statements of Brighthouse Life Insurance Company of NY as of December 31, 2023 and 2022 and for each of the three years in the period ended December 31, 2023, included in this Prospectus, have been audited by Deloitte &amp; Touche LLP, independent auditors, as stated in their report which express an unqualified opinion on the statutory-basis financial statements and an adverse opinion on accounting principles generally accepted in the United States of America. Such financial statements are included in reliance upon the report of such firm given their authority as experts in accounting and auditing.</w:t>
      </w:r>
    </w:p>
    <w:p>
      <w:pPr>
        <w:spacing w:after="0" w:line="29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ELECTRONIC DELIVERY</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As Owner you may elect to receive electronic delivery of current prospectuses related to the Contract and other Contract related documents. Contact us at our website at www.brighthousefinancial.com for more information and to enroll.</w:t>
      </w:r>
    </w:p>
    <w:p>
      <w:pPr>
        <w:spacing w:after="0" w:line="28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AMENDMENT OF THE CONTRACT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reserve the right to amend the Contracts to comply with applicable Federal or state laws or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notify you in writing of any such amendments.</w:t>
      </w:r>
    </w:p>
    <w:p>
      <w:pPr>
        <w:spacing w:after="0" w:line="3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MISSTATEMENT</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We may require proof of the age or sex (where permitted) of the Annuitant, Owner and/or the Beneficiary before making any payments under the Contract that are measured by the Annuitant’s, Owner’s or Beneficiary’s life. If the age or sex of the measuring life has been misstated, the amount payable will be the amount that would have been provided at the correct age and sex.</w:t>
      </w:r>
    </w:p>
    <w:p>
      <w:pPr>
        <w:spacing w:after="0" w:line="29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SECURITIES ACT LIABILITIES</w:t>
      </w:r>
    </w:p>
    <w:p>
      <w:pPr>
        <w:spacing w:after="0" w:line="9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Pursuant to applicable provisions of BLNY’s by-laws or internal corporate policies adopted by BLNY or its ultimate parent, the directors, officers and other controlling persons of BLNY and of BLNY’s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BLNY and Brighthouse Securities, the parties have agreed to indemnify each other against certain liabilities and expenses from legal proceedings arising out of Brighthouse Securities’ distribution of the Contracts.</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or persons controlling BLNY pursuant to the foregoing provisions, BLNY has been informed that in the opinion of the Securities and Exchange Commission such indemnification is against public policy as expressed in the Securities Act of 1933 and is therefore unenforceable.</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9019"/>
          </w:cols>
          <w:pgMar w:left="1440" w:top="1373" w:right="1440" w:bottom="1440" w:gutter="0" w:footer="0" w:header="0"/>
          <w:type w:val="continuous"/>
        </w:sectPr>
      </w:pPr>
    </w:p>
    <w:bookmarkStart w:id="66" w:name="page67"/>
    <w:bookmarkEnd w:id="6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INFORMATION ABOUT BRIGHTHOUSE LIFE INSURANCE COMPANY OF NY</w:t>
      </w:r>
    </w:p>
    <w:p>
      <w:pPr>
        <w:spacing w:after="0" w:line="119" w:lineRule="exact"/>
        <w:rPr>
          <w:sz w:val="20"/>
          <w:szCs w:val="20"/>
          <w:color w:val="auto"/>
        </w:rPr>
      </w:pPr>
    </w:p>
    <w:p>
      <w:pPr>
        <w:jc w:val="both"/>
        <w:ind w:left="120" w:right="639"/>
        <w:spacing w:after="0" w:line="257" w:lineRule="auto"/>
        <w:rPr>
          <w:sz w:val="20"/>
          <w:szCs w:val="20"/>
          <w:color w:val="auto"/>
        </w:rPr>
      </w:pPr>
      <w:r>
        <w:rPr>
          <w:rFonts w:ascii="Times New Roman" w:cs="Times New Roman" w:eastAsia="Times New Roman" w:hAnsi="Times New Roman"/>
          <w:sz w:val="18"/>
          <w:szCs w:val="18"/>
          <w:i w:val="1"/>
          <w:iCs w:val="1"/>
          <w:color w:val="auto"/>
        </w:rPr>
        <w:t>Throughout this prospectus, “BLNY,” the “Company,” “we,” “our” and “us” refer to Brighthouse Life Insurance Company of NY. BLNY is an indirect wholly-owned subsidiary of Brighthouse Financial, Inc. (“BHF” and together with its subsidiaries, “Brighthouse Financial”). The term “Separation” refers to the separation of a substantial portion of MetLife, Inc.’s (together with its subsidiaries and affiliates, “MetLife”) former Retail segment, as well as certain portions of its former Corporate Benefit Funding segment, into a separate, publicly-traded company, Brighthouse Financial, which was completed on August 4, 2017.</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 and Summary of Risk Factors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BLNY.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81" w:lineRule="exact"/>
        <w:rPr>
          <w:sz w:val="20"/>
          <w:szCs w:val="20"/>
          <w:color w:val="auto"/>
        </w:rPr>
      </w:pPr>
    </w:p>
    <w:p>
      <w:pPr>
        <w:ind w:left="680" w:right="999" w:hanging="208"/>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earnings, capitalization and statutory capital and greater volatility of our results due to guarantees within certain of our products;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ratings;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3"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scale, price, actual or perceived financial strength, claims-paying ratings, financial strength ratings, e-business capabilities and name recognition;</w:t>
      </w:r>
    </w:p>
    <w:p>
      <w:pPr>
        <w:spacing w:after="0" w:line="6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w:t>
      </w:r>
    </w:p>
    <w:p>
      <w:pPr>
        <w:spacing w:after="0" w:line="11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7" w:lineRule="exact"/>
        <w:rPr>
          <w:rFonts w:ascii="Times New Roman" w:cs="Times New Roman" w:eastAsia="Times New Roman" w:hAnsi="Times New Roman"/>
          <w:sz w:val="18"/>
          <w:szCs w:val="18"/>
          <w:color w:val="auto"/>
        </w:rPr>
      </w:pPr>
    </w:p>
    <w:p>
      <w:pPr>
        <w:ind w:left="680" w:right="739" w:hanging="208"/>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w:t>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economy in general;</w:t>
      </w:r>
    </w:p>
    <w:p>
      <w:pPr>
        <w:spacing w:after="0" w:line="98"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53"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sectPr>
          <w:pgSz w:w="11900" w:h="16838" w:orient="portrait"/>
          <w:cols w:equalWidth="0" w:num="1">
            <w:col w:w="9019"/>
          </w:cols>
          <w:pgMar w:left="1440" w:top="1373" w:right="1440" w:bottom="1001"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019"/>
          </w:cols>
          <w:pgMar w:left="1440" w:top="1373" w:right="1440" w:bottom="1001" w:gutter="0" w:footer="0" w:header="0"/>
          <w:type w:val="continuous"/>
        </w:sectPr>
      </w:pPr>
    </w:p>
    <w:bookmarkStart w:id="67" w:name="page68"/>
    <w:bookmarkEnd w:id="67"/>
    <w:p>
      <w:pPr>
        <w:jc w:val="both"/>
        <w:ind w:left="680" w:right="739" w:hanging="208"/>
        <w:spacing w:after="0" w:line="26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financial risks that our investment portfolio is subject to, including credit risk, interest rate risk, inflation risk, market valuation risk, liquidity risk, real estate risk, derivatives risk, and other factors outside our control;</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the Separation are not as expected, leading to material additional taxes or material adverse consequences to tax attributes that impact us; and</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prospectus and from time to time in documents that we file with the U.S. Securities and Exchange Commission (“SEC”).</w:t>
      </w:r>
    </w:p>
    <w:p>
      <w:pPr>
        <w:spacing w:after="0" w:line="54" w:lineRule="exact"/>
        <w:rPr>
          <w:sz w:val="20"/>
          <w:szCs w:val="20"/>
          <w:color w:val="auto"/>
        </w:rPr>
      </w:pPr>
    </w:p>
    <w:p>
      <w:pPr>
        <w:jc w:val="both"/>
        <w:ind w:left="120" w:right="639" w:firstLine="360"/>
        <w:spacing w:after="0" w:line="273" w:lineRule="auto"/>
        <w:rPr>
          <w:sz w:val="20"/>
          <w:szCs w:val="20"/>
          <w:color w:val="auto"/>
        </w:rPr>
      </w:pPr>
      <w:r>
        <w:rPr>
          <w:rFonts w:ascii="Times New Roman" w:cs="Times New Roman" w:eastAsia="Times New Roman" w:hAnsi="Times New Roman"/>
          <w:sz w:val="17"/>
          <w:szCs w:val="17"/>
          <w:color w:val="auto"/>
        </w:rPr>
        <w:t>For the reasons described above, we caution you against relying on any forward-looking statements, which should also be read in conjunction with the other cautionary statements included and the risks, uncertainties and other factors identified in this prospectus,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BLNY was incorporated on December 31, 1992 as a New York stock life insurance company and is licensed to do business only in the state of New York. We market or administer a range of annuity and life insurance products to individuals and deliver our products through multiple independent distribution channels and marketing arrangements with a diverse network of distribution partners.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Segments and Corporate &amp; Other</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are organized into two segments: Annuities and Life. In addition, we report certain of our results of operations in Corporate &amp; Other. See the discussion that follows for additional information regarding each of our segments and Corporate &amp; Other.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Annuities</w:t>
      </w:r>
    </w:p>
    <w:p>
      <w:pPr>
        <w:spacing w:after="0" w:line="121" w:lineRule="exact"/>
        <w:rPr>
          <w:sz w:val="20"/>
          <w:szCs w:val="20"/>
          <w:color w:val="auto"/>
        </w:rPr>
      </w:pPr>
    </w:p>
    <w:p>
      <w:pPr>
        <w:jc w:val="both"/>
        <w:ind w:left="120" w:right="639" w:firstLine="360"/>
        <w:spacing w:after="0" w:line="247" w:lineRule="auto"/>
        <w:rPr>
          <w:sz w:val="20"/>
          <w:szCs w:val="20"/>
          <w:color w:val="auto"/>
        </w:rPr>
      </w:pPr>
      <w:r>
        <w:rPr>
          <w:rFonts w:ascii="Times New Roman" w:cs="Times New Roman" w:eastAsia="Times New Roman" w:hAnsi="Times New Roman"/>
          <w:sz w:val="18"/>
          <w:szCs w:val="18"/>
          <w:color w:val="auto"/>
        </w:rPr>
        <w:t>Our Annuities segment consists of a variety of variable, index-linked and income annuities designed to address contract holders’ needs for protected wealth accumulation on a tax-deferred basis, wealth transfer and income security. The “variable” classification describes generally whether we or the contract holder bears the investment risk of the assets supporting the contract and determines the manner in which we earn profits from these products, as asset-based fees. Index-linked annuities allow the contract holder to participate in returns from specified equity indices and, in the case of our flagship suite of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Annuities (“Shield” and “Shield Annuities”), provide a specified level of market downside protection. Income annuities provide a guaranteed monthly income for a specified period of years or for the life of the annuitant.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Shield Annuities</w:t>
      </w:r>
    </w:p>
    <w:p>
      <w:pPr>
        <w:spacing w:after="0" w:line="11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Our flagship suite of Shield Annuities provide for accumulation of retirement savings or other long-term investments and combines certain features found in both variable and fixed annuities. Shield Annuities are deferred annuity contracts that provide the contract holder with the ability to participate in the appreciation of certain financial markets up to a stated level, while offering protection from a portion of declines. Rather than allocating purchase payments directly into the equity market, the contract holder has an opportunity to participate in the returns of a specified market index. Shield Annuities also offer account value and return of premium death benefits. To protect us from premature withdrawals, we impose surrender</w:t>
      </w:r>
    </w:p>
    <w:p>
      <w:pPr>
        <w:sectPr>
          <w:pgSz w:w="11900" w:h="16838" w:orient="portrait"/>
          <w:cols w:equalWidth="0" w:num="1">
            <w:col w:w="9019"/>
          </w:cols>
          <w:pgMar w:left="1440" w:top="1377" w:right="1440" w:bottom="1440"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9019"/>
          </w:cols>
          <w:pgMar w:left="1440" w:top="1377" w:right="1440" w:bottom="1440" w:gutter="0" w:footer="0" w:header="0"/>
          <w:type w:val="continuous"/>
        </w:sectPr>
      </w:pPr>
    </w:p>
    <w:bookmarkStart w:id="68" w:name="page69"/>
    <w:bookmarkEnd w:id="68"/>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charges, which are typically applicable during the early years of the annuity contract and decline over time.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Surrender charges allow us to recoup amounts we expended to initially market and sell such annuities.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Income Annuities</w:t>
      </w:r>
    </w:p>
    <w:p>
      <w:pPr>
        <w:spacing w:after="0" w:line="11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Income annuities are annuity contracts under which the contract holder contributes a portion of their retirement assets in exchange for a steady stream of retirement income, lasting either for a specified period of time or the life of the annuitant. We offer immediate income annuities, referred to as “single premium immediate annuities” (“SPIA”). SPIAs provide guaranteed lifetime income that can be used to supplement other retirement income sources. SPIAs are single premium annuity products that provide a guaranteed level of income, beginning within 12 months from the contract issuance date, to the contract holder for a specified number of years or the duration of the life of the annuitant(s). SPIAs are priced based on considerations consistent with the annuitant’s age and gender.</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Variable Annuities</w:t>
      </w:r>
    </w:p>
    <w:p>
      <w:pPr>
        <w:spacing w:after="0" w:line="133"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issue variable annuity contracts that offer contract holders a tax-deferred basis for wealth accumulation and rights to receive a future stream of payments. The contract holder can choose to invest purchase payments in the separate account or, if available, the general account investment options under the contract. For the separate account options, the contract holder can elect among several subaccounts that invest in internally and externally managed investment portfolios. Unless the contract holder has elected to pay for guaranteed minimum living or death benefits, as discussed below, the contract holder bears the entire risk and receives all of the net returns resulting from the investment option(s) chosen. For the general account options, we credit the contract’s account value with the net purchase payment and credit interest to the contract holder at rates declared periodically, subject to a guaranteed minimum crediting rate. The account value of most types of general account options is guaranteed and is not exposed to market risk, because the issuing insurance company (rather than the contract holder) directly bears the risk that the value of the underlying general account investments of the insurance companies may decline.</w:t>
      </w:r>
    </w:p>
    <w:p>
      <w:pPr>
        <w:spacing w:after="0" w:line="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majority of the variable annuities we issue have guaranteed minimum benefits (“GMxB”), which we believe make these products attractive to our customers in periods of economic uncertainty. GMxBs provide the contract holder with protection against the possibility that a downturn in the markets will reduce the certain specified benefits that can be claimed under the contract. Variable annuities may have more than one type of GMxB. The primary types of GMxBs are those that guarantee death benefits payable upon the death of a contract holder (guaranteed minimum death benefits, “GMDB”) and those that guarantee benefits payable while the contract holder or annuitant is alive (guaranteed minimum living benefits, “GMLB”). There are three primary types of GMLBs: guaranteed minimum income benefits (“GMIB”), guaranteed minimum withdrawal benefits (“GMWB”) and guaranteed minimum accumulation benefits (“GMAB”).</w:t>
      </w:r>
    </w:p>
    <w:p>
      <w:pPr>
        <w:spacing w:after="0" w:line="9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guaranteed benefit received by a contract holder pursuant to the GMxBs is calculated based on a notional amount known as the benefit base (“Benefit Base”). The calculation of the Benefit Base varies by benefit type and may differ in value from the contract holder’s account value for the following reasons:</w:t>
      </w:r>
    </w:p>
    <w:p>
      <w:pPr>
        <w:spacing w:after="0" w:line="81" w:lineRule="exact"/>
        <w:rPr>
          <w:sz w:val="20"/>
          <w:szCs w:val="20"/>
          <w:color w:val="auto"/>
        </w:rPr>
      </w:pPr>
    </w:p>
    <w:p>
      <w:pPr>
        <w:jc w:val="both"/>
        <w:ind w:left="680" w:right="739" w:hanging="208"/>
        <w:spacing w:after="0" w:line="266"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Base is defined to exclude the effect of a decline in the market value of the contract holder’s account value. By excluding market declines, actual claim payments to be made in the future to the contract holder will be determined without giving effect to equity market declines;</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Benefit Base may allow it to increase at a guaranteed rate irrespective of the rate of return on the contract holder’s account value; or</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Base may also increase with subsequent purchase payments, after the initial purchase payment made by the contract holder at the time of issuance of the contract, or at the contract holder’s election with an increase in the account value due to market performance.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Variable Annuity Fees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earn various types of fee revenue based on account value, fund assets and the guarantees for contracts that invest through a separate account. We earned fees and charges on our variable annuity contracts that invest through a separate account. In addition to fee revenue, we also earn a spread on the portion of the account value allocated to the general account.</w:t>
      </w:r>
    </w:p>
    <w:p>
      <w:pPr>
        <w:spacing w:after="0" w:line="83"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Mortality &amp; Expense Fees and Administrative Fees. </w:t>
      </w:r>
      <w:r>
        <w:rPr>
          <w:rFonts w:ascii="Times New Roman" w:cs="Times New Roman" w:eastAsia="Times New Roman" w:hAnsi="Times New Roman"/>
          <w:sz w:val="18"/>
          <w:szCs w:val="18"/>
          <w:color w:val="auto"/>
        </w:rPr>
        <w:t>We earn mortality and expense fees (“M&amp;E Fees”),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administrative fees on our variable annuity contracts. M&amp;E Fees are calculated based on the portion of the contract holder’s account value allocated to the separate accounts and are expressed as an annual percentage deducted daily. These fees are used to offset the insurance and operational expenses relating to our variable annuity contracts. Additionally, the</w:t>
      </w:r>
    </w:p>
    <w:p>
      <w:pPr>
        <w:sectPr>
          <w:pgSz w:w="11900" w:h="16838" w:orient="portrait"/>
          <w:cols w:equalWidth="0" w:num="1">
            <w:col w:w="9019"/>
          </w:cols>
          <w:pgMar w:left="1440" w:top="1377" w:right="1440" w:bottom="1440" w:gutter="0" w:footer="0" w:header="0"/>
        </w:sectPr>
      </w:pPr>
    </w:p>
    <w:p>
      <w:pPr>
        <w:spacing w:after="0" w:line="26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019"/>
          </w:cols>
          <w:pgMar w:left="1440" w:top="1377" w:right="1440" w:bottom="1440" w:gutter="0" w:footer="0" w:header="0"/>
          <w:type w:val="continuous"/>
        </w:sectPr>
      </w:pPr>
    </w:p>
    <w:bookmarkStart w:id="69" w:name="page70"/>
    <w:bookmarkEnd w:id="69"/>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administrative fees are charged either based on the daily average of the net asset values in the subaccounts or when contracts fall below minimum values based on a flat annual fee per contract.</w:t>
      </w:r>
    </w:p>
    <w:p>
      <w:pPr>
        <w:spacing w:after="0" w:line="6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Surrender Charges. </w:t>
      </w:r>
      <w:r>
        <w:rPr>
          <w:rFonts w:ascii="Times New Roman" w:cs="Times New Roman" w:eastAsia="Times New Roman" w:hAnsi="Times New Roman"/>
          <w:sz w:val="18"/>
          <w:szCs w:val="18"/>
          <w:color w:val="auto"/>
        </w:rPr>
        <w:t>Most, but not all, variable annuity contracts (depending on their share class) may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 surrender charges on withdrawals for a period of time after the purchase and in certain products for a period of time after each subsequent deposit, also known as the surrender charge period. A surrender charge is a deduction of a percentage of the contract holder’s account value prior to distribution to him or her. Surrender charges generally decline gradually over the surrender charge period, which can range from zero to 10 years. Our variable annuity contracts typically permit contract holders to withdraw up to 10% of their account value each year without any surrender charge, however, their guarantees may be significantly impacted by such withdrawals. Contracts may also specify circumstances when no surrender charges apply, for example, upon payment of a death benefit.</w:t>
      </w:r>
    </w:p>
    <w:p>
      <w:pPr>
        <w:spacing w:after="0" w:line="80"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Management Fees. </w:t>
      </w:r>
      <w:r>
        <w:rPr>
          <w:rFonts w:ascii="Times New Roman" w:cs="Times New Roman" w:eastAsia="Times New Roman" w:hAnsi="Times New Roman"/>
          <w:sz w:val="18"/>
          <w:szCs w:val="18"/>
          <w:color w:val="auto"/>
        </w:rPr>
        <w:t>We charge investment management fees for managing the proprietary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managed by our subsidiary, Brighthouse Investment Advisers, LLC, that are offered as investments under our variable annuities. Investment management fees are also paid on the non-proprietary funds managed by investment advisors unaffiliated with us, to the unaffiliated investment advisors. Investment management fees differ by fund. A portion of the investment management fees charged on proprietary funds managed by subadvisors unaffiliated with us are paid by us to such subadvisors. Investment management fees reduce the net returns on the variable annuity investments.</w:t>
      </w:r>
    </w:p>
    <w:p>
      <w:pPr>
        <w:spacing w:after="0" w:line="88"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12b-1 Fees and Other Revenue. </w:t>
      </w:r>
      <w:r>
        <w:rPr>
          <w:rFonts w:ascii="Times New Roman" w:cs="Times New Roman" w:eastAsia="Times New Roman" w:hAnsi="Times New Roman"/>
          <w:sz w:val="18"/>
          <w:szCs w:val="18"/>
          <w:color w:val="auto"/>
        </w:rPr>
        <w:t>We earn monthly or quarterly fees for providing certain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distributors (“12b-1 fees”). 12b-1 fees are paid by the mutual funds selected by our contract holders and are calculated based on the net assets of the funds allocated to our subaccounts. These fees reduce the returns contract holders earn from such funds. Additionally, mutual fund companies with funds which are available to contract holders through the variable annuity subaccounts pay us fees consistent with the terms of administrative service agreements. These fees are funded from the fund companies’ net revenues.</w:t>
      </w:r>
    </w:p>
    <w:p>
      <w:pPr>
        <w:spacing w:after="0" w:line="8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Death Benefit Rider Fees. </w:t>
      </w:r>
      <w:r>
        <w:rPr>
          <w:rFonts w:ascii="Times New Roman" w:cs="Times New Roman" w:eastAsia="Times New Roman" w:hAnsi="Times New Roman"/>
          <w:sz w:val="18"/>
          <w:szCs w:val="18"/>
          <w:color w:val="auto"/>
        </w:rPr>
        <w:t>We may earn fees in addition to the base M&amp;E fees for promising to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GMDBs. The fees earned vary by generation and rider type. For some death benefits, the fees are calculated based on account value, but for enhanced death benefits, the fees are normally calculated based on the Benefit Base. In general, these fees were set at a level intended to be sufficient to cover anticipated expenses related to claim payments and hedge costs associated with these benefits. These fees are deducted from the account value.</w:t>
      </w:r>
    </w:p>
    <w:p>
      <w:pPr>
        <w:spacing w:after="0" w:line="75"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Living Benefit Rider Fees. </w:t>
      </w:r>
      <w:r>
        <w:rPr>
          <w:rFonts w:ascii="Times New Roman" w:cs="Times New Roman" w:eastAsia="Times New Roman" w:hAnsi="Times New Roman"/>
          <w:sz w:val="18"/>
          <w:szCs w:val="18"/>
          <w:color w:val="auto"/>
        </w:rPr>
        <w:t>We earn these fees for promising to pay guaranteed benefits while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is alive, such as for any type of GMLB (including GMIBs, GMWBs and GMABs). The fees earned vary by generation and rider type and are typically calculated based on the Benefit Base. In general, GMLB fees calculated based on the Benefit Base are more stable in market downturns compared to fees based on the account value. These fees are set at a level intended to be sufficient to cover anticipated expenses related to claim payments and hedge costs associated with these benefits. These fees are deducted from the account value.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Risk Selection</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Product pricing reflects our pricing standards and guidelines. Annuity pricing is based on the expected payout of account value or guarantees, which is calculated using our assumptions for mortality, sales mix, expenses, policyholder behavior and investment returns, as well as certain macroeconomic factors (e.g., inflation, volatility and interest rates). Our product pricing models consider additional factors, such as hedging costs, reinsurance premiums and capital requirements.</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Rates for annuity products generally include pricing terms that are guaranteed for a certain period of time. Such products generally include surrender charges for early withdrawals and fees for guaranteed benefits. We periodically reevaluate the costs associated with such guarantees and may adjust pricing levels accordingly. We may also reevaluate the type and level of guarantee features being offered from time to time.</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continually review our pricing guidelines, models and assumptions in light of applicable regulations and experience to ensure that our policies remain competitive and aligned with our marketing strategies and profitability goals.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Life</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Our Life segment consists of insurance products, including term, universal and whole life products designed to address policyholders’ needs for financial security and protected wealth transfer, which may be on a tax-advantaged basis. While our in-force book reflects a broad range of life products, we are currently focused on term life products and universal life products with index-linked benefits, consistent with our financial objectives, with a concentration on design and profitability over volume. By managing our in-force book of business, we expect to generate future revenue and profits from premiums, investment margins, expense margins, mortality margins, morbidity margins and surrender fees. We aim to maximize our</w:t>
      </w:r>
    </w:p>
    <w:p>
      <w:pPr>
        <w:sectPr>
          <w:pgSz w:w="11900" w:h="16838" w:orient="portrait"/>
          <w:cols w:equalWidth="0" w:num="1">
            <w:col w:w="9019"/>
          </w:cols>
          <w:pgMar w:left="1440" w:top="1377" w:right="1440" w:bottom="866"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9019"/>
          </w:cols>
          <w:pgMar w:left="1440" w:top="1377" w:right="1440" w:bottom="866" w:gutter="0" w:footer="0" w:header="0"/>
          <w:type w:val="continuous"/>
        </w:sectPr>
      </w:pPr>
    </w:p>
    <w:bookmarkStart w:id="70" w:name="page71"/>
    <w:bookmarkEnd w:id="70"/>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profits by focusing on efficiency in order to continue to reduce the cost basis and underwriting expenses. Our life insurance in-force book provides natural diversification to our Annuities segment.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Term Life</w:t>
      </w:r>
    </w:p>
    <w:p>
      <w:pPr>
        <w:spacing w:after="0" w:line="133"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Term life products are designed to provide a fixed death benefit in exchange for a guaranteed level premium to be paid over a specified period of time. Our term life products do not include any cash value, accumulation or investment components. As a result, they are our most basic life insurance product offering and generally have lower premiums than other forms of life insurance. Term life products may allow the policyholder to continue coverage beyond the guaranteed level premium period, generally at an elevated cost. Some of our term life policies allow the policyholder to convert the policy during the conversion period to a permanent policy. Such conversion does not require additional medical or financial underwriting. Term life products allow us to spread expenses over a large number of policies while gaining mortality insights that come from high policy volumes.</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Universal Life</w:t>
      </w:r>
    </w:p>
    <w:p>
      <w:pPr>
        <w:spacing w:after="0" w:line="11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currently offer a universal life product with index-linked benefits. Universal life products typically provide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added to the cash value of the policy and credited with a stated interest rate. This structure gives policyholders flexibility in the amount and timing of premium payments, subject to tax guidelines. Consequently, universal life policies can be used in a variety of different ways. Brighthouse SmartCare®, our index-linked universal life product launched in 2023, which we market as a hybrid life insurance and long-term care policy, allows policyholders to pay for qualified long-term care expenses by accelerating a significant portion of the face amount of the policy over a period of time. After that period of time, the policyholder may continue to receive benefits up to their maximum monthly amount for up to two additional years.</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Whole Life</w:t>
      </w:r>
    </w:p>
    <w:p>
      <w:pPr>
        <w:spacing w:after="0" w:line="133"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currently offer a non-participating conversion whole life product that is available for term and group conversions and to satisfy other contractual obligations. Whole life products provide a guaranteed death benefit in exchange for a guaranteed level premium for a specified period of time in order to maintain coverage for the life of the insured. Whole life products also have guaranteed minimum cash surrender values. Our in-force whole life products provide for participation in the returns generated by the business, delivered to the policyholder in the form of non-guaranteed dividend payments. The policyholder can elect to receive the dividends in cash or to use them to increase the paid-up policy death benefit or pay the required premium. They can also be used for other purposes, including payment of loans and loan interest. The versatility of whole life allows it to be used for a variety of purposes beyond just the primary purpose of death benefit protection. With our in-force policies, the policyholder can withdraw or borrow against the policy (sometimes on a tax favored basis).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Underwriting</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Pricing</w:t>
      </w:r>
    </w:p>
    <w:p>
      <w:pPr>
        <w:spacing w:after="0" w:line="133"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Our product pricing reflects our pricing standards and guidelines. We continually review our pricing guidelines in light of applicable regulations and to ensure that our policies remain competitive and aligned with our marketing strategies and profitability goals.</w:t>
      </w:r>
    </w:p>
    <w:p>
      <w:pPr>
        <w:spacing w:after="0" w:line="8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We have established important controls around management of underwriting and pricing processes, including regular experience studies to monitor assumptions against expectations, formal new product approval processes, periodic updates to product profitability studies and the use of reinsurance to manage our exposures, as appropriate.</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Underwriting</w:t>
      </w:r>
    </w:p>
    <w:p>
      <w:pPr>
        <w:spacing w:after="0" w:line="133"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ectPr>
          <w:pgSz w:w="11900" w:h="16838" w:orient="portrait"/>
          <w:cols w:equalWidth="0" w:num="1">
            <w:col w:w="9019"/>
          </w:cols>
          <w:pgMar w:left="1440" w:top="1377" w:right="1440" w:bottom="1440"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9019"/>
          </w:cols>
          <w:pgMar w:left="1440" w:top="1377" w:right="1440" w:bottom="1440" w:gutter="0" w:footer="0" w:header="0"/>
          <w:type w:val="continuous"/>
        </w:sectPr>
      </w:pPr>
    </w:p>
    <w:bookmarkStart w:id="71" w:name="page72"/>
    <w:bookmarkEnd w:id="71"/>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Insurance underwriting may consider not only an insured’s medical history, but also other factors such as the insured’s foreign travel, vocation, alcohol, drug and tobacco use, and the policyholder’s financial profile. We generally perform our own underwriting; however, certain policies are reviewed by intermediaries under guidelines established by us. Requests for coverage are reviewed on their merits and a policy is not issued unless the particular risk has been examined and approved in accordance with our underwriting guidelines.</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68"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This is accomplished by determining and establishing underwriting policies, guidelines, philosophies and strategies that are competitive and suitable for the customer, the agent and us.</w:t>
      </w:r>
    </w:p>
    <w:p>
      <w:pPr>
        <w:spacing w:after="0" w:line="7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continually review our underwriting guidelines (i) in light of applicable regulations and (ii) to ensure that our practices remain competitive and aligned with our marketing strategies, emerging industry trends and profitability goals.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Corporate &amp; Other contains the excess capital not allocated to the segments and expenses associated with certain legal proceedings and income tax audit issues.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Reinsurance Activity</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enter into reinsurance agreements primarily as a purchaser of reinsurance for our various insurance products. We participate in reinsurance activities in order to limit losses, minimize exposure to significant risks and provide capacity for future growth. We enter into various agreements with reinsurers that cover individual risks, primarily on a coinsurance, yearly renewable term, or excess basis. These reinsurance agreements spread risk and minimize the effect of losses. The extent of each risk retained by us depends on our evaluation of the specific risk, subject, in certain circumstances, to maximum retention limits based on the characteristics of coverages. We also cede first dollar mortality risk under certain contracts. In addition to reinsuring mortality risk, we reinsure other risks, as well as specific coverages. We obtain reinsurance for capital requirement purposes and also when the economic impact of the reinsurance agreement makes it appropriate to do so.</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 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annuities, we currently reinsure to our parent, Brighthouse Life Insurance Company, 100% of certain variable annuity risks or 100% of the living and death benefit guarantees issued in connection with certain variable annuities. Under the benefit guarantee reinsurance agreements, we pay a reinsurance premium generally based on fees associated with the guarantees collected from policyholders, and receive reimbursement for benefits paid or accrued in excess of account values, subject to certain limitations. In addition, we currently reinsure to our parent, Brighthouse Life Insurance Company, 90% of certain index-linked annuity policies.</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9019"/>
          </w:cols>
          <w:pgMar w:left="1440" w:top="1377" w:right="1440" w:bottom="1440" w:gutter="0" w:footer="0" w:header="0"/>
          <w:type w:val="continuous"/>
        </w:sectPr>
      </w:pPr>
    </w:p>
    <w:bookmarkStart w:id="72" w:name="page73"/>
    <w:bookmarkEnd w:id="72"/>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Life</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which may be subject to a cap. When we cede risks on a quota share basis we share a portion of the risk within a contractually specified layer of reinsurance coverage. We reinsure on a facultative basis for risks with specified characteristics. On a case-by-case basis, we may retain up to $100,000 per life and reinsure 100% of amounts in excess of $100,000. We routinely evaluate our reinsurance program and may increase or decrease our retention at any time.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Public health crises, extreme mortality events or similar occurrences may adversely impact our business, financial condition, or results of operations, as well as the economy in general.”</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Distribution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distribute our annuity and life insurance products in New York through multiple independent distribution channels and marketing arrangements with a diverse network of distribution partners. Our annuity products are distributed through national and regional broker-dealers, banks, independent financial planners and other financial institutions. Our life insurance products are distributed through national and regional broker-dealers, general agencies, financial advisors, brokerage general agencies, banks and financial intermediaries.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Both the annuities and the life insurance markets are very competitive, with many participants and no one company dominating the market for all products. According to the American Council of Life Insurers (Life Insurers Fact Book 2023), the U.S. life insurance industry is made up of 727 companies with sales and operations across the country and U.S. territories. We compete with major, well-established stock and mutual life insurance companies and non-insurance financial services companies (e.g., banks, broker-dealers and asset managers) in all of our product offerings, including certain of our distributors that currently manufacture competing products or may manufacture competing products in the future.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For index-linked annuities, the competitiveness of the crediting methodology is the primary driver. For income annuities, the competitiveness of the lifetime income payment amount is generally the principal factor.</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Principal competitive factors in the life insurance business include product and underwriting features, customer service and distribution channel relationships, price, the financial strength ratings of the insurance company, technology and financial stability. For our hybrid indexed universal life with long-term care product, product features, long-term care benefits and our underwriting process are the primary competitive factors.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BLNY does not have any employees. Pursuant to a Master Affiliate Services and Facilities Agreement, dated January 1, 2017, between BLNY and Brighthouse Services, LLC (“ServiceCo”), ServiceCo provides services, personnel, facilities and intellectual property to BLNY and other subsidiaries of BHF. Costs incurred by ServiceCo in providing these services to BLNY are reimbursed by BLNY based on ServiceCo’s actual cost incurred.</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13 of the Notes to Statutory Financial Statements for additional information.</w:t>
      </w:r>
    </w:p>
    <w:p>
      <w:pPr>
        <w:sectPr>
          <w:pgSz w:w="11900" w:h="16838" w:orient="portrait"/>
          <w:cols w:equalWidth="0" w:num="1">
            <w:col w:w="9019"/>
          </w:cols>
          <w:pgMar w:left="1440" w:top="1373" w:right="1440" w:bottom="1001"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9019"/>
          </w:cols>
          <w:pgMar w:left="1440" w:top="1373" w:right="1440" w:bottom="1001" w:gutter="0" w:footer="0" w:header="0"/>
          <w:type w:val="continuous"/>
        </w:sectPr>
      </w:pPr>
    </w:p>
    <w:bookmarkStart w:id="73" w:name="page74"/>
    <w:bookmarkEnd w:id="7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Regulation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We are domiciled in New York and regulated by the New York State Department of Financial Services (the “NYDFS”). We are primarily regulated at the state level, with some products and services also subject to federal regulation. In addition, BLNY is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Regulation</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7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are licensed to issue insurance products only in New York and are regulated by the NYDFS. New York law grants the NYDFS broad administrative powers with respect to, among other things:</w:t>
      </w:r>
    </w:p>
    <w:p>
      <w:pPr>
        <w:spacing w:after="0" w:line="54" w:lineRule="exact"/>
        <w:rPr>
          <w:sz w:val="20"/>
          <w:szCs w:val="20"/>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companies and agents to transact business;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value of assets to determine compliance with statutory requirements;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certain insurance benefits;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certain premium rates;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certain policy forms and rates;</w:t>
      </w:r>
    </w:p>
    <w:p>
      <w:pPr>
        <w:spacing w:after="0" w:line="11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unfair trade and claims practices, including through the imposition of restrictions on marketing and sales practices, distribution arrangements and payment of inducements, and identifying and paying to the state benefits and other property that are not claimed by the owners;</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underwriting, advertising and marketing of insurance products, including the use of external data and information, as well as the use of certain emerging technologies;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privacy and cybersecurity;</w:t>
      </w:r>
    </w:p>
    <w:p>
      <w:pPr>
        <w:spacing w:after="0" w:line="11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statutory accounting and reserve requirements and solvency standards (including risk-based capital (“RBC”));</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maximum interest rates on insurance policy loans and minimum rates for guaranteed crediting rates on life insurance policies and annuity contracts;</w:t>
      </w:r>
    </w:p>
    <w:p>
      <w:pPr>
        <w:spacing w:after="0" w:line="53"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enforcing replacement, best interest, or suitability standards with respect to the sale of annuities and other insurance products;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changes in control of New York-domiciled insurance companies;</w:t>
      </w:r>
    </w:p>
    <w:p>
      <w:pPr>
        <w:spacing w:after="0" w:line="117" w:lineRule="exact"/>
        <w:rPr>
          <w:rFonts w:ascii="Times New Roman" w:cs="Times New Roman" w:eastAsia="Times New Roman" w:hAnsi="Times New Roman"/>
          <w:sz w:val="18"/>
          <w:szCs w:val="18"/>
          <w:color w:val="auto"/>
        </w:rPr>
      </w:pPr>
    </w:p>
    <w:p>
      <w:pPr>
        <w:ind w:left="680" w:right="859" w:hanging="208"/>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payment of dividends to affiliates, as well as certain other transactions between affiliates; and</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types, amounts and valuation of investments.</w:t>
      </w:r>
    </w:p>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are required to file reports, generally including detailed annual financial statements, with the NYDFS, and our operations and accounts are subject to periodic examination by the NYDFS. We must also file, and obtain regulatory approval for, rules, rates and forms relating to the insurance written in the jurisdictions in which we operate.</w:t>
      </w:r>
    </w:p>
    <w:p>
      <w:pPr>
        <w:spacing w:after="0" w:line="7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13 of the Notes to Statutory Financial Statements.</w:t>
      </w:r>
    </w:p>
    <w:p>
      <w:pPr>
        <w:sectPr>
          <w:pgSz w:w="11900" w:h="16838" w:orient="portrait"/>
          <w:cols w:equalWidth="0" w:num="1">
            <w:col w:w="9019"/>
          </w:cols>
          <w:pgMar w:left="1440" w:top="1373"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9019"/>
          </w:cols>
          <w:pgMar w:left="1440" w:top="1373" w:right="1440" w:bottom="1440" w:gutter="0" w:footer="0" w:header="0"/>
          <w:type w:val="continuous"/>
        </w:sectPr>
      </w:pPr>
    </w:p>
    <w:bookmarkStart w:id="74" w:name="page75"/>
    <w:bookmarkEnd w:id="74"/>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Statutory Accounting, Reserves and Risk-Based Capital</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National Association of Insurance Commissioners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NAIC also provides guidance for the computation of reserves through its Valuation Manual, which states have largely adopted by regulation. However, statutory accounting principles and reserve requirements continue to be established by individual state laws, regulations and permitted practices, which may differ from the guidance provided by the NAIC. Changes to accounting, reporting or reserve guidance, or modifications to any laws, regulations or permitted practices by the NYDFS may impact our statutory capital and surplus.</w:t>
      </w:r>
    </w:p>
    <w:p>
      <w:pPr>
        <w:spacing w:after="0" w:line="84"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NAIC has established RBC requirements that are used by regulators to assess the minimum amount of statutory capital and surplus needed for an insurance company to support its operations, based on its size and risk profile (referred to as “company action level RBC”). Insurers are required to maintain their capital and surplus at or above minimum levels. Companies below 100% of the company action level RBC are subject to corrective action.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We are subject to RBC requirements and other minimum statutory capital and surplus requirements imposed under the laws of New York. RBC is based on a formula calculated by applying factors to various asset, premium, claim, expense and statutory reserve items. The formula takes into account the risk characteristics of the insurer and is calculated for NAIC reporting purposes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RBC ratio is a method of measuring an insurance company’s capital and is based on statutory financial statements. The RBC ratio, which is the basis for determining regulatory compliance, is equal to total adjusted capital (“TAC”) divided by the applicable company action level RBC.</w:t>
      </w:r>
    </w:p>
    <w:p>
      <w:pPr>
        <w:spacing w:after="0" w:line="10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RBC framework is used as an early warning regulatory tool to identify possible inadequately capitalized insurers for purposes of initiating regulatory action, and not as a means to rank insurers generally. New York insurance laws provide the NYDFS the authority to require various actions by, or take various actions against, insurers whose TAC does not meet or exceed certain RBC levels. See “Risk Factors — Regulatory and Legal Risks — A decrease in our RBC ratio (as a result of a reduction in statutory capital and surplus or an increase in the required RBC capital charges), or a change in the rating agency proprietary capital models, could result in increased scrutiny by insurance regulators and rating agencies and could have a material adverse effect on our financial condition and results of operations,” “Management’s Discussion and Analysis — Liquidity and Capital Resources” and Notes 11 and 12 of the Notes to Statutory Financial Statements.</w:t>
      </w:r>
    </w:p>
    <w:p>
      <w:pPr>
        <w:spacing w:after="0" w:line="9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 August 2022, the NAIC adopted changes to the RBC factors for life insurance contracts. These changes became effective on December 31, 2022, and, upon adoption, they did not have a material impact on our RBC ratio.</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June 2021, the NAIC adopted changes to the RBC factors for bonds and real estate and created a new set of RBC charges for longevity risk. These changes became effective on December 31, 2021. Upon adoption, the modified bond factors resulted in a decrease in our RBC ratio while the real estate and longevity risk changes did not have a significant impact.</w:t>
      </w:r>
    </w:p>
    <w:p>
      <w:pPr>
        <w:spacing w:after="0" w:line="8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August 2018, the NAIC adopted the framework for variable annuity reserve and capital reform (“VA Reform”). New York instituted a similar framework, which was adopted by the Company effective December 31, 2020. The revisions, which resulted in substantial changes in reserves, statutory surplus and capital requirements, were designed to mitigate the incentive for insurers to engage in captive reinsurance transactions by making improvements to Actuarial Guideline 43 and the Life Risk Based Capital C3 Market Risk (“RBC C3 Market Risk”) capital requirements. VA Reform is intended to (i) mitigate the asset 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In August 2022, the NAIC adopted amendments to the Valuation Manual that changed the requirements for reflecting hedge instruments in variable annuity reserves and RBC C3 Market Risk. The changes became effective on December 31, 2023, and did not have a significant impact on our statutory capital and surplus or RBC ratio as of such date.</w:t>
      </w:r>
    </w:p>
    <w:p>
      <w:pPr>
        <w:spacing w:after="0" w:line="8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Further changes to VA Reform, including changes resulting from work currently underway by the NAIC to find a suitable replacement for the Economic Scenario Generators developed by the American Academy of Actuaries, could negatively impact our statutory surplus and required capital.</w:t>
      </w:r>
    </w:p>
    <w:p>
      <w:pPr>
        <w:sectPr>
          <w:pgSz w:w="11900" w:h="16838" w:orient="portrait"/>
          <w:cols w:equalWidth="0" w:num="1">
            <w:col w:w="9019"/>
          </w:cols>
          <w:pgMar w:left="1440" w:top="1373" w:right="1440" w:bottom="839" w:gutter="0" w:footer="0" w:header="0"/>
        </w:sect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9019"/>
          </w:cols>
          <w:pgMar w:left="1440" w:top="1373" w:right="1440" w:bottom="839" w:gutter="0" w:footer="0" w:header="0"/>
          <w:type w:val="continuous"/>
        </w:sectPr>
      </w:pPr>
    </w:p>
    <w:bookmarkStart w:id="75" w:name="page76"/>
    <w:bookmarkEnd w:id="75"/>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NYDFS issues an annual “Special Considerations” circular letter (“SCL”) to New York licensed insurers requiring tests to be performed as part of insurers’ year-end asset adequacy testing. An SCL could require us, among other things, to use certain asset adequacy testing assumptions resulting in increases or releases of certain asset adequacy reserves for a particular year, which could have a material impact on our statutory capital and surplus. There was no impact to our statutory capital and surplus resulting from SCLs for the year ended December 31, 2023. Statutory capital and surplus was negatively impacted from increases in asset adequacy reserves associated with SCL requirements for the year ended December 31, 2022.</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See “Risk Factors — Regulatory and Legal Risks — Our business is highly regulated, and changes in regulation and in supervisory and enforcement policies or interpretations thereof may materially impact our capitalization or cash flows, reduce our profitability and limit our growth.”</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Holding Company Regulation</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The NAIC has adopted revisions to the NAIC Insurance Holding Company System Model Act and the Insurance Holding Company System Model Regulation. New York has adopted a modified version, although its supporting regulation is substantially similar to the model regulation.</w:t>
      </w:r>
    </w:p>
    <w:p>
      <w:pPr>
        <w:spacing w:after="0" w:line="8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New York insurance laws generally provide that no person, corporation or other entity may acquire control of a New York-domiciled insurance company, or a controlling interest in any parent company of any such insurance company, without the prior approval of the NYDFS. Under the laws of New York,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NYDFS,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w:t>
      </w:r>
    </w:p>
    <w:p>
      <w:pPr>
        <w:spacing w:after="0" w:line="86"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New York has enacted this enterprise risk reporting requirement.</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See Note 12 of the Notes to Statutory Financial Statements for a discussion of dividend restrictions under the insurance laws of New York.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Group Capital Contribution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NAIC adopted a group capital calculation tool, implemented by Brighthouse Financial in 2022, that uses an RBC aggregation methodology for all entities within an insurance holding company system. The NAIC has stated that the calculation is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Own Risk and Solvency Assessment Model Act</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2012, the NAIC adopted the Risk Management and Own Risk and Solvency Assessment Model Act (“ORSA”), which has been enacted by New York.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sectPr>
          <w:pgSz w:w="11900" w:h="16838" w:orient="portrait"/>
          <w:cols w:equalWidth="0" w:num="1">
            <w:col w:w="9019"/>
          </w:cols>
          <w:pgMar w:left="1440" w:top="1377"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9019"/>
          </w:cols>
          <w:pgMar w:left="1440" w:top="1377" w:right="1440" w:bottom="1440" w:gutter="0" w:footer="0" w:header="0"/>
          <w:type w:val="continuous"/>
        </w:sectPr>
      </w:pPr>
    </w:p>
    <w:bookmarkStart w:id="76" w:name="page77"/>
    <w:bookmarkEnd w:id="76"/>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Federal Initiatives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Although we are primarily regulated by the insurance laws of New York, federal initiatives often have an impact on our business in a variety of ways. Federal regulation of financial services, securities, derivatives and pensions, as well as legislation affecting cybersecurity,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Guaranty Associations and Similar Arrangements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New York requires us to participate in The Life Insurance Guaranty Corporation, which is a guaranty association organized to pay certain contractual benefits owed pursuant to insurance policies issued by impaired, insolvent or failed insurers, or those that may become impaired, insolvent or fail, for example, following the occurrence of one or more catastrophic events. This association levies assessments, up to prescribed limits, on all member insurers in the state on the basis of the proportionate share of the premiums written by member insurers in the lines of business in which the impaired, insolvent or failed insurer is engaged. New York permits member insurers to recover assessments paid through full or partial premium tax offsets.</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Over the past several years, the aggregate assessments levied against us have not been material. We have established liabilities for guaranty fund assessments that we consider adequate.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Regulatory Examinations and Other Activities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As part of its regulatory oversight process, the NYDFS conducts periodic detailed examinations of our books, records, accounts, and business practices, including periodic financial examinations and market conduct examinations. Over the past several years, there have been no material adverse findings in connection with any examinations of us conducted by the NYDFS, although there can be no assurance that there will not be any material adverse findings in the future.</w:t>
      </w:r>
    </w:p>
    <w:p>
      <w:pPr>
        <w:spacing w:after="0" w:line="7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Regulatory authorities in a small number of states, the Financial Industry Regulatory Authority, Inc. (“FINRA”) and, occasionally, the SEC, have conducted investigations or inquiries relating to sales or administration of individual life insurance policies, annuities or other products by us and our affiliates.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us and our affiliates by other regulatory authorities were resolved for monetary payments and certain other relief, including restitution payments. We may continue to receive, and may resolve, further investigations and actions on these matters in a similar manner. In addition, insurance companies’ claims payment, abandoned property and escheatment practices have received increased scrutiny from regulators.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Policy and Contract Reserve Adequacy Analysis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Annually, we are required to conduct an analysis of the adequacy of all statutory reserves. A qualified actuary must submit an opinion which states that the statutory reserves make adequate provision, according to accepted actuarial standards of practice, for the anticipated cash flows required by our contractual obligations and related expenses. The adequacy of the statutory reserves is considered in light of the assets held by us with respect to such reserves and related actuarial items, including, but not limited to, the investment earnings on such assets, and the consideration anticipated to be received and retained under the related policies and contracts. We may increase reserves in order to submit an opinion without qualification, which is required by the NYDFS, and we have provided such opinions without qualifications.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 of Investments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New York insurance laws require diversification of investment portfolios and limit the amount of investments that an insurer may have in certain asset categories, such as below investment grade fixed income securities, real estate equity, other equity investments, and derivatives, and we have internal procedures designed to ensure that our investments comply with such laws and regulations. Failure to comply with these laws and regulations would cause investments exceeding regulatory limitations to be treated as non-admitted assets for purposes of measuring surplus and, in some instances, would require divestiture of such non-qualifying investments. The NAIC periodically reviews the statutory accounting and RBC requirements for investments and makes changes from time to time. For example, the NAIC is currently examining the risks associated with certain types of structured securities including Collateralized Loan Obligations and is considering modifications to the methodology used to assess credit risk and determine RBC requirements.</w:t>
      </w:r>
    </w:p>
    <w:p>
      <w:pPr>
        <w:sectPr>
          <w:pgSz w:w="11900" w:h="16838" w:orient="portrait"/>
          <w:cols w:equalWidth="0" w:num="1">
            <w:col w:w="9019"/>
          </w:cols>
          <w:pgMar w:left="1440" w:top="1373" w:right="1440" w:bottom="1440"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9019"/>
          </w:cols>
          <w:pgMar w:left="1440" w:top="1373" w:right="1440" w:bottom="1440" w:gutter="0" w:footer="0" w:header="0"/>
          <w:type w:val="continuous"/>
        </w:sectPr>
      </w:pPr>
    </w:p>
    <w:bookmarkStart w:id="77" w:name="page78"/>
    <w:bookmarkEnd w:id="77"/>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NYDFS Insurance Regulation 47</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August 2022, the NYDFS amended Insurance Regulation 47 (as amended, “Regulation 47”), which implemented new requirements for certain annuity products. Certain sections of Regulation 47 became effective as of January 1, 2023, and the remainder became effective on January 1, 2024. The regulation has opened the New York market to new competitors and has impacted some components of our current product designs. We continue to assess the impact of these new factors on our sales in New York. See “Risk Factors — Risks Related to Our Business — Factors affecting our competitiveness may adversely affect our market share and profitability” and “Risk Factors — Risks Related to Our Business — We may experience difficulty in marketing and distributing products through our distribution channels.”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210</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March 2018, NYDFS Insurance Regulation 210: Life Insurance and Annuity Non-Guaranteed Elements took effect. The regulation establishes standards for the determination and readjustment of non-guaranteed elements (“NGE”) that may vary at the insurer’s discretion for life insurance policies and annuity contracts delivered or issued for delivery in New York. In addition, the regulation establishes guidelines for related disclosure to the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rates and interest credits.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Cybersecurity Regulation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the course of our business, we and our distributors collect and maintain customer data, including personally identifiable nonpublic financial and health information. We also collect and handle the personal information of our associates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 including those described below. These laws and regulations require that we implement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Congress and many states have enacted privacy and information security laws and regulations that impose compliance obligations applicable to our business, including obligations to protect sensitive personal and creditworthiness information, as well as limitations on the use and sharing of such information. For example, the NYDFS’s Part 500 – Cybersecurity Regulation (the “NYDFS Cybersecurity Regulation”), which became effective in March 2017, requires companies to establish a cybersecurity program. In November 2023, the NYDFS announced amendments to the NYDFS Cybersecurity Regulation. The amended NYDFS Cybersecurity Regulation went into effect in phases beginning November 1, 2023 and continuing through December 2025, and it includes additional and new requirements regarding certification, governance, audit requirements, technology and business continuity, security control and training requirements, and notification obligations.</w:t>
      </w:r>
    </w:p>
    <w:p>
      <w:pPr>
        <w:spacing w:after="0" w:line="80"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In addition, the California Consumer Privacy Act of 2018 (the “CCPA”), which became effective in January 2020, affords California residents expanded privacy protections and control over the collection, use and sharing of their personal information. The CCPA requires companies to make certain disclosures to California consumers regarding personal information, among other privacy protective measures. The CCPA’s definition of “personal information” is more expansive than those found in other privacy laws in the United States applicable to us.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amended by the California Privacy Rights Act (the “CPRA”), effective as of January 1, 2023, and the implementing regulations require additional investment in compliance programs and potential modifications to business processes. Further, the CCPA, as amended, creates the California Privacy Protection Agency to enforce the statute as well as its regulations, and it imposes new requirements relating to additional consumer rights, data minimization, and other obligations. The California legislature did not extend certain exemptions under the amended CCPA, specifically information collected in employment or business-to-business contexts, and such information therefore is now covered by the CCPA. Enforcement of the CCPA, as amended by the CPRA, began on July 1, 2023.</w:t>
      </w:r>
    </w:p>
    <w:p>
      <w:pPr>
        <w:spacing w:after="0" w:line="87"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More than 20 U.S. states have enacted the Insurance Data Security Model Law or similar laws, and we expect more states to follow.</w:t>
      </w:r>
    </w:p>
    <w:p>
      <w:pPr>
        <w:sectPr>
          <w:pgSz w:w="11900" w:h="16838" w:orient="portrait"/>
          <w:cols w:equalWidth="0" w:num="1">
            <w:col w:w="9019"/>
          </w:cols>
          <w:pgMar w:left="1440" w:top="1373" w:right="1440" w:bottom="1001"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9019"/>
          </w:cols>
          <w:pgMar w:left="1440" w:top="1373" w:right="1440" w:bottom="1001" w:gutter="0" w:footer="0" w:header="0"/>
          <w:type w:val="continuous"/>
        </w:sectPr>
      </w:pPr>
    </w:p>
    <w:bookmarkStart w:id="78" w:name="page79"/>
    <w:bookmarkEnd w:id="78"/>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July 2023, the SEC adopted the Risk Management, Strategy, Governance, and Incident Disclosure Final Rule (the “Cybersecurity Final Rule”) that enhances the disclosure requirements for registered companies covering cybersecurity risk and management. The Cybersecurity Final Rule requires registrants to disclose material cybersecurity incidents on Form 8-K. The Cybersecurity Final Rule also requires periodic disclosures of the Company’s cybersecurity risk management processes, governance, and management’s role in overseeing such a compliance program.</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All U.S. states, the District of Columbia, and U.S. territories also require entities to provide notification to affected residents and, in certain instances, state regulators, such as state attorneys general or state insurance commissioners, in the event of certain security breaches affecting personal information. Also, as noted above, the state of New York,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Use of Artificial Intelligence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State legislatures and insurance regulators have shown increasing concern about the use of artificial intelligence (“AI”) and the potential for discrimination and bias in insurance practices. For example, on September 21, 2023, the Colorado Division of Insurance released its Final Governance and Risk Management Framework Requirements for Life Insurers’ Use of External Consumer Data and Information Sources (“ECDIS”), Algorithms, and Predictive Models, which requires life insurers authorized to do business in Colorado to implement AI governance and risk management measures that are reasonably designed to prevent unfair discrimination in the use of ECDIS, algorithms and predictive models. Additionally, on September 28, 2023, the Colorado Department of Insurance released its draft regulation on Quantitative Testing for Unfairly Discriminatory Outcomes for Algorithms and Predictive Models Used for Life Insurance Underwriting, which would require insurers to estimate the race and ethnicity of proposed insureds that have applied for life insurance coverage on or after the insurer’s initial adoption of the use of ECDIS, or algorithms and predictive models that used ECDIS. While we currently do not expect any of the existing regulations to have a material impact on our business, there can be no assurance that there will not be any material impacts in the future.</w:t>
      </w:r>
    </w:p>
    <w:p>
      <w:pPr>
        <w:spacing w:after="0" w:line="7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New York state legislature and the NYDFS, as well as U.S. federal agencies, may also adopt regulations that govern the use of AI.</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Securities, Broker-Dealer and Investment Advisor Regulation</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Some of our activities in offering and selling variable insurance products, as well as certain fixed interest rate or index-linked contracts,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are also subject to the requirements of FINRA rules.</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We utilize Brighthouse Securities, LLC, an affiliate, to distribute our variable and registered fixed products. Brighthouse Securities, LLC is a FINRA member and a broker-dealer registered with the SEC and applicable state regulators.</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fund which is itself a registered investment company under the Investment Company Act. Our affiliate, Brighthouse Investment Advisers, LLC is registered as an investment advisor with the SEC under the Investment Advisers Act of 1940, and its primary business is to serve as investment advisor to certain of the registered funds that underlie our variable annuity contracts and variable life insurance policies. Certain variable contract separate accounts sponsored by us and our affiliates are exempt from registration under the Securities Act and the Investment Company Act but may be subject to other provisions of the federal securities laws.</w:t>
      </w:r>
    </w:p>
    <w:p>
      <w:pPr>
        <w:spacing w:after="0" w:line="8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ectPr>
          <w:pgSz w:w="11900" w:h="16838" w:orient="portrait"/>
          <w:cols w:equalWidth="0" w:num="1">
            <w:col w:w="9019"/>
          </w:cols>
          <w:pgMar w:left="1440" w:top="1377" w:right="1440" w:bottom="1440"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9019"/>
          </w:cols>
          <w:pgMar w:left="1440" w:top="1377" w:right="1440" w:bottom="1440" w:gutter="0" w:footer="0" w:header="0"/>
          <w:type w:val="continuous"/>
        </w:sectPr>
      </w:pPr>
    </w:p>
    <w:bookmarkStart w:id="79" w:name="page80"/>
    <w:bookmarkEnd w:id="79"/>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Department of Labor and ERISA Considerations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 (collectively, “IRAs”) owners if the investment recommendation results in fees paid to an individual advisor, the firm that employs the advisor or their affiliates. On April 23, 2024, the Department of Labor (“DOL”) issued a final regulation that updates the definition of “investment advice.” See “— Standard of Conduct Regulation — Department of Labor Fiduciary Advice Rule.”</w:t>
      </w:r>
    </w:p>
    <w:p>
      <w:pPr>
        <w:spacing w:after="0" w:line="10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BLNY has taken and continues to take steps designed to ensure compliance with these regulations as they apply to service providers.</w:t>
      </w:r>
    </w:p>
    <w:p>
      <w:pPr>
        <w:spacing w:after="0" w:line="8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John Hancock Mutual Life Insurance Company v. Harris Trust and Savings Bank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an insurance policy or contract that provides for benefits the amount of which is guaranteed by the insurer (a “guaranteed benefit policy”), in which case, the assets would not be considered “plan assets.” We have taken and continue to take steps designed to ensure that policies issued to ERISA Plans after 1998 qualify as guaranteed benefit policies.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Standard of Conduct Regulation</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of Labor Fiduciary Advice Rule</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 regulatory action by the DOL (the “Fiduciary Advice Rule”), which became effective on February 16, 2021, reinstated the text of the DOL’s 1975 investment advice regulation defining what constitutes fiduciary “investment advice” to ERISA Plans and IRAs and provides guidance interpreting such regulation. The guidance provided by the DOL broadens the circumstances under which financial institutions, including insurance companies, could be considered fiduciaries under ERISA or the Tax Code. In particular, the DOL states that a recommendation to “roll over” assets from a qualified retirement plan to an IRA or from an IRA to another IRA, can be considered fiduciary investment advice if provided by someone with an existing relationship with the ERISA Plan or an IRA owner (or in anticipation of establishing such a relationship). This guidance reversed an earlier DOL interpretation suggesting that roll over advice does not constitute investment advice giving rise to a fiduciary relationship.</w:t>
      </w:r>
    </w:p>
    <w:p>
      <w:pPr>
        <w:sectPr>
          <w:pgSz w:w="11900" w:h="16838" w:orient="portrait"/>
          <w:cols w:equalWidth="0" w:num="1">
            <w:col w:w="9019"/>
          </w:cols>
          <w:pgMar w:left="1440" w:top="1377" w:right="1440" w:bottom="1440" w:gutter="0" w:footer="0" w:header="0"/>
        </w:sectPr>
      </w:pPr>
    </w:p>
    <w:p>
      <w:pPr>
        <w:spacing w:after="0" w:line="2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9019"/>
          </w:cols>
          <w:pgMar w:left="1440" w:top="1377" w:right="1440" w:bottom="1440" w:gutter="0" w:footer="0" w:header="0"/>
          <w:type w:val="continuous"/>
        </w:sectPr>
      </w:pPr>
    </w:p>
    <w:bookmarkStart w:id="80" w:name="page81"/>
    <w:bookmarkEnd w:id="80"/>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Under the Fiduciary Advice Rule,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8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Fiduciary Advice Rule, the DOL also issued an exemption, Prohibited Transaction Exemption (“PTE”) 2020-02, that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8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On April 23, 2024, the DOL updated the Fiduciary Advice Rule that amended the definition of an “investment advice fiduciary” under ERISA and amends related administrative PTEs, including PTE 2020-02 and PTE 84-24 (which, as amended by the new Fiduciary Advice Rule, is available exclusively to independent producer fiduciaries receiving reasonable compensation for products that are not considered securities in connection with providing investment advice, including advice with respect to roll overs, that would otherwise be prohibited as a result of their fiduciary relationship to an ERISA plan or IRA). The Fiduciary Advice Rule broadens the circumstances under which financial institutions, including insurance companies, could be considered fiduciaries to ERISA plans and IRA investors. We are assessing the potential impacts of the Fiduciary Advice Rule and cannot currently predict whether, or the extent to which, the Fiduciary Advice Rule may impact us, including with respect to sales of our products through our independent distribution partners, changes in our compliance requirements, product offerings or compensation practices, or increase our litigation risk, any of which could adversely affect our financial condition and results of operations. We may also need to take certain additional actions to comply with, or assist our distributors in their compliance with, the Fiduciary Advice Rule.</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187</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July 2018, the NYDFS amended Insurance Regulation 187 (as amended, “Regulation 187”), adopting a “best interest” standard for the sale of annuities and life insurance products in New York. Regulation 187 generally requires that an insurance producer or insurer consider only a consumer’s best interest, and not the financial interests of the producer or insurer, in making a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 In April 2021, the Appellate Division of the New York State Supreme Court overturned the amendment to Regulation 187 for being unconstitutionally vague, and the NYDFS filed an appeal to the New York Court of Appeals in May 2021. On October 20, 2022, the New York Court of Appeals held that the amendment to Regulation 187 is constitutional, which leaves Regulation 187 in effect.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 Rules Addressing Standards of Conduct for Broker-Dealers</w:t>
      </w:r>
    </w:p>
    <w:p>
      <w:pPr>
        <w:spacing w:after="0" w:line="13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On June 5, 2019, the SEC adopted a comprehensive set of rules and interpretations for broker-dealers and investment advisers, including Regulation Best Interest. Among other things, this regulatory package:</w:t>
      </w:r>
    </w:p>
    <w:p>
      <w:pPr>
        <w:spacing w:after="0" w:line="67" w:lineRule="exact"/>
        <w:rPr>
          <w:sz w:val="20"/>
          <w:szCs w:val="20"/>
          <w:color w:val="auto"/>
        </w:rPr>
      </w:pPr>
    </w:p>
    <w:p>
      <w:pPr>
        <w:jc w:val="both"/>
        <w:ind w:left="680" w:right="739" w:hanging="208"/>
        <w:spacing w:after="0" w:line="261"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w:t>
      </w:r>
    </w:p>
    <w:p>
      <w:pPr>
        <w:spacing w:after="0" w:line="71"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the nature of the fiduciary obligations owed by registered investment advisers to their clients;</w:t>
      </w:r>
    </w:p>
    <w:p>
      <w:pPr>
        <w:spacing w:after="0" w:line="130"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new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w:t>
      </w:r>
    </w:p>
    <w:p>
      <w:pPr>
        <w:spacing w:after="0" w:line="85"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broker-dealers and their financial professionals from using certain compensation practices and the terms “adviser” or “advisor.”</w:t>
      </w:r>
    </w:p>
    <w:p>
      <w:pPr>
        <w:spacing w:after="0" w:line="5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intent of Regulation Best Interest is to impose an enhanced standard of care on broker-dealers and their financial professionals which is more similar to that of an investment adviser. Among other things, this would require broker-dealers to mitigate conflicts of interest arising from transaction-based financial arrangements for their employees.</w:t>
      </w:r>
    </w:p>
    <w:p>
      <w:pPr>
        <w:sectPr>
          <w:pgSz w:w="11900" w:h="16838" w:orient="portrait"/>
          <w:cols w:equalWidth="0" w:num="1">
            <w:col w:w="9019"/>
          </w:cols>
          <w:pgMar w:left="1440" w:top="1377" w:right="1440" w:bottom="812"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9019"/>
          </w:cols>
          <w:pgMar w:left="1440" w:top="1377" w:right="1440" w:bottom="812" w:gutter="0" w:footer="0" w:header="0"/>
          <w:type w:val="continuous"/>
        </w:sectPr>
      </w:pPr>
    </w:p>
    <w:bookmarkStart w:id="81" w:name="page82"/>
    <w:bookmarkEnd w:id="81"/>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Broker-dealers were required to comply with the requirements of Regulation Best Interest beginning June 30, 2020. In addition, individual states and their securities regulators may adopt their own enhanced conduct standards for broker-dealers that may further impact their practices, and it is uncertain to what extent they would be preempted by Regulation Best Interest.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Tax Reform</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$1.0 billion. Based on limited guidance issued by the U.S. Department of Treasury to date, the Company does not currently expect to be subject to the CAMT for the year ended December 31, 2023. However, the Company will assess the applicability of the CAMT on an annual basis and may be subject to the CAMT in future years. The provision is effective for tax years beginning after December 31, 2022.</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Over-the-Counter Derivatives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derivatives transactions that must be cleared and settled through central clearing counterparties (“OTC-cleared”), and (ii) the mandatory exchange of margin for OTC in-scope derivatives transactions that are bilateral contracts between two counterparties (“OTC-bilateral” or “uncleared”) entered into after the applicable phase-in period. The initial margin requirements for OTC-bilateral derivatives transactions, which requires the collecting and posting of collateral to reduce future exposure to a given counterparty, became applicable to us in September 2021.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cleared and OTC-bilateral derivatives transactions. Centralized clearing of certain derivatives also exposes us to the risk of a default by a clearing member or clearinghouse with respect to our cleared derivatives transactions. We could be subject to higher costs of entering into derivatives transactions (including customized derivatives) and the reduced availability of customized derivatives that might result from the implementation of Dodd-Frank and comparable international derivatives regulations.</w:t>
      </w:r>
    </w:p>
    <w:p>
      <w:pPr>
        <w:spacing w:after="0" w:line="83"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Federal banking regulators adopted rules that apply to certain qualified financial contracts, including many derivatives contracts,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 bankruptcy, insolvency, resolution or similar proceeding. Certain of our derivatives are subject to these rules, and as a result, we are subject to greater risk and more limited recovery in the event of a default by such banking institutions or their applicable affiliates.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Considerations</w:t>
      </w:r>
    </w:p>
    <w:p>
      <w:pPr>
        <w:spacing w:after="0" w:line="121"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We hold equity interests in companies that may be subject to extensive federal, state and local environmental laws and regulations and, accordingly, could potentially be subject to environmental liabilities. Our properties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compliance with environmental laws and regulations or any remediation of properties in our investment portfolio will not have a material adverse effect on our results of operations or financial condition.</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9019"/>
          </w:cols>
          <w:pgMar w:left="1440" w:top="1377" w:right="1440" w:bottom="1440" w:gutter="0" w:footer="0" w:header="0"/>
          <w:type w:val="continuous"/>
        </w:sectPr>
      </w:pPr>
    </w:p>
    <w:bookmarkStart w:id="82" w:name="page83"/>
    <w:bookmarkEnd w:id="82"/>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Unclaimed Property</w:t>
      </w:r>
    </w:p>
    <w:p>
      <w:pPr>
        <w:spacing w:after="0" w:line="121"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the laws and regulations of New York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factors described below, in addition to the other information set forth in this prospectus. These risk factors are important to understanding the contents of this prospectus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materialization of any risks and uncertainties set forth below or identified in “Note Regarding Forward-Looking Statements and Summary of Risk Factors” contained in this prospectus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Differences between actual experience and actuarial assumptions may adversely affect our financial results, capitalization and financial condition</w:t>
      </w:r>
    </w:p>
    <w:p>
      <w:pPr>
        <w:spacing w:after="0" w:line="5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liabilities are established based on actuarial estimates of how much we will need to pay for future benefits and claims. To the extent that actual claims and benefits experience differs from the underlying assumptions we used in establishing such liabilities, we could be required to increase our liabilities. We make assumptions regarding policyholder behavior at the time of pricing, including regarding the selection and utilization of the guaranteed options inherent within certain of our products, based in part on expected persistency of the products, which change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any potential adverse publicity or negative rating agency actions. The pricing of certain of our variable annuity products that contain certain living benefit guarantees is also based on assumptions about utilization rates (i.e., the percentage of contracts that will utilize the benefit during the contract duration), including the timing of the first withdrawal. Our earnings may vary based on differences between actual and expected benefit utilization. A material increase in the valuation of the liability could result to the extent that emerging and actual experience deviates from these policyholder option utilization assumptions; in certain circumstances this deviation may impair our solvency. We conduct an annual actuarial review (the “AAR”) of the key inputs into our actuarial models that rely on management judgment and update any models where we have credible evidence from actual experience, industry data or other relevant sources to ensure our price-setting criteria and reserve valuation practices continue to be appropriate.</w:t>
      </w:r>
    </w:p>
    <w:p>
      <w:pPr>
        <w:spacing w:after="0" w:line="8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liabilities for future policy benefits and claims, we cannot precisely determine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8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An increase in our reserves for any of the above reasons, individually or in the aggregate, could have a material adverse effect on our financial condition and results of operations and our profitability measures, as well as materially impact our capitalization, our dividend capacity and our liquidity. This could in turn impact our RBC ratio and our financial strength ratings, which are necessary to support our product sales, and, in certain circumstances, ultimately impact our solvency.</w:t>
      </w:r>
    </w:p>
    <w:p>
      <w:pPr>
        <w:sectPr>
          <w:pgSz w:w="11900" w:h="16838" w:orient="portrait"/>
          <w:cols w:equalWidth="0" w:num="1">
            <w:col w:w="9019"/>
          </w:cols>
          <w:pgMar w:left="1440" w:top="1373" w:right="1440" w:bottom="1440"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9019"/>
          </w:cols>
          <w:pgMar w:left="1440" w:top="1373" w:right="1440" w:bottom="1440" w:gutter="0" w:footer="0" w:header="0"/>
          <w:type w:val="continuous"/>
        </w:sectPr>
      </w:pPr>
    </w:p>
    <w:bookmarkStart w:id="83" w:name="page84"/>
    <w:bookmarkEnd w:id="83"/>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Guarantees within certain of our annuity products may decrease our earnings, decrease our capitalization, increase the volatility of our results and negatively affect our statutory capital</w:t>
      </w:r>
    </w:p>
    <w:p>
      <w:pPr>
        <w:spacing w:after="0" w:line="6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Our Shield Annuities are index-linked annuities with guarantees for a defined amount of equity loss protection and upside participation. If the separate account assets consisting of fixed income securities are insufficient to support the increased liabilities resulting from a period of sustained growth in the equity index on which the product is based, we may be required to fund such separate accounts with additional assets from our general account, where we risk manage the equity exposure. Our risk management program for Shield seeks to mitigate the potential adverse effects of changes in equity markets primarily by hedging using equity index options and equity total return swaps that attempt to approximately match the equity risk in the policyholder options.</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our exposure risk management program, we may determine to seek the approval of applicable regulatory authorities to permit us to increase our hedge limits consistent with those contemplated by the program. No assurance can be given that any of our requested approvals will be obtained, and, even if obtained, any such approvals may be subject to qualifications, limitations or conditions.</w:t>
      </w:r>
    </w:p>
    <w:p>
      <w:pPr>
        <w:spacing w:after="0" w:line="85"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In addition, hedging instruments we enter into may not effectively offset the equity participation risk in the policyholder options or may otherwise be insufficient in relation to our obligations. For example, in the event that derivative counterparties or central clearinghouses are unable or unwilling to pay, we remain liable for the policyholder liabilities. Furthermore, we are subject to the risk that changes in policyholder behavior or mortality, combined with adverse market events, could produce economic losses not addressed by the risk management techniques employed. Under our hedging strategy, period to period changes in the valuation of our hedges relative to the guarantee liabilities may result in significant volatility to certain of our profitability measures, which in certain circumstances could be more significant than has been the case historically.</w:t>
      </w:r>
    </w:p>
    <w:p>
      <w:pPr>
        <w:spacing w:after="0" w:line="97"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above factors, individually or in the aggregate, could have a material adverse effect on our financial condition and results of operations and our profitability measures, as well as materially impact our capitalization, our dividend capacity and our liquidity. This could in turn impact our RBC ratio and our financial strength ratings, which are necessary to support our product sales, and, in certain circumstances, ultimately impact our solvency. Additionally, to the extent policyholder persistency is different than we anticipate, it could have an impact on our liquidity.</w:t>
      </w:r>
    </w:p>
    <w:p>
      <w:pPr>
        <w:spacing w:after="0" w:line="93"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Furthermore, we may be exposed to the risks related to guarantees included in certain of our variable annuity products. While we have ceded all of the economic risk associated with our guaranteed minimum benefits to Brighthouse Life Insurance Company, we retain exposure related to the guarantees in the event Brighthouse Life Insurance Company fails to perform. In that case, we would be exposed to the risks created by guaranteed benefits designed to protect contract holders against significant changes in equity markets and interest rates, including GMDBs and GMWBs. While we have GMABs and GMIBs in-force with respect to which we are obligated to perform, we no longer sell new products that include GMABs or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variable annuity guarantees.</w:t>
      </w:r>
    </w:p>
    <w:p>
      <w:pPr>
        <w:spacing w:after="0" w:line="8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Additionally, we make assumptions regarding policyholder behavior at the time of pricing, including the selection and utilization of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7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or a potential downgrade in our financial strength ratings could result in a loss of business and materially adversely affect our financial condition and results of operations</w:t>
      </w:r>
    </w:p>
    <w:p>
      <w:pPr>
        <w:spacing w:after="0" w:line="5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Downgrades in our financial strength ratings or changes to our ratings outlooks could have a material adverse effect on our financial condition and results of operations in many ways, including:</w:t>
      </w:r>
    </w:p>
    <w:p>
      <w:pPr>
        <w:spacing w:after="0" w:line="54" w:lineRule="exact"/>
        <w:rPr>
          <w:sz w:val="20"/>
          <w:szCs w:val="20"/>
          <w:color w:val="auto"/>
        </w:rPr>
      </w:pPr>
    </w:p>
    <w:p>
      <w:pPr>
        <w:ind w:left="680" w:hanging="208"/>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new sales of insurance products and annuity products;</w:t>
      </w:r>
    </w:p>
    <w:p>
      <w:pPr>
        <w:spacing w:after="0" w:line="117" w:lineRule="exact"/>
        <w:rPr>
          <w:rFonts w:ascii="Times New Roman" w:cs="Times New Roman" w:eastAsia="Times New Roman" w:hAnsi="Times New Roman"/>
          <w:sz w:val="18"/>
          <w:szCs w:val="18"/>
          <w:color w:val="auto"/>
        </w:rPr>
      </w:pPr>
    </w:p>
    <w:p>
      <w:pPr>
        <w:ind w:left="680" w:right="1339" w:hanging="208"/>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losing existing distributors or negatively impacting our ability to establish relationships with new distributors;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relationships with independent sales intermediaries;</w:t>
      </w:r>
    </w:p>
    <w:p>
      <w:pPr>
        <w:sectPr>
          <w:pgSz w:w="11900" w:h="16838" w:orient="portrait"/>
          <w:cols w:equalWidth="0" w:num="1">
            <w:col w:w="9019"/>
          </w:cols>
          <w:pgMar w:left="1440" w:top="1373" w:right="1440" w:bottom="731" w:gutter="0" w:footer="0" w:header="0"/>
        </w:sectPr>
      </w:pPr>
    </w:p>
    <w:p>
      <w:pPr>
        <w:spacing w:after="0" w:line="3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9019"/>
          </w:cols>
          <w:pgMar w:left="1440" w:top="1373" w:right="1440" w:bottom="731" w:gutter="0" w:footer="0" w:header="0"/>
          <w:type w:val="continuous"/>
        </w:sectPr>
      </w:pPr>
    </w:p>
    <w:bookmarkStart w:id="84" w:name="page85"/>
    <w:bookmarkEnd w:id="84"/>
    <w:p>
      <w:pPr>
        <w:ind w:left="680" w:right="1519" w:hanging="208"/>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increasing the number or amount of policy surrenders and withdrawals by contract holders and policyholders;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reduce prices for many of our products and services to remain competitive;</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for the benefit of our derivative instrument counterparties;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obtain reinsurance at reasonable prices, if at all;</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potentially increased regulatory scrutiny;</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access to capital markets or other contingent funding sources;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capital, which could adversely affect our liquidity.</w:t>
      </w:r>
    </w:p>
    <w:p>
      <w:pPr>
        <w:spacing w:after="0" w:line="117" w:lineRule="exact"/>
        <w:rPr>
          <w:sz w:val="20"/>
          <w:szCs w:val="20"/>
          <w:color w:val="auto"/>
        </w:rPr>
      </w:pPr>
    </w:p>
    <w:p>
      <w:pPr>
        <w:jc w:val="both"/>
        <w:ind w:left="120" w:right="659" w:firstLine="360"/>
        <w:spacing w:after="0" w:line="257" w:lineRule="auto"/>
        <w:rPr>
          <w:sz w:val="20"/>
          <w:szCs w:val="20"/>
          <w:color w:val="auto"/>
        </w:rPr>
      </w:pPr>
      <w:r>
        <w:rPr>
          <w:rFonts w:ascii="Times New Roman" w:cs="Times New Roman" w:eastAsia="Times New Roman" w:hAnsi="Times New Roman"/>
          <w:sz w:val="18"/>
          <w:szCs w:val="18"/>
          <w:color w:val="auto"/>
        </w:rPr>
        <w:t>Credit rating agencies may continue to review and adjust their ratings for the companies that they rate, including us. The credit rating agencies also evaluate the insurance industry as a whole and may change our financial strength rating based on their overall view of our industry. See “Management’s Discussion and Analysis</w:t>
      </w:r>
    </w:p>
    <w:p>
      <w:pPr>
        <w:spacing w:after="0" w:line="1" w:lineRule="exact"/>
        <w:rPr>
          <w:sz w:val="20"/>
          <w:szCs w:val="20"/>
          <w:color w:val="auto"/>
        </w:rPr>
      </w:pPr>
    </w:p>
    <w:p>
      <w:pPr>
        <w:ind w:left="120" w:right="659"/>
        <w:spacing w:after="0" w:line="260" w:lineRule="auto"/>
        <w:rPr>
          <w:sz w:val="20"/>
          <w:szCs w:val="20"/>
          <w:color w:val="auto"/>
        </w:rPr>
      </w:pPr>
      <w:r>
        <w:rPr>
          <w:rFonts w:ascii="Times New Roman" w:cs="Times New Roman" w:eastAsia="Times New Roman" w:hAnsi="Times New Roman"/>
          <w:sz w:val="18"/>
          <w:szCs w:val="18"/>
          <w:color w:val="auto"/>
        </w:rPr>
        <w:t>— Liquidity and Capital Resources — Insurer Financial Strength Ratings” for additional information regarding our financial strength ratings, including current ratings and outlooks.</w:t>
      </w:r>
    </w:p>
    <w:p>
      <w:pPr>
        <w:spacing w:after="0" w:line="69"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access credit facilities could result in a reduction in our liquidity and lead to downgrades in Brighthouse Financial’s credit ratings and our financial strength ratings</w:t>
      </w:r>
    </w:p>
    <w:p>
      <w:pPr>
        <w:spacing w:after="0" w:line="5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Brighthouse Financial had $3.2 billion of total long-term consolidated indebtedness outstanding at December 31, 2023, consisting of debt securities issued to its investors. BHF also has a $1.0 billion senior unsecured revolving credit facility maturing April 15, 2027 (the “Revolving Credit Facility”). The right to borrow funds under the Revolving Credit Facility is subject to the fulfillment of certain conditions, including compliance with all covenants. Failure to comply with the covenants in the Revolving Credit Facility or to fulfill the conditions to borrowings, or the failure of lenders to fund their lending commitments in the amounts provided for under the terms of the Revolving Credit Facility (whether due to insolvency, illiquidity or other reasons), would restrict BHF’s ability to access the Revolving Credit Facility when needed and, consequently, could have a material adverse effect on our financial condition, results of operations and liquidity.</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Reinsurance may not be available, affordable or adequate to protect us against losses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As part of our overall risk management strategy, we may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 to our customers and our profitability will be negatively impacted as a result. Additionally, such a rate increase could result in our recapturing the reinsured business, which would result in a need to maintain additional reserves, reduce reinsurance receivables and expose us to greater risks. Accordingly, we may be forced to incur additional expenses for reinsurance or may not be able to obtain sufficient reinsurance on acceptable terms, which could adversely affect our ability to write future business or result in an increase in the amount of risk that we retain with respect to those policies we issue. See “Description of Business — Reinsurance Activity.”</w:t>
      </w:r>
    </w:p>
    <w:p>
      <w:pPr>
        <w:spacing w:after="0" w:line="83"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67" w:lineRule="exact"/>
        <w:rPr>
          <w:sz w:val="20"/>
          <w:szCs w:val="20"/>
          <w:color w:val="auto"/>
        </w:rPr>
      </w:pPr>
    </w:p>
    <w:p>
      <w:pPr>
        <w:jc w:val="both"/>
        <w:ind w:left="120" w:right="659" w:firstLine="360"/>
        <w:spacing w:after="0" w:line="255" w:lineRule="auto"/>
        <w:rPr>
          <w:sz w:val="20"/>
          <w:szCs w:val="20"/>
          <w:color w:val="auto"/>
        </w:rPr>
      </w:pPr>
      <w:r>
        <w:rPr>
          <w:rFonts w:ascii="Times New Roman" w:cs="Times New Roman" w:eastAsia="Times New Roman" w:hAnsi="Times New Roman"/>
          <w:sz w:val="18"/>
          <w:szCs w:val="18"/>
          <w:color w:val="auto"/>
        </w:rPr>
        <w:t>We use reinsurance, indemnification and derivatives to mitigate our risks in various circumstances. In general, reinsurance, indemnification and derivatives do not relieve us of our direct liability to our policyholders, even when a third party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 agreements with us or inability or unwillingness to return collateral could have a material adverse effect on our financial condition and results of operations.</w:t>
      </w:r>
    </w:p>
    <w:p>
      <w:pPr>
        <w:sectPr>
          <w:pgSz w:w="11900" w:h="16838" w:orient="portrait"/>
          <w:cols w:equalWidth="0" w:num="1">
            <w:col w:w="9019"/>
          </w:cols>
          <w:pgMar w:left="1440" w:top="1377" w:right="1440" w:bottom="1440" w:gutter="0" w:footer="0" w:header="0"/>
        </w:sectPr>
      </w:pPr>
    </w:p>
    <w:p>
      <w:pPr>
        <w:spacing w:after="0" w:line="3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9019"/>
          </w:cols>
          <w:pgMar w:left="1440" w:top="1377" w:right="1440" w:bottom="1440" w:gutter="0" w:footer="0" w:header="0"/>
          <w:type w:val="continuous"/>
        </w:sectPr>
      </w:pPr>
    </w:p>
    <w:bookmarkStart w:id="85" w:name="page86"/>
    <w:bookmarkEnd w:id="85"/>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addition, we use derivatives to hedge various business risks. We enter into a variety of OTC-bilateral derivatives, including equity index options, interest rate caps and currency swaps. If our counterparties fail or refuse to honor their obligations under these derivatives, our hedges of the related risk will be ineffective. Such failure could have a material adverse effect on our financial condition and results of operations.</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competitiveness may adversely affect our market share and profitability</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We believe competition among insurance companies is based on a number of factors, including service, product features, scale, price, actual or perceived financial strength, claims-paying ratings, financial strength ratings, e-business capabilities and name recognition. We face intense competition from a large number of other insurance companies, as well as non-insurance financial services companies (e.g., banks, private equity firms, broker-dealers and asset managers). In addition, certain of our distributors also currently offer their own competing products or may offer competing products in the future. Some of our competitors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In addition, new and disruptive technologies may present competitive risks.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“Description of Business — Competition.”</w:t>
      </w:r>
    </w:p>
    <w:p>
      <w:pPr>
        <w:spacing w:after="0" w:line="8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financial strength ratings that are commensurate with our business strategy, over time, our competitive position could be adversely affected.</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addition, the highly regulated nature of our business, as well as the legislative or other changes affecting the regulatory environment for our business may over time, affect our competitive position within the annuities and life insurance industry, and within the broader financial services industry. See “— Regulatory and Legal Risks” and “Description of Business — Regulation.”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marketing and distributing products through our distribution channels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distribute our products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in the marketplace, any of which could adversely impact the effectiveness of our distribution efforts. Also, if we are unsuccessful in attracting and retaining key internal associates who conduct our business, including wholesalers, our sales could decline.</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one or more such distributors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or other industry changes may also increase the likelihood that distributors will try to renegotiate the terms of any existing selling agreements to terms less favorable to us.</w:t>
      </w:r>
    </w:p>
    <w:p>
      <w:pPr>
        <w:spacing w:after="0" w:line="80"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such products are not in the best interest, we may suffer reputational and other harm to our business.</w:t>
      </w:r>
    </w:p>
    <w:p>
      <w:pPr>
        <w:sectPr>
          <w:pgSz w:w="11900" w:h="16838" w:orient="portrait"/>
          <w:cols w:equalWidth="0" w:num="1">
            <w:col w:w="9019"/>
          </w:cols>
          <w:pgMar w:left="1440" w:top="1377" w:right="1440" w:bottom="771" w:gutter="0" w:footer="0" w:header="0"/>
        </w:sectPr>
      </w:pPr>
    </w:p>
    <w:p>
      <w:pPr>
        <w:spacing w:after="0" w:line="26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9019"/>
          </w:cols>
          <w:pgMar w:left="1440" w:top="1377" w:right="1440" w:bottom="771" w:gutter="0" w:footer="0" w:header="0"/>
          <w:type w:val="continuous"/>
        </w:sectPr>
      </w:pPr>
    </w:p>
    <w:bookmarkStart w:id="86" w:name="page87"/>
    <w:bookmarkEnd w:id="86"/>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We compete with major, well-established stock and mutual life insurance companies and non-insurance financial services companies (e.g., banks, private equity firms, broker-dealers and asset managers) in all of our product offerings, and our distributors sell such competitors’ products along with our products. In addition, certain of our distributors currently offer their own competing products or may offer competing products in the future. If our distributors concentrate their efforts in selling their firm’s own products or our other competitors’ products instead of ours, our sales could be adversely impacted.</w:t>
      </w:r>
    </w:p>
    <w:p>
      <w:pPr>
        <w:spacing w:after="0" w:line="75"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third parties to provide various services to us, or any failure of the practices and procedures that these third parties use to provide services to us, could have a material adverse effect on our business</w:t>
      </w:r>
    </w:p>
    <w:p>
      <w:pPr>
        <w:spacing w:after="0" w:line="5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 key part of our operating strategy is to leverage third parties to deliver certain services important to our business, including administrative, operational, technology, financial, investment and actuarial services. There can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 any processes they handle on our behalf, or that any remedies available under these third-party arrangements will be sufficient in the event of a dispute or nonperformance. In addition, as we transition to new third-party service providers and convert certain administrative systems or platforms, certain issues have occurred in the past and may arise again in the future. There can be no assurance that in connection with any such conversions, transitions to new third-party service providers, or in connection with any of the services provided to us by third parties (or such third party’s supplier, vendor or subcontractor), we will not incur unanticipated expenses or experience other economic or reputational harm, service delays or interruptions, or be subject to litigation or regulatory investigations and actions, any of which could have a material adverse effect on our business and financial results.</w:t>
      </w:r>
    </w:p>
    <w:p>
      <w:pPr>
        <w:spacing w:after="0" w:line="8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Furthermore, if a third-party provider (or such third-party’s supplier, vendor or subcontractor) fails to meet contractual requirements (e.g., compliance with applicable laws and regulations or fails to provide material information on a timely basis), fails to provide required services due to the loss of key personnel or otherwise, or suffers a cyberattack or other security breach,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We may experience difficulty in marketing and distributing products through our distribution channels” and “— Operational Risks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addition, from time to time, certain third parties have brought to our attention practices, procedures and reserves with respect to certain products they administer on our behalf that require further review. While we do not believe, based on the information made available to us to date, that any of the matters brought to our attention will require material modifications to reserves or will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spacing w:after="0" w:line="84" w:lineRule="exact"/>
        <w:rPr>
          <w:sz w:val="20"/>
          <w:szCs w:val="20"/>
          <w:color w:val="auto"/>
        </w:rPr>
      </w:pPr>
    </w:p>
    <w:p>
      <w:pPr>
        <w:jc w:val="both"/>
        <w:ind w:left="120" w:right="659" w:firstLine="360"/>
        <w:spacing w:after="0" w:line="277" w:lineRule="auto"/>
        <w:rPr>
          <w:sz w:val="20"/>
          <w:szCs w:val="20"/>
          <w:color w:val="auto"/>
        </w:rPr>
      </w:pPr>
      <w:r>
        <w:rPr>
          <w:rFonts w:ascii="Times New Roman" w:cs="Times New Roman" w:eastAsia="Times New Roman" w:hAnsi="Times New Roman"/>
          <w:sz w:val="17"/>
          <w:szCs w:val="17"/>
          <w:color w:val="auto"/>
        </w:rPr>
        <w:t>It may be difficult, disruptive and costly for us to replace some of our third-party providers in a timely manner if in the future they were unwilling or unable to provide us with the services we require (as a result of their financial or business conditions or otherwise),which could have a material adverse effect on our business and financial results. In addition, if a third-party provider raises the rates that it charges us for its services, we may not be able to pass the increased costs onto our customers and our profitability may be negatively impacted as a result.</w:t>
      </w:r>
    </w:p>
    <w:p>
      <w:pPr>
        <w:spacing w:after="0" w:line="56"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deferred income tax assets or liabilities, including changes in our ability to realize our deferred income tax assets, could adversely affect our financial condition or results of operations</w:t>
      </w:r>
    </w:p>
    <w:p>
      <w:pPr>
        <w:sectPr>
          <w:pgSz w:w="11900" w:h="16838" w:orient="portrait"/>
          <w:cols w:equalWidth="0" w:num="1">
            <w:col w:w="9019"/>
          </w:cols>
          <w:pgMar w:left="1440" w:top="1377" w:right="1440" w:bottom="1440" w:gutter="0" w:footer="0" w:header="0"/>
        </w:sectPr>
      </w:pPr>
    </w:p>
    <w:p>
      <w:pPr>
        <w:spacing w:after="0" w:line="2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9019"/>
          </w:cols>
          <w:pgMar w:left="1440" w:top="1377" w:right="1440" w:bottom="1440" w:gutter="0" w:footer="0" w:header="0"/>
          <w:type w:val="continuous"/>
        </w:sectPr>
      </w:pPr>
    </w:p>
    <w:bookmarkStart w:id="87" w:name="page88"/>
    <w:bookmarkEnd w:id="87"/>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Changes in the statutory tax rate or other tax law changes could also affect the value of our deferred income tax assets and may require a write-off of some of those assets. See “Management’s Discussion and Analysis — Summary of Critical Accounting Estimates and Policies.”</w:t>
      </w:r>
    </w:p>
    <w:p>
      <w:pPr>
        <w:spacing w:after="0" w:line="90"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climate change could adversely affect our business, financial condition and results of operations</w:t>
      </w:r>
    </w:p>
    <w:p>
      <w:pPr>
        <w:spacing w:after="0" w:line="5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Climate change could pose a systemic risk to the global financial system. Climate change could increase the frequency and severity of weather-related disasters and pandemics. Efforts to reduce greenhouse gas emissions and limit global warming could impact global investment asset valuations. There is also a risk that some asset sectors could face significantly higher costs and a disorderly adjustment to asset values leading to an adverse impact on the value and future performance of investment assets as a result of climate change or regulatory or other responses. Climate change could also impact our counterparties and other third parties, including, among others, reinsurers and derivative counterparties. Increasing scrutiny and evolving expectations from investors, customers, regulators, and other stakeholders regarding climate change matters may adversely affect our reputation. The above risks could adversely affect our business, financial condition and results of operations.</w:t>
      </w:r>
    </w:p>
    <w:p>
      <w:pPr>
        <w:spacing w:after="0" w:line="90"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extreme mortality events or similar occurrences may adversely impact our business, financial condition, or results of operations, as well as the economy in general</w:t>
      </w:r>
    </w:p>
    <w:p>
      <w:pPr>
        <w:spacing w:after="0" w:line="6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Public health crises, extreme mortality events or other similar occurrences could have a major impact on the global economy and the financial markets or the economies of particular countries or regions, including market volatility and disruptions to commerce, the health system, and the food supply, as well as reduced economic activity and labor shortages. In addition, a public health crisis that affected our associates or the employees of our distributors or of other companies with which we do business, including providers of third-party services, could disrupt our business operations. Furthermore, the value of our investment portfolio could be negatively impacted. See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8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Economic uncertainty resulting from a public health crisis or similar event could impact sales of certain of our products, and we may decide or otherwise be required to provide relief to customers adversely affected by such an event, similar to the relief we provided in connection with the COVID-19 pandemic.</w:t>
      </w:r>
    </w:p>
    <w:p>
      <w:pPr>
        <w:spacing w:after="0" w:line="68"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In addition, our life insurance operations are exposed to the risk of catastrophic mortality, such as a pandemic or other event that causes a large number of deaths. For example, the COVID-19 pandemic and several significant influenza pandemics have occurred in the last century. The likelihood, timing, and severity of a future pandemic that may impact our policyholders cannot be predicted. Moreover, the impact of climate change could cause changes in the frequency or severity of outbreaks of certain diseases. Circumstances resulting from a public health crisis or similar event could affect the incidence of claims, utilization of benefits, lapses or surrenders of policies and payments on insurance premiums, any of which could impact the revenues and expenses associated with our products.</w:t>
      </w:r>
    </w:p>
    <w:p>
      <w:pPr>
        <w:spacing w:after="0" w:line="8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spacing w:after="0" w:line="77" w:lineRule="exact"/>
        <w:rPr>
          <w:sz w:val="20"/>
          <w:szCs w:val="20"/>
          <w:color w:val="auto"/>
        </w:rPr>
      </w:pPr>
    </w:p>
    <w:p>
      <w:pPr>
        <w:jc w:val="both"/>
        <w:ind w:left="12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customers, regulators and other stakeholders regarding environmental, social and governance matters may adversely affect our reputation or otherwise adversely impact our business and results of operations</w:t>
      </w:r>
    </w:p>
    <w:p>
      <w:pPr>
        <w:spacing w:after="0" w:line="67"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There is increasing scrutiny and evolving expectations from customers, regulators and other stakeholders on environmental, social and governance (“ESG”) practices and disclosures, including those related to environmental stewardship, climate change, diversity, equity and inclusion, racial justice and workplace conduct. Regulators have imposed and likely will continue to impose ESG-related rules and guidance, which may conflict with one another and impose additional</w:t>
      </w:r>
    </w:p>
    <w:p>
      <w:pPr>
        <w:sectPr>
          <w:pgSz w:w="11900" w:h="16838" w:orient="portrait"/>
          <w:cols w:equalWidth="0" w:num="1">
            <w:col w:w="9019"/>
          </w:cols>
          <w:pgMar w:left="1440" w:top="1377" w:right="1440" w:bottom="1082" w:gutter="0" w:footer="0" w:header="0"/>
        </w:sect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9019"/>
          </w:cols>
          <w:pgMar w:left="1440" w:top="1377" w:right="1440" w:bottom="1082" w:gutter="0" w:footer="0" w:header="0"/>
          <w:type w:val="continuous"/>
        </w:sectPr>
      </w:pPr>
    </w:p>
    <w:bookmarkStart w:id="88" w:name="page89"/>
    <w:bookmarkEnd w:id="88"/>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costs on us or expose us to new or additional risks. In view of evolving regulatory expectations and changing consumer preferences and social expectations, ESG issues can represent emerging or unforeseen risks to our long-term operating performance and financial condition. Moreover, certain organizations that provide information to investors have developed ratings for evaluating companies on their approach to different ESG matters, and unfavorable ratings of the Company or our industry may lead to negative investor sentiment and the diversion of investment to other companies or industries.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Economic Environment and Capital Markets-Related Risks</w:t>
      </w:r>
    </w:p>
    <w:p>
      <w:pPr>
        <w:spacing w:after="0" w:line="11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5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and well-diversified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of capital markets. In an economic downturn characterized by rapid increases in inflation, higher unemployment, lower family income, lower corporate earnings, lower business investment or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our results of operations and our ability to pay dividends to our parent company.</w:t>
      </w:r>
    </w:p>
    <w:p>
      <w:pPr>
        <w:spacing w:after="0" w:line="8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Significant market volatility in reaction to geopolitical risks, changing monetary policy, trade disputes and uncertain fiscal policy may exacerbate some of the risks we face. Increased market volatility may affect the performance of the various asset classes in which we invest, as well as separate account values.</w:t>
      </w:r>
    </w:p>
    <w:p>
      <w:pPr>
        <w:spacing w:after="0" w:line="68"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Extreme declines or shocks in equity markets, as well as sustained stagnation and persistent low interest rates, could cause us to incur significant capital or operating losses due to, among other reasons, the impact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insurance contract liabilities due to inherent market return guarantees in these liabilities. We currently cede substantially all of the risks associated with these guarantees to Brighthouse Life Insurance Company. However, because the accounting for the ceded reinsurance is different from the accounting for the directly written guarantees, there can be a net impact to our financial statements even though all of the economic risks have been ceded. Similarly, sustained periods of low interest rates and risk asset returns could reduce income from our investment portfolio, increase our insurance contract liabilities, and increase the cost of risk transfer measures such as hedging, causing our profit margins to erode as a result of reduced investment portfolio income and increased insurance liabilities. See also “— Risks Related to Our Business — Guarantees within certain of our annuity products may decrease our earnings, decrease our capitalization, increase the volatility of our results and negatively affect our statutory capital” and “— Risks Related to Our Business — Public health crises, extreme mortality events or similar occurrences may adversely impact our business, financial condition, or results of operations, as well as the economy in general.”</w:t>
      </w:r>
    </w:p>
    <w:p>
      <w:pPr>
        <w:spacing w:after="0" w:line="81"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significantly affect our ability to meet liquidity needs and our access to capital</w:t>
      </w:r>
    </w:p>
    <w:p>
      <w:pPr>
        <w:spacing w:after="0" w:line="5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We need liquidity to pay our operating expenses and replace certain maturing liabilities. Without sufficient liquidity, we could be forced to curtail our operations and limit the investments necessary to grow our business.</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insurance premiums and fees paid in connection with annuity products, and cash flow from our investment portfolio to the extent consisting of cash and readily marketable securities.</w:t>
      </w:r>
    </w:p>
    <w:p>
      <w:pPr>
        <w:sectPr>
          <w:pgSz w:w="11900" w:h="16838" w:orient="portrait"/>
          <w:cols w:equalWidth="0" w:num="1">
            <w:col w:w="9019"/>
          </w:cols>
          <w:pgMar w:left="1440" w:top="1377" w:right="1440" w:bottom="1440" w:gutter="0" w:footer="0" w:header="0"/>
        </w:sectPr>
      </w:pP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9019"/>
          </w:cols>
          <w:pgMar w:left="1440" w:top="1377" w:right="1440" w:bottom="1440" w:gutter="0" w:footer="0" w:header="0"/>
          <w:type w:val="continuous"/>
        </w:sectPr>
      </w:pPr>
    </w:p>
    <w:bookmarkStart w:id="89" w:name="page90"/>
    <w:bookmarkEnd w:id="89"/>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the event capital markets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financial strength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97"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 addition, our liquidity requirements may change if, among other things, we are required to return significant amounts of cash collateral on short notice under collateral requirements. See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“Management’s Discussion and Analysis — Liquidity and Capital Resources.”</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business is highly regulated, and changes in regulation and in supervisory and enforcement policies or interpretations thereof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w:t>
      </w:r>
    </w:p>
    <w:p>
      <w:pPr>
        <w:spacing w:after="0" w:line="76"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financial and capital markets risks which may adversely affect our financial condition, results of operations and liquidity, and may cause our profitability measures to vary from period-to-period</w:t>
      </w:r>
    </w:p>
    <w:p>
      <w:pPr>
        <w:spacing w:after="0" w:line="67" w:lineRule="exact"/>
        <w:rPr>
          <w:sz w:val="20"/>
          <w:szCs w:val="20"/>
          <w:color w:val="auto"/>
        </w:rPr>
      </w:pPr>
    </w:p>
    <w:p>
      <w:pPr>
        <w:jc w:val="both"/>
        <w:ind w:left="120" w:right="639" w:firstLine="360"/>
        <w:spacing w:after="0" w:line="289" w:lineRule="auto"/>
        <w:rPr>
          <w:sz w:val="20"/>
          <w:szCs w:val="20"/>
          <w:color w:val="auto"/>
        </w:rPr>
      </w:pPr>
      <w:r>
        <w:rPr>
          <w:rFonts w:ascii="Times New Roman" w:cs="Times New Roman" w:eastAsia="Times New Roman" w:hAnsi="Times New Roman"/>
          <w:sz w:val="17"/>
          <w:szCs w:val="17"/>
          <w:color w:val="auto"/>
        </w:rPr>
        <w:t>Economic risks and other factors described below, as well as significant volatility in the markets, individually or collectively, could have a material adverse effect on our financial condition, results of operations, liquidity or cash flows through a change in our insurance liabilities or increases in reserves for future policyholder benefits.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Some of our current or anticipated future products, principally traditional life, universal life, and index-linked annuities,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75"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financial condition and results of operations.</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An increase in interest rates could result in decreased fee revenue associated with a decline in the value of variable annuity account balances invested in fixed income funds. In addition, 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our ability to pay dividends to our parent company and significantly reduce our profitability. We may therefore have to accept a lower credit spread and lower profitability or face a decline in sales and greater loss of existing contracts and related assets.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Inflation increases expenses (including, among others, for labor and third-party services), potentially putting pressure on profitability in the event that such additional costs cannot be passed through to policyholders. High inflation could also cause a change in consumer sentiment and behavior adversely affecting the sales of certain of our products.</w:t>
      </w:r>
    </w:p>
    <w:p>
      <w:pPr>
        <w:sectPr>
          <w:pgSz w:w="11900" w:h="16838" w:orient="portrait"/>
          <w:cols w:equalWidth="0" w:num="1">
            <w:col w:w="9019"/>
          </w:cols>
          <w:pgMar w:left="1440" w:top="1377" w:right="1440" w:bottom="569"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9019"/>
          </w:cols>
          <w:pgMar w:left="1440" w:top="1377" w:right="1440" w:bottom="569" w:gutter="0" w:footer="0" w:header="0"/>
          <w:type w:val="continuous"/>
        </w:sectPr>
      </w:pPr>
    </w:p>
    <w:bookmarkStart w:id="90" w:name="page91"/>
    <w:bookmarkEnd w:id="90"/>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Equity Risk</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Our primary equity risk relates to the potential for lower earnings associated with certain of our businesses where fee income is earned based upon the estimated market value of the separate account assets and other assets related to our variable annuity business. Because fees generated by such products are primarily related to the value of the separate account assets and other assets under management, a decline in the equity markets could reduce our revenues as a result of the reduction in the value of the investment assets supporting those products and services. We seek to mitigate the impact of such exposure to weak or stagnant equity markets through the use of derivatives, reinsurance and capital management. However, such derivatives and reinsurance may become less available and, if they remain available, their price could materially increase in a period characterized by volatile equity markets. The risk of stagnation in equity market returns cannot be addressed by hedging. See “Description of Business — Segments and Corporate &amp; Other — Annuities — Products — Variable Annuities” for details regarding sensitivity of our variable annuity business to capital markets.</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See “— Risks Related to Our Business — Guarantees within certain of our annuity products may decrease our earnings, decrease our capitalization, increase the volatility of our results and negatively affect our statutory capital.”</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Investment Portfolio</w:t>
      </w:r>
    </w:p>
    <w:p>
      <w:pPr>
        <w:spacing w:after="0" w:line="131"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Risk</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Fixed income securities and mortgage loans represent a significant portion of our investment portfolio. We are also subject to the risk that the issuers or guarantors of the fixed income securities and mortgage loans in our investment portfolio may default on principal and interest payments they owe us. In addition,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9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Defaults or deteriorating credit of other financial institutions could adversely affect us as 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and derivatives. Any losses or impairments to the carrying value of these investments or other changes could materially and adversely affect our financial condition and results of operations.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are exposed to certain risks in a variety of interest rate environments. When interest rates are low, we may be forced to reinvest proceeds from investments that have matured or have been prepaid or sold at lower yields, which will reduce our net investment income. Moreover, borrowers may prepay or redeem the fixed income securities and commercial or agricultural mortgage loans in our investment portfolio with greater frequency in order to borrow at lower market rates, thereby exacerbating this risk.</w:t>
      </w:r>
    </w:p>
    <w:p>
      <w:pPr>
        <w:spacing w:after="0" w:line="8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Increases in interest rates could negatively affect our profitability. In periods of rapidly increasing interest rates, we may not be able to replace, in a timely manner, the investments in our general account with higher-yielding investments needed to fund the higher crediting rates necessary to keep interest rate sensitive products competitive. In addition, as interest rates rise,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An increase in interest rates could</w:t>
      </w:r>
    </w:p>
    <w:p>
      <w:pPr>
        <w:sectPr>
          <w:pgSz w:w="11900" w:h="16838" w:orient="portrait"/>
          <w:cols w:equalWidth="0" w:num="1">
            <w:col w:w="9019"/>
          </w:cols>
          <w:pgMar w:left="1440" w:top="1373" w:right="1440" w:bottom="1440"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9019"/>
          </w:cols>
          <w:pgMar w:left="1440" w:top="1373" w:right="1440" w:bottom="1440" w:gutter="0" w:footer="0" w:header="0"/>
          <w:type w:val="continuous"/>
        </w:sectPr>
      </w:pPr>
    </w:p>
    <w:bookmarkStart w:id="91" w:name="page92"/>
    <w:bookmarkEnd w:id="91"/>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also have a material adverse effect on the value of our investments, for example, by decreasing the estimated fair values of the fixed income securities and mortgage loans that comprise a significant portion of our investment portfolio.</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 sustained or material increase in inflation could affect our business in several ways. During inflationary periods, the value of fixed income investments may fall,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Prolonged and elevated inflation could adversely affect the financial markets and the economy generally, and dispelling it may require governments to pursue a restrictive fiscal and monetary policy, which could constrain overall economic activity and inhibit revenue growth. See “Management’s Discussion and Analysis — 2023 Market and Economic Events Impacting the Company’s Business” for a discussion of the current impacts of inflation.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Valuation Risk</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Market valuation risk relates to the variability in the estimated fair value of investments associated with changes in market factors. Our portfolio’s market valuation risks include the following:</w:t>
      </w:r>
    </w:p>
    <w:p>
      <w:pPr>
        <w:spacing w:after="0" w:line="52" w:lineRule="exact"/>
        <w:rPr>
          <w:sz w:val="20"/>
          <w:szCs w:val="20"/>
          <w:color w:val="auto"/>
        </w:rPr>
      </w:pPr>
    </w:p>
    <w:p>
      <w:pPr>
        <w:jc w:val="both"/>
        <w:ind w:left="680" w:right="739" w:hanging="208"/>
        <w:spacing w:after="0" w:line="25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Credit Spread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credit spread risk primarily as a result of market price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investment risk associated with the fluctuation in credit spreads. Widening credit spreads may cause unrealized losses in our investment portfolio.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spacing w:after="0" w:line="88" w:lineRule="exact"/>
        <w:rPr>
          <w:rFonts w:ascii="Times New Roman" w:cs="Times New Roman" w:eastAsia="Times New Roman" w:hAnsi="Times New Roman"/>
          <w:sz w:val="18"/>
          <w:szCs w:val="18"/>
          <w:color w:val="auto"/>
        </w:rPr>
      </w:pPr>
    </w:p>
    <w:p>
      <w:pPr>
        <w:jc w:val="both"/>
        <w:ind w:left="680" w:right="739" w:hanging="208"/>
        <w:spacing w:after="0" w:line="253"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the Valuation of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Fixed maturity and equity securities, as well as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that are reported at estimated fair value, represent the majority of our total cash and investments. See Note 1 to the Notes to Statutory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financial statements and the period-to-period changes in estimated fair value could vary significantly. Decreases in the estimated fair value of securities we hold could have a material adverse effect on our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the Determination of Allowances and Impairments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determination of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and impairments is subjective and varies by investment type, which is based on our periodic evaluation and assessment of known and inherent risks associated with the respective asset class. However, historical trends may not be indicative of future impairments or allowances.</w:t>
      </w:r>
    </w:p>
    <w:p>
      <w:pPr>
        <w:spacing w:after="0" w:line="71" w:lineRule="exact"/>
        <w:rPr>
          <w:rFonts w:ascii="Times New Roman" w:cs="Times New Roman" w:eastAsia="Times New Roman" w:hAnsi="Times New Roman"/>
          <w:sz w:val="18"/>
          <w:szCs w:val="18"/>
          <w:color w:val="auto"/>
        </w:rPr>
      </w:pPr>
    </w:p>
    <w:p>
      <w:pPr>
        <w:jc w:val="both"/>
        <w:ind w:left="680" w:right="739" w:hanging="208"/>
        <w:spacing w:after="0" w:line="257"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Gross Unrealized Losses on Fixed Maturity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losses on fixed maturity securities classified as available-for-sale (“AFS”) securities are recognized as a component of other comprehensive income (loss) and are, therefore, excluded from our profitability measures.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are taken.</w:t>
      </w:r>
    </w:p>
    <w:p>
      <w:pPr>
        <w:spacing w:after="0" w:line="74" w:lineRule="exact"/>
        <w:rPr>
          <w:rFonts w:ascii="Times New Roman" w:cs="Times New Roman" w:eastAsia="Times New Roman" w:hAnsi="Times New Roman"/>
          <w:sz w:val="18"/>
          <w:szCs w:val="18"/>
          <w:color w:val="auto"/>
        </w:rPr>
      </w:pPr>
    </w:p>
    <w:p>
      <w:pPr>
        <w:jc w:val="both"/>
        <w:ind w:left="680" w:right="739" w:hanging="208"/>
        <w:spacing w:after="0" w:line="254"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Defaults, Downgrades or Other Events Affecting Issuers or Guarantors of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occurrence of a major economic downturn, acts of corporate malfeasance,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widening credit spreads, or other events that adversely affect the issuers or guarantors of securities or the underlying collateral of residential mortgage-backed securities, commercial mortgage-backed securities and ABS (collectively, “Structured Securities”) could cause the estimated fair value of our fixed maturity securities portfolio and corresponding net investment income to decline and cause the default rate of the fixed maturity securities in our portfolio to increase. A ratings downgrade affecting issuers or guarantors of particular securities, or similar trends that could worsen the credit quality of issuers, such as the corporate issuers of securities in our portfolio, could also have a similar effect.</w:t>
      </w:r>
    </w:p>
    <w:p>
      <w:pPr>
        <w:sectPr>
          <w:pgSz w:w="11900" w:h="16838" w:orient="portrait"/>
          <w:cols w:equalWidth="0" w:num="1">
            <w:col w:w="9019"/>
          </w:cols>
          <w:pgMar w:left="1440" w:top="1377" w:right="1440" w:bottom="839" w:gutter="0" w:footer="0" w:header="0"/>
        </w:sectPr>
      </w:pPr>
    </w:p>
    <w:p>
      <w:pPr>
        <w:spacing w:after="0" w:line="27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9019"/>
          </w:cols>
          <w:pgMar w:left="1440" w:top="1377" w:right="1440" w:bottom="839" w:gutter="0" w:footer="0" w:header="0"/>
          <w:type w:val="continuous"/>
        </w:sectPr>
      </w:pPr>
    </w:p>
    <w:bookmarkStart w:id="92" w:name="page93"/>
    <w:bookmarkEnd w:id="92"/>
    <w:p>
      <w:pPr>
        <w:jc w:val="both"/>
        <w:ind w:left="680" w:right="63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Risk</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and real estate equity, such as real estate limited liability companies.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credit instruments and rating agency capital adequacy measures. Moreover, our ability to sell assets could be limited if other market participants are seeking to sell fungible or similar assets at the same time.</w:t>
      </w:r>
    </w:p>
    <w:p>
      <w:pPr>
        <w:spacing w:after="0" w:line="10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If we are required to return significant amounts of cash collateral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markets and economic conditions, liquidity broadly deteriorates, which could further restrict our ability to sell securities.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 Risk</w:t>
      </w:r>
    </w:p>
    <w:p>
      <w:pPr>
        <w:spacing w:after="0" w:line="121" w:lineRule="exact"/>
        <w:rPr>
          <w:sz w:val="20"/>
          <w:szCs w:val="20"/>
          <w:color w:val="auto"/>
        </w:rPr>
      </w:pPr>
    </w:p>
    <w:p>
      <w:pPr>
        <w:jc w:val="both"/>
        <w:ind w:left="120" w:right="659" w:firstLine="360"/>
        <w:spacing w:after="0" w:line="254" w:lineRule="auto"/>
        <w:rPr>
          <w:sz w:val="20"/>
          <w:szCs w:val="20"/>
          <w:color w:val="auto"/>
        </w:rPr>
      </w:pPr>
      <w:r>
        <w:rPr>
          <w:rFonts w:ascii="Times New Roman" w:cs="Times New Roman" w:eastAsia="Times New Roman" w:hAnsi="Times New Roman"/>
          <w:sz w:val="18"/>
          <w:szCs w:val="18"/>
          <w:color w:val="auto"/>
        </w:rPr>
        <w:t>A portion of our investment portfolio consists of mortgage loans on commercial and agricultural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and agricultural real estate assets through geographic, property type and product type diversification and asset allocation, general economic conditions in the commercial and agricultural real estate sectors will continue to influence the performance of these investments. These factors, which are beyond our control, could have a material adverse effect on our financial condition, results of operations, liquidity or cash flows.</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Mortgage loans in our portfolio also face default risk. An increase in the default rate of our mortgage loan investments or fluctuations in their performance could have a material adverse effect on our financial condition and results of operations.</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Further, any geographic or property type concentration of the mortgage loans in our portfolio may have adverse effects on our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Notes 3 and 6 of the Notes to Statutory Financial Statements.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Risk</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use a variety of strategies to manage risk related to our ongoing business operations, including the use of derivatives. Our derivative counterparties’ defaults could have a material adverse effect on our financial condition and results of operations.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7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Substantially all of our derivative transactions require us to pledge or receive collateral or make payments related to any decline in the net estimated fair value of such derivative transactions. The amount of collateral we may be required to pledge and the payments we may be required to make under our derivative transactions may increase under certain circumstances as a result of the requirement to pledge initial margin or variation margin for OTC-bilateral transactions. Such requirements could adversely affect our liquidity, expose us to central clearinghouse and counterparty credit risk, or increase our costs of hedging. See “Description of Business — Regulation — Regulation of Over-the-Counter Derivatives.”</w:t>
      </w:r>
    </w:p>
    <w:p>
      <w:pPr>
        <w:sectPr>
          <w:pgSz w:w="11900" w:h="16838" w:orient="portrait"/>
          <w:cols w:equalWidth="0" w:num="1">
            <w:col w:w="9019"/>
          </w:cols>
          <w:pgMar w:left="1440" w:top="1377" w:right="1440" w:bottom="1082" w:gutter="0" w:footer="0" w:header="0"/>
        </w:sectPr>
      </w:pP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9019"/>
          </w:cols>
          <w:pgMar w:left="1440" w:top="1377" w:right="1440" w:bottom="1082" w:gutter="0" w:footer="0" w:header="0"/>
          <w:type w:val="continuous"/>
        </w:sectPr>
      </w:pPr>
    </w:p>
    <w:bookmarkStart w:id="93" w:name="page94"/>
    <w:bookmarkEnd w:id="93"/>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Other Risks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are also exposed to other risks outside of our control, including foreign currency exchange rate risk relating to the variability in currency exchange rates for non-U.S. dollar denominated investments, as well as other financial and operational risks related to using external asset management firms.</w:t>
      </w:r>
    </w:p>
    <w:p>
      <w:pPr>
        <w:spacing w:after="0" w:line="64"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military actions, the continued threat of terrorism, climate change as well as other catastrophic events may adversely affect the value of our investment portfolio and the level of claim losses we incur</w:t>
      </w:r>
    </w:p>
    <w:p>
      <w:pPr>
        <w:spacing w:after="0" w:line="6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Ongoing military actions (including the ongoing armed conflicts in Europe and the Middle East), the continued threat of terrorism, both within the U.S. and abroad, and heightened security measures in response to these types of threats, as well as climate change and other natural or man-made catastrophic events, may cause significant decline and volatility in global financial markets and result in loss of life, property damage, additional disruptions to commerce, the health system, and the food supply and reduced economic activity. The effects of climate change could cause changes in weather patterns, resulting in more severe and more frequent natural disasters such as forest fires, hurricanes, tornados, floods and storm surges.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117"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regulated, and changes in regulation and in supervisory and enforcement policies or interpretations thereof may materially impact our capitalization or cash flows, reduce our profitability and limit our growth</w:t>
      </w:r>
    </w:p>
    <w:p>
      <w:pPr>
        <w:spacing w:after="0" w:line="8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a wide variety of insurance and other laws and regulations. We are domiciled in New York and regulated by the NYDFS. Changes in these laws and regulations could adversely affect our business, financial condition and results of operations. See “Description of Business — Regulation.”</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 addition, we cannot predict what proposals may be made, what legislation or regulations may be introduced or enacted, or what impact any future legislation or regulations could have on our business, financial condition and results of operations including the cost of any such compliance. Furthermore, regulatory uncertainty could create confusion among our distribution partners and customers, which could negatively impact product sales. See “Description of Business — Regulation — Standard of Conduct Regulation” for a more detailed discussion of particular regulatory efforts by various regulators.</w:t>
      </w:r>
    </w:p>
    <w:p>
      <w:pPr>
        <w:spacing w:after="0" w:line="7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Changes to the laws and regulations that govern the standards of conduct that apply to the sale of our products, as well as the firms that distribute our products, could adversely affect our operations and profitability. Such changes could increase our regulatory and compliance burden, resulting in increased costs, or limit the type, amount or structure of compensation arrangements into which we may enter with certain of our associates, which could negatively impact our ability to compete with other companies, including with respect to recruiting and retaining key personnel. Additionally, our ability to react to rapidly changing economic conditions and the dynamic, competitive market for our products will depend on the continued efficacy of provisions we have incorporated into our product design allowing frequent and contemporaneous revisions of key pricing elements, as well as our ability to work collaboratively with regulators. Changes in regulatory approval processes, rules and other dynamics in the regulatory process could adversely impact our ability to react to such changing conditions.</w:t>
      </w:r>
    </w:p>
    <w:p>
      <w:pPr>
        <w:spacing w:after="0" w:line="100"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We cannot predict the impact that “best interest” or fiduciary standards adopted or proposed by various regulators may have on our business, financial condition or results of operations. Compliance with new or changed rules or legislation in this area may increase our regulatory burden and that of our distribution partners, require changes to our compensation practices and product offerings, and increase litigation risk, which could adversely affect our financial condition and results of operations.</w:t>
      </w:r>
    </w:p>
    <w:p>
      <w:pPr>
        <w:spacing w:after="0" w:line="8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 addition, we are subject to federal, state and other securities and state insurance laws and regulations which, among other things, require that we distribute certain of our products through a registered broker-dealer. The failure to comply with these laws or changes to these laws could have a material adverse effect on our operations and our profitability. Furthermore, 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ectPr>
          <w:pgSz w:w="11900" w:h="16838" w:orient="portrait"/>
          <w:cols w:equalWidth="0" w:num="1">
            <w:col w:w="9019"/>
          </w:cols>
          <w:pgMar w:left="1440" w:top="1373" w:right="1440" w:bottom="1440" w:gutter="0" w:footer="0" w:header="0"/>
        </w:sectPr>
      </w:pPr>
    </w:p>
    <w:p>
      <w:pPr>
        <w:spacing w:after="0" w:line="2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9019"/>
          </w:cols>
          <w:pgMar w:left="1440" w:top="1373" w:right="1440" w:bottom="1440" w:gutter="0" w:footer="0" w:header="0"/>
          <w:type w:val="continuous"/>
        </w:sectPr>
      </w:pPr>
    </w:p>
    <w:bookmarkStart w:id="94" w:name="page95"/>
    <w:bookmarkEnd w:id="94"/>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If our associates fail to adhere to regulatory requirements or our policies and procedures, we may be subject to penalties, restrictions or other sanctions by applicable regulators, and we may suffer reputational harm. See “Description of Business — Regulation.”</w:t>
      </w:r>
    </w:p>
    <w:p>
      <w:pPr>
        <w:spacing w:after="0" w:line="77" w:lineRule="exact"/>
        <w:rPr>
          <w:sz w:val="20"/>
          <w:szCs w:val="20"/>
          <w:color w:val="auto"/>
        </w:rPr>
      </w:pPr>
    </w:p>
    <w:p>
      <w:pPr>
        <w:jc w:val="both"/>
        <w:ind w:left="120" w:right="6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decrease in our RBC ratio (as a result of a reduction in statutory capital and surplus or an increase in the required RBC capital charges), or a change in the rating agency proprietary capital models, could result in increased scrutiny by insurance regulators and rating agencies and could have a material adverse effect on our financial condition and results of operations</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NAIC has established model regulations that provide minimum capitalization requirements based on RBC formulas for insurance companies. We are subject to RBC standards or other minimum statutory capital and surplus requirements imposed under New York insurance laws. See “Description of Business — Regulation — Insurance Regulation — Statutory Accounting, Reserves and Risk-Based Capital.” Our failure to meet these requirements could subject us to further examination or corrective action imposed by the NYDFS, including limitations on our ability to write additional business, increased regulatory supervision, or seizure or liquidation. Any corrective action imposed could cause a material adverse effect on our business, financial condition, results of operations and cash flows. A decline in our RBC ratio, whether or not it results in a failure to meet applicable RBC requirements, could limit our ability to pay dividends to our parent company, could result in a loss of customers or new business, or could influence ratings agencies to downgrade our financial strength ratings, each of which could cause a material adverse effect on our business, financial condition and results of operations.</w:t>
      </w:r>
    </w:p>
    <w:p>
      <w:pPr>
        <w:spacing w:after="0" w:line="97"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In any particular year, TAC amounts, and thus our RBC ratio, may fluctuate depending on a variety of factors, including the amount of statutory income or losses generated by us (which itself is sensitive to equity market and credit market conditions), the amount of additional capital we must hold to support business growth, equity and credit market conditions, the value and credit ratings of certain fixed income securities in our investment portfolio, the value of certain derivative instruments that do not receive hedge accounting, as well as changes to the RBC formulas and the interpretation of the NAIC’s instructions with respect to RBC calculation methodologies. In addition, rating agencies may implement changes to their own proprietary capital models, which differ from the RBC capital model, that have the effect of increasing or decreasing the amount of capital we should hold relative to the rating agencies’ expectations. Under stressed or stagnant capital markets conditions and with the aging of existing insurance liabilities, without offsets from new business, the amount of additional statutory reserves that we are required to hold could materially increase. This increase in reserves would decrease the capital available for use in calculating our RBC ratio. To the extent that our RBC ratio is deemed to be insufficient, we may seek to take actions either to increase our capitalization or to reduce the capitalization requirements. If we were unable to accomplish such actions, the rating agencies could view this as a reason for a ratings downgrade.</w:t>
      </w:r>
    </w:p>
    <w:p>
      <w:pPr>
        <w:spacing w:after="0" w:line="97"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5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Changes in tax laws or interpretations of such laws could have a material adverse effect on our profitability and financial condition and could result in our incurring materially higher statutory taxes. Higher tax rates or differences in interpretation of tax laws may adversely affect our business, financial condition, results of operations and liquidity. Conversely, declines in tax rates could make our products less attractive to consumers. See “Description of Business — Regulation — Federal Tax Reform” for a discussion of the potential impacts of the Inflation Reduction Act and the related corporate alternative minimum tax.</w:t>
      </w:r>
    </w:p>
    <w:p>
      <w:pPr>
        <w:spacing w:after="0" w:line="75"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disputes and regulatory investigations are common in our businesses and may result in significant financial losses or harm to our reputation</w:t>
      </w:r>
    </w:p>
    <w:p>
      <w:pPr>
        <w:spacing w:after="0" w:line="5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face a significant risk of legal disputes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our insurance operations, plaintiffs’ lawyers may bring or are bringing class actions and individual suits alleging, among other things, issues relating to sales or underwriting practices, claims payments and procedures, escheatment, product design, disclosure, administration, investments, denial or delay of benefits, lapse or termination of policies, cost of insurance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other legal disputes, as well as regulatory matters affecting us and risks to our business presented by these proceedings, if any, are discussed in Note 13 of the Notes to Statutory Financial Statements.</w:t>
      </w:r>
    </w:p>
    <w:p>
      <w:pPr>
        <w:sectPr>
          <w:pgSz w:w="11900" w:h="16838" w:orient="portrait"/>
          <w:cols w:equalWidth="0" w:num="1">
            <w:col w:w="9019"/>
          </w:cols>
          <w:pgMar w:left="1440" w:top="1377" w:right="1440" w:bottom="1440" w:gutter="0" w:footer="0" w:header="0"/>
        </w:sectPr>
      </w:pPr>
    </w:p>
    <w:p>
      <w:pPr>
        <w:spacing w:after="0" w:line="26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9019"/>
          </w:cols>
          <w:pgMar w:left="1440" w:top="1377" w:right="1440" w:bottom="1440" w:gutter="0" w:footer="0" w:header="0"/>
          <w:type w:val="continuous"/>
        </w:sectPr>
      </w:pPr>
    </w:p>
    <w:bookmarkStart w:id="95" w:name="page96"/>
    <w:bookmarkEnd w:id="95"/>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legal disputes may also cause volatility in the price of BHF securities and the securities of companies in our industry.</w:t>
      </w:r>
    </w:p>
    <w:p>
      <w:pPr>
        <w:spacing w:after="0" w:line="9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Current claims, litigation, unasserted claims probable of assertion, investigations and other proceedings against us, as well as any other disputes or other matters involving third parties,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31"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gaps in our policies, procedures, or processes may leave us exposed to unidentified or unanticipated risk, and our models used by our business may not operate properly and could contain errors, each of which could adversely affect our business, financial condition, or results of operations</w:t>
      </w:r>
    </w:p>
    <w:p>
      <w:pPr>
        <w:spacing w:after="0" w:line="80"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We have developed policies, procedures and processes to enable and support the ongoing review of the actual and potential risks facing the Company. Nonetheless, our policies, procedures and processes may not be fully effective in identifying and assessing such risks, leaving us exposed to unidentified or unanticipated risks. In addition, we rely on third-party providers to administer and service many of our products, and our policies, procedures and processes may not enable us to identify and assess every risk with respect to those products, especially to the extent we rely on those providers for relevant information, including detailed information regarding the holders of our products.</w:t>
      </w:r>
    </w:p>
    <w:p>
      <w:pPr>
        <w:spacing w:after="0" w:line="8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We use models to manage our business and evaluate the associated risk exposures. The models may not operate properly and could contain errors related to model inputs, data, assumptions, calculations, or output that may adversely impact our results of operations. In addition, these models may not fully predict future exposures, which may be significantly greater than our historical measures indicate. For example, we use actuarial models to assist us in establishing reserves for liabilities arising from our insurance policies and annuity contracts. We periodically review the effectiveness of these models, their underlying logic, and, from time to time, implement refinements to our models based on these reviews. We implement refinements after rigorous testing and validation; even after such validation and testing, our models remain subject to inherent limitations. Accordingly, no assurances can be given as to whether or when we will implement refinements to our actuarial models, and, if implemented, whether such refinements will be sufficient. Furthermore, if implemented, any such refinements could cause us to increase the reserves we hold for our insurance policy and annuity contract liabilities. If models are misused or fail to serve their intended purposes, they could produce incorrect or inappropriate results. Business decisions based on incorrect or misused model outputs or reports could have a material adverse impact on our results of operations.</w:t>
      </w:r>
    </w:p>
    <w:p>
      <w:pPr>
        <w:spacing w:after="0" w:line="8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Other risk management models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associates will follow our policies, procedures and processes, nor can there be any assurance that our policies, procedures and processes, or the policies, procedures and processes of third parties that administer or service our products, will enable us to accurately identify all risks and limit our exposures based on our assessments. In addition, if our business changes or the markets in which we operate evolve and new risks emerge, we may have to implement more extensive and perhaps different policies, procedures or processes and our risk management framework may not evolve at the same pace as those changes.</w:t>
      </w:r>
    </w:p>
    <w:p>
      <w:pPr>
        <w:spacing w:after="0" w:line="82" w:lineRule="exact"/>
        <w:rPr>
          <w:sz w:val="20"/>
          <w:szCs w:val="20"/>
          <w:color w:val="auto"/>
        </w:rPr>
      </w:pPr>
    </w:p>
    <w:p>
      <w:pPr>
        <w:jc w:val="both"/>
        <w:ind w:left="120" w:right="6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heavily rely on communications, information systems (both internal and provided by third parties), and the internet to conduct our business. We rely on these systems throughout our business for a variety of functions, including processing new business, claims, and post-issue transactions, providing information to customers and distributors, performing actuarial</w:t>
      </w:r>
    </w:p>
    <w:p>
      <w:pPr>
        <w:sectPr>
          <w:pgSz w:w="11900" w:h="16838" w:orient="portrait"/>
          <w:cols w:equalWidth="0" w:num="1">
            <w:col w:w="9019"/>
          </w:cols>
          <w:pgMar w:left="1440" w:top="1377" w:right="1440" w:bottom="866" w:gutter="0" w:footer="0" w:header="0"/>
        </w:sectPr>
      </w:pP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9019"/>
          </w:cols>
          <w:pgMar w:left="1440" w:top="1377" w:right="1440" w:bottom="866" w:gutter="0" w:footer="0" w:header="0"/>
          <w:type w:val="continuous"/>
        </w:sectPr>
      </w:pPr>
    </w:p>
    <w:bookmarkStart w:id="96" w:name="page97"/>
    <w:bookmarkEnd w:id="96"/>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analyses, managing our investments and maintaining financial records. A failure in the security of such systems or a failure to maintain the security of such systems, or the confidential information stored thereon, may result in regulatory enforcement action, harm our reputation or otherwise adversely affect our ability to conduct business, our financial condition or results of operations. In addition, our continuous technological evaluations and enhancements, including changes designed to update our protective measures, may increase our risk of a breach or gap in our security, and there can be no assurance that any such efforts will be effective in preventing or limiting the impact of future cyberattacks.</w:t>
      </w:r>
    </w:p>
    <w:p>
      <w:pPr>
        <w:spacing w:after="0" w:line="9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and our vendors, like other commercial entities, have been, and will likely continue to be, subject to a variety of forms of cyberattacks with the objective of gaining unauthorized access to our systems and data, or disrupting our operations. Potential attacks may include, but are not limited to, cyberattacks, phishing attacks, account takeover attempts, the introduction of computer viruses or malicious code (commonly referred to as “malware”),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The risk of cyberattacks has also increased and may continue to increase in connection with recent geopolitical conflicts, including in Europe and the Middle East, and other geopolitical events and dynamics that may adversely disrupt or degrade our operations and may compromise our data. Malicious actors may attempt to fraudulently induce associates, customers, or other users of our systems to disclose credentials or other similar sensitive information in order to gain access to our systems or data, or that of our customers, through social engineering, phishing, mobile phone malware, and other methods.</w:t>
      </w:r>
    </w:p>
    <w:p>
      <w:pPr>
        <w:spacing w:after="0" w:line="79"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Cybersecurity threats are rapidly evolving, and those threats and the means for obtaining access to our systems are becoming increasingly sophisticated. Cybersecurity threats can originate from a wide variety of sources including terrorists, nation states, financially motivated actors, internal actors, or third parties, such as external service providers, and the techniques used change frequently or are often not recognized until after they have been launched. The rapid evolution and increased adoption of artificial intelligence technologies may intensify our cybersecurity risks, including the deployment of artificial intelligence technologies by threat actors. There is no assurance that administrative, physical and technical controls and other preventive actions taken to reduce the risk of cyberattacks and protect our information technology will prevent physical and electronic break-ins, cyberattacks or other security breaches to such computer systems. In some cases, such physical and electronic break-ins, cyberattacks or other security breaches may not be immediately detected. If we or our vendors fail to prevent, detect, address and mitigate such incidents, this may impede or interrupt our business operations and could adversely affect our business, financial condition and results of operations.</w:t>
      </w:r>
    </w:p>
    <w:p>
      <w:pPr>
        <w:spacing w:after="0" w:line="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 disaster such as a natural catastrophe, epidemic, pandemic, industrial accident, blackout, terrorist attack, cyberattack or war, unanticipated problems with our or our vendors’ disaster recovery systems (and the disaster recovery systems of such vendors’ suppliers, vendors or subcontractors), could cause our computer systems to be inaccessible to our associates,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associates’ ability to perform their job responsibilities. Unanticipated problems with, or failures of, our disaster recovery systems and business continuity plans could have a material impact on our ability to conduct business and on our financial condition and results of operations.</w:t>
      </w:r>
    </w:p>
    <w:p>
      <w:pPr>
        <w:spacing w:after="0" w:line="80"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customer, associate, or other third party information could adversely affect our reputation and have a material adverse effect on our business, financial condition and results of operations.”</w:t>
      </w:r>
    </w:p>
    <w:p>
      <w:pPr>
        <w:spacing w:after="0" w:line="80" w:lineRule="exact"/>
        <w:rPr>
          <w:sz w:val="20"/>
          <w:szCs w:val="20"/>
          <w:color w:val="auto"/>
        </w:rPr>
      </w:pPr>
    </w:p>
    <w:p>
      <w:pPr>
        <w:jc w:val="both"/>
        <w:ind w:left="1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associates and those of our third-party service providers may take excessive risks which could negatively affect our financial condition and business</w:t>
      </w:r>
    </w:p>
    <w:p>
      <w:pPr>
        <w:spacing w:after="0" w:line="5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As an insurance enterprise, we are in the business of accepting certain risks. The individuals who conduct our business include executive officers and other members of management, sales intermediaries, investment professionals, product managers, and other associates, as well as associates of our various third-party service providers. Each of these individuals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Such individuals may take excessive risks regardless of the structure of our risk management framework or our compensation programs and practices, which may not effectively deter excessive risk-taking or misconduct. Similarly, our controls and procedures designed to monitor associates’ business decisions and</w:t>
      </w:r>
    </w:p>
    <w:p>
      <w:pPr>
        <w:sectPr>
          <w:pgSz w:w="11900" w:h="16838" w:orient="portrait"/>
          <w:cols w:equalWidth="0" w:num="1">
            <w:col w:w="9019"/>
          </w:cols>
          <w:pgMar w:left="1440" w:top="1377" w:right="1440" w:bottom="785" w:gutter="0" w:footer="0" w:header="0"/>
        </w:sect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9019"/>
          </w:cols>
          <w:pgMar w:left="1440" w:top="1377" w:right="1440" w:bottom="785" w:gutter="0" w:footer="0" w:header="0"/>
          <w:type w:val="continuous"/>
        </w:sectPr>
      </w:pPr>
    </w:p>
    <w:bookmarkStart w:id="97" w:name="page98"/>
    <w:bookmarkEnd w:id="97"/>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prevent them from taking excessive risks, and to prevent associate misconduct, may not be effective. If our associates and those of our third-party service providers take excessive risks, the impact of those risks could harm our reputation and have a material adverse effect on our financial condition and results of operations.</w:t>
      </w:r>
    </w:p>
    <w:p>
      <w:pPr>
        <w:spacing w:after="0" w:line="77" w:lineRule="exact"/>
        <w:rPr>
          <w:sz w:val="20"/>
          <w:szCs w:val="20"/>
          <w:color w:val="auto"/>
        </w:rPr>
      </w:pPr>
    </w:p>
    <w:p>
      <w:pPr>
        <w:jc w:val="both"/>
        <w:ind w:left="12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confidentiality of customer, associate, or other third party information could adversely affect our reputation and have a material adverse effect on our business, financial condition and results of operations</w:t>
      </w:r>
    </w:p>
    <w:p>
      <w:pPr>
        <w:spacing w:after="0" w:line="67" w:lineRule="exact"/>
        <w:rPr>
          <w:sz w:val="20"/>
          <w:szCs w:val="20"/>
          <w:color w:val="auto"/>
        </w:rPr>
      </w:pPr>
    </w:p>
    <w:p>
      <w:pPr>
        <w:jc w:val="both"/>
        <w:ind w:left="120" w:right="639" w:firstLine="360"/>
        <w:spacing w:after="0" w:line="251" w:lineRule="auto"/>
        <w:rPr>
          <w:sz w:val="20"/>
          <w:szCs w:val="20"/>
          <w:color w:val="auto"/>
        </w:rPr>
      </w:pPr>
      <w:r>
        <w:rPr>
          <w:rFonts w:ascii="Times New Roman" w:cs="Times New Roman" w:eastAsia="Times New Roman" w:hAnsi="Times New Roman"/>
          <w:sz w:val="18"/>
          <w:szCs w:val="18"/>
          <w:color w:val="auto"/>
        </w:rPr>
        <w:t>Federal and state legislatures and various government agencies have established laws and regulations protecting the privacy and security of personal information. See “Description of Business — Regulation — Privacy and Cybersecurity Regulation.” Our third-party service-providers and our associates have access to, and routinely process, personal information through a variety of media, including information technology systems. It is possible that an associate or third-party service provider (or their suppliers, vendors or subcontractors) could, intentionally or unintentionally, disclose or misappropriate confidential personal information, and there can be no assurance that our information security policies and systems in place can prevent unauthorized use or disclosure of confidential information, including nonpublic personal information. Additionally, our data has been and could in the future be the subject of cyberattacks, and the misappropriation or intentional or unintentional inappropriate disclosure or misuse of associate or client information could occur, including as a result of us or our third-party service providers (or their suppliers, vendors or subcontractors) failing to maintain adequate internal controls or if our associates or any of our third-party service providers fail to comply with applicable policies and procedures. Any failure or perceived failure by us to comply with our privacy policies, our privacy-related obligations to customers, associates,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associates, or other third parties to lose trust in us, all of which could be costly and have a material adverse effect on our business, financial condition and results of operations. See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 including significant technology efforts that require long implementation timelines, increased costs and dedicated resources.</w:t>
      </w:r>
    </w:p>
    <w:p>
      <w:pPr>
        <w:spacing w:after="0" w:line="110"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Furthermore, there has been increased scrutiny as well as enacted and proposed additional regulation, including from state regulators, regarding the use of customer data. We may analyze customer data or input such data into third-party analytics in order to better manage our business. Any inquiry in connection with our analytics business practices, as well as any misuse or alleged misuse of those analytics insights, could cause reputational harm or result in regulatory enforcement actions or litigation, and any related limitations imposed on us could have a material impact on our business, financial condition and results of operations.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Separation from, and Continuing Relationship with, MetLife</w:t>
      </w:r>
    </w:p>
    <w:p>
      <w:pPr>
        <w:spacing w:after="0" w:line="117" w:lineRule="exact"/>
        <w:rPr>
          <w:sz w:val="20"/>
          <w:szCs w:val="20"/>
          <w:color w:val="auto"/>
        </w:rPr>
      </w:pPr>
    </w:p>
    <w:p>
      <w:pPr>
        <w:jc w:val="both"/>
        <w:ind w:left="12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5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MetLife received a private letter ruling from the Internal Revenue Service (“IRS”) regarding certain significant issues under the Tax Code, as well as an opinion from its tax advisor that, subject to certain 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Brighthouse Financial could have an indemnification obligation to MetLife.</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Brighthouse Financial against such taxes if the failure to qualify for tax-free treatment results from, among other things, any action or inaction that is within MetLife’s control. MetLife may dispute an indemnification obligation to Brighthouse Financial under the Tax Separation Agreement, and there can be no assurance that MetLife will be able to satisfy its indemnification obligation to Brighthouse Financial or that such indemnification will be sufficient for us in the event of nonperformance by MetLife. The failure of MetLife to fully indemnify Brighthouse Financial could have a material adverse effect on our financial condition and results of operations.</w:t>
      </w:r>
    </w:p>
    <w:p>
      <w:pPr>
        <w:sectPr>
          <w:pgSz w:w="11900" w:h="16838" w:orient="portrait"/>
          <w:cols w:equalWidth="0" w:num="1">
            <w:col w:w="9019"/>
          </w:cols>
          <w:pgMar w:left="1440" w:top="1377" w:right="1440" w:bottom="1440" w:gutter="0" w:footer="0" w:header="0"/>
        </w:sectPr>
      </w:pPr>
    </w:p>
    <w:p>
      <w:pPr>
        <w:spacing w:after="0" w:line="26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9019"/>
          </w:cols>
          <w:pgMar w:left="1440" w:top="1377" w:right="1440" w:bottom="1440" w:gutter="0" w:footer="0" w:header="0"/>
          <w:type w:val="continuous"/>
        </w:sectPr>
      </w:pPr>
    </w:p>
    <w:bookmarkStart w:id="98" w:name="page99"/>
    <w:bookmarkEnd w:id="98"/>
    <w:p>
      <w:pPr>
        <w:jc w:val="both"/>
        <w:ind w:left="120" w:right="1140"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 addition, MetLife will generally bear tax-related losses due to the failure of certain steps that were part of the Separation to qualify for their intended tax treatment. However, the IRS could seek to hold Brighthouse Financial responsible for such liabilities, and under the Tax Separation Agreement, Brighthouse Financial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Brighthouse Financial could be required to pay material additional taxes or be obligated to indemnify MetLife, which could have a material adverse effect on our financial condition and results of operations.</w:t>
      </w:r>
    </w:p>
    <w:p>
      <w:pPr>
        <w:spacing w:after="0" w:line="84" w:lineRule="exact"/>
        <w:rPr>
          <w:sz w:val="20"/>
          <w:szCs w:val="20"/>
          <w:color w:val="auto"/>
        </w:rPr>
      </w:pPr>
    </w:p>
    <w:p>
      <w:pPr>
        <w:jc w:val="both"/>
        <w:ind w:left="120" w:right="1140" w:firstLine="360"/>
        <w:spacing w:after="0" w:line="253" w:lineRule="auto"/>
        <w:rPr>
          <w:sz w:val="20"/>
          <w:szCs w:val="20"/>
          <w:color w:val="auto"/>
        </w:rPr>
      </w:pPr>
      <w:r>
        <w:rPr>
          <w:rFonts w:ascii="Times New Roman" w:cs="Times New Roman" w:eastAsia="Times New Roman" w:hAnsi="Times New Roman"/>
          <w:sz w:val="18"/>
          <w:szCs w:val="18"/>
          <w:color w:val="auto"/>
        </w:rPr>
        <w:t>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13 of the Notes to Statutory Financial Statements.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material.</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120" w:right="1160" w:firstLine="360"/>
        <w:spacing w:after="0" w:line="282" w:lineRule="auto"/>
        <w:rPr>
          <w:sz w:val="20"/>
          <w:szCs w:val="20"/>
          <w:color w:val="auto"/>
        </w:rPr>
      </w:pPr>
      <w:r>
        <w:rPr>
          <w:rFonts w:ascii="Times New Roman" w:cs="Times New Roman" w:eastAsia="Times New Roman" w:hAnsi="Times New Roman"/>
          <w:sz w:val="18"/>
          <w:szCs w:val="18"/>
          <w:color w:val="auto"/>
        </w:rPr>
        <w:t>No established public trading market exists for BLNY’s common equity; all of BLNY’s common stock is held by Brighthouse Life Insurance Company.</w:t>
      </w:r>
    </w:p>
    <w:p>
      <w:pPr>
        <w:spacing w:after="0" w:line="54" w:lineRule="exact"/>
        <w:rPr>
          <w:sz w:val="20"/>
          <w:szCs w:val="20"/>
          <w:color w:val="auto"/>
        </w:rPr>
      </w:pPr>
    </w:p>
    <w:p>
      <w:pPr>
        <w:jc w:val="both"/>
        <w:ind w:left="120" w:right="1140" w:firstLine="360"/>
        <w:spacing w:after="0" w:line="282" w:lineRule="auto"/>
        <w:rPr>
          <w:sz w:val="20"/>
          <w:szCs w:val="20"/>
          <w:color w:val="auto"/>
        </w:rPr>
      </w:pPr>
      <w:r>
        <w:rPr>
          <w:rFonts w:ascii="Times New Roman" w:cs="Times New Roman" w:eastAsia="Times New Roman" w:hAnsi="Times New Roman"/>
          <w:sz w:val="18"/>
          <w:szCs w:val="18"/>
          <w:color w:val="auto"/>
        </w:rPr>
        <w:t>See Note 12 of the Notes to Statutory Financial Statements for a discussion of BLNY’s capital and surplus, as well as restrictions on BLNY’s ability to pay dividends.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Executive Officers, and Control Persons</w:t>
      </w:r>
    </w:p>
    <w:p>
      <w:pPr>
        <w:spacing w:after="0" w:line="121" w:lineRule="exact"/>
        <w:rPr>
          <w:sz w:val="20"/>
          <w:szCs w:val="20"/>
          <w:color w:val="auto"/>
        </w:rPr>
      </w:pPr>
    </w:p>
    <w:p>
      <w:pPr>
        <w:jc w:val="both"/>
        <w:ind w:left="120" w:right="11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the BLNY Board of Directors (the “Board”) and executive officers as of December 31, 2023.</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 with Brighthouse Life Insurance Company of NY</w:t>
            </w:r>
          </w:p>
        </w:tc>
      </w:tr>
      <w:tr>
        <w:trPr>
          <w:trHeight w:val="23"/>
        </w:trPr>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r>
      <w:tr>
        <w:trPr>
          <w:trHeight w:val="20"/>
        </w:trPr>
        <w:tc>
          <w:tcPr>
            <w:tcW w:w="156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r>
      <w:tr>
        <w:trPr>
          <w:trHeight w:val="225"/>
        </w:trPr>
        <w:tc>
          <w:tcPr>
            <w:tcW w:w="1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w w:val="99"/>
              </w:rPr>
              <w:t>David A. Rosenbaum</w:t>
            </w:r>
          </w:p>
        </w:tc>
        <w:tc>
          <w:tcPr>
            <w:tcW w:w="7840" w:type="dxa"/>
            <w:vAlign w:val="bottom"/>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Chairman of the Board, President and Chief Executive Officer (Principal Executive Officer)</w:t>
            </w:r>
          </w:p>
        </w:tc>
      </w:tr>
      <w:tr>
        <w:trPr>
          <w:trHeight w:val="268"/>
        </w:trPr>
        <w:tc>
          <w:tcPr>
            <w:tcW w:w="1560" w:type="dxa"/>
            <w:vAlign w:val="bottom"/>
            <w:tcBorders>
              <w:bottom w:val="single" w:sz="8" w:color="F0FFFF"/>
            </w:tcBorders>
            <w:shd w:val="clear" w:color="auto" w:fill="F0FFFF"/>
          </w:tcPr>
          <w:p>
            <w:pPr>
              <w:spacing w:after="0"/>
              <w:rPr>
                <w:sz w:val="23"/>
                <w:szCs w:val="23"/>
                <w:color w:val="auto"/>
              </w:rPr>
            </w:pP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(March 24, 2022 - present)</w:t>
            </w:r>
          </w:p>
        </w:tc>
      </w:tr>
      <w:tr>
        <w:trPr>
          <w:trHeight w:val="25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Kristine H. Toscano</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Vice President and Chief Financial Officer (Principal Financial Officer and Principal Accounting Officer)</w:t>
            </w:r>
          </w:p>
        </w:tc>
      </w:tr>
      <w:tr>
        <w:trPr>
          <w:trHeight w:val="234"/>
        </w:trPr>
        <w:tc>
          <w:tcPr>
            <w:tcW w:w="1560" w:type="dxa"/>
            <w:vAlign w:val="bottom"/>
          </w:tcPr>
          <w:p>
            <w:pPr>
              <w:spacing w:after="0"/>
              <w:rPr>
                <w:sz w:val="20"/>
                <w:szCs w:val="20"/>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2021 - present)</w:t>
            </w:r>
          </w:p>
        </w:tc>
      </w:tr>
      <w:tr>
        <w:trPr>
          <w:trHeight w:val="54"/>
        </w:trPr>
        <w:tc>
          <w:tcPr>
            <w:tcW w:w="1560" w:type="dxa"/>
            <w:vAlign w:val="bottom"/>
          </w:tcPr>
          <w:p>
            <w:pPr>
              <w:spacing w:after="0"/>
              <w:rPr>
                <w:sz w:val="4"/>
                <w:szCs w:val="4"/>
                <w:color w:val="auto"/>
              </w:rPr>
            </w:pPr>
          </w:p>
        </w:tc>
        <w:tc>
          <w:tcPr>
            <w:tcW w:w="7840" w:type="dxa"/>
            <w:vAlign w:val="bottom"/>
            <w:gridSpan w:val="2"/>
          </w:tcPr>
          <w:p>
            <w:pPr>
              <w:spacing w:after="0"/>
              <w:rPr>
                <w:sz w:val="4"/>
                <w:szCs w:val="4"/>
                <w:color w:val="auto"/>
              </w:rPr>
            </w:pPr>
          </w:p>
        </w:tc>
      </w:tr>
      <w:tr>
        <w:trPr>
          <w:trHeight w:val="304"/>
        </w:trPr>
        <w:tc>
          <w:tcPr>
            <w:tcW w:w="15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Michael J. Inserra</w:t>
            </w: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(October 12, 2021 - present)</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Edward C. Kosnik</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(June 6, 2023 - present)</w:t>
            </w:r>
          </w:p>
        </w:tc>
      </w:tr>
      <w:tr>
        <w:trPr>
          <w:trHeight w:val="54"/>
        </w:trPr>
        <w:tc>
          <w:tcPr>
            <w:tcW w:w="1560" w:type="dxa"/>
            <w:vAlign w:val="bottom"/>
          </w:tcPr>
          <w:p>
            <w:pPr>
              <w:spacing w:after="0"/>
              <w:rPr>
                <w:sz w:val="4"/>
                <w:szCs w:val="4"/>
                <w:color w:val="auto"/>
              </w:rPr>
            </w:pPr>
          </w:p>
        </w:tc>
        <w:tc>
          <w:tcPr>
            <w:tcW w:w="7840" w:type="dxa"/>
            <w:vAlign w:val="bottom"/>
            <w:gridSpan w:val="2"/>
          </w:tcPr>
          <w:p>
            <w:pPr>
              <w:spacing w:after="0"/>
              <w:rPr>
                <w:sz w:val="4"/>
                <w:szCs w:val="4"/>
                <w:color w:val="auto"/>
              </w:rPr>
            </w:pPr>
          </w:p>
        </w:tc>
      </w:tr>
      <w:tr>
        <w:trPr>
          <w:trHeight w:val="304"/>
        </w:trPr>
        <w:tc>
          <w:tcPr>
            <w:tcW w:w="15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Mayer Naiman</w:t>
            </w: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(October 26, 2017 - present)</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Douglas A. Rayvid</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(September 12, 2019 - present)</w:t>
            </w:r>
          </w:p>
        </w:tc>
      </w:tr>
      <w:tr>
        <w:trPr>
          <w:trHeight w:val="54"/>
        </w:trPr>
        <w:tc>
          <w:tcPr>
            <w:tcW w:w="1560" w:type="dxa"/>
            <w:vAlign w:val="bottom"/>
          </w:tcPr>
          <w:p>
            <w:pPr>
              <w:spacing w:after="0"/>
              <w:rPr>
                <w:sz w:val="4"/>
                <w:szCs w:val="4"/>
                <w:color w:val="auto"/>
              </w:rPr>
            </w:pPr>
          </w:p>
        </w:tc>
        <w:tc>
          <w:tcPr>
            <w:tcW w:w="7840" w:type="dxa"/>
            <w:vAlign w:val="bottom"/>
            <w:gridSpan w:val="2"/>
          </w:tcPr>
          <w:p>
            <w:pPr>
              <w:spacing w:after="0"/>
              <w:rPr>
                <w:sz w:val="4"/>
                <w:szCs w:val="4"/>
                <w:color w:val="auto"/>
              </w:rPr>
            </w:pPr>
          </w:p>
        </w:tc>
      </w:tr>
      <w:tr>
        <w:trPr>
          <w:trHeight w:val="304"/>
        </w:trPr>
        <w:tc>
          <w:tcPr>
            <w:tcW w:w="15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Robert A. Semke</w:t>
            </w:r>
          </w:p>
        </w:tc>
        <w:tc>
          <w:tcPr>
            <w:tcW w:w="7840" w:type="dxa"/>
            <w:vAlign w:val="bottom"/>
            <w:tcBorders>
              <w:bottom w:val="single" w:sz="8" w:color="F0FFFF"/>
            </w:tcBorders>
            <w:gridSpan w:val="2"/>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rPr>
              <w:t>Director (September 21, 2023 - present)</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Kevin D. White</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(December 8, 2023 - present)</w:t>
            </w:r>
          </w:p>
        </w:tc>
      </w:tr>
      <w:tr>
        <w:trPr>
          <w:trHeight w:val="302"/>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tcPr>
          <w:p>
            <w:pPr>
              <w:spacing w:after="0"/>
              <w:rPr>
                <w:sz w:val="20"/>
                <w:szCs w:val="20"/>
                <w:color w:val="auto"/>
              </w:rPr>
            </w:pPr>
          </w:p>
        </w:tc>
        <w:tc>
          <w:tcPr>
            <w:tcW w:w="7620" w:type="dxa"/>
            <w:vAlign w:val="bottom"/>
          </w:tcPr>
          <w:p>
            <w:pPr>
              <w:spacing w:after="0"/>
              <w:rPr>
                <w:sz w:val="20"/>
                <w:szCs w:val="20"/>
                <w:color w:val="auto"/>
              </w:rPr>
            </w:pPr>
          </w:p>
        </w:tc>
      </w:tr>
    </w:tbl>
    <w:p>
      <w:pPr>
        <w:spacing w:after="0" w:line="194" w:lineRule="exact"/>
        <w:rPr>
          <w:sz w:val="20"/>
          <w:szCs w:val="20"/>
          <w:color w:val="auto"/>
        </w:rPr>
      </w:pPr>
    </w:p>
    <w:p>
      <w:pPr>
        <w:jc w:val="both"/>
        <w:ind w:left="120" w:right="1140"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David A. Rosenbaum</w:t>
      </w:r>
      <w:r>
        <w:rPr>
          <w:rFonts w:ascii="Times New Roman" w:cs="Times New Roman" w:eastAsia="Times New Roman" w:hAnsi="Times New Roman"/>
          <w:sz w:val="18"/>
          <w:szCs w:val="18"/>
          <w:color w:val="auto"/>
        </w:rPr>
        <w:t>, age 48, has served as Director, Chairman of the Board,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March 2022. Mr. Rosenbaum joined BHF in January 2017. He currently serves as Head of Product and Underwriting of BHF. Prior to his current role, Mr. Rosenbaum was Head of Investor Relations and Financial Planning and Analysis of BHF. Mr. Rosenbaum received an MBA degree from University of Virginia, Darden School of Business and a BS degree from Clemson University.</w:t>
      </w:r>
    </w:p>
    <w:p>
      <w:pPr>
        <w:sectPr>
          <w:pgSz w:w="11900" w:h="16838" w:orient="portrait"/>
          <w:cols w:equalWidth="0" w:num="1">
            <w:col w:w="9520"/>
          </w:cols>
          <w:pgMar w:left="1440" w:top="1377" w:right="939" w:bottom="542" w:gutter="0" w:footer="0" w:header="0"/>
        </w:sectPr>
      </w:pPr>
    </w:p>
    <w:p>
      <w:pPr>
        <w:spacing w:after="0" w:line="26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9520"/>
          </w:cols>
          <w:pgMar w:left="1440" w:top="1377" w:right="939" w:bottom="542" w:gutter="0" w:footer="0" w:header="0"/>
          <w:type w:val="continuous"/>
        </w:sectPr>
      </w:pPr>
    </w:p>
    <w:bookmarkStart w:id="99" w:name="page100"/>
    <w:bookmarkEnd w:id="99"/>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Kristine H. Toscano</w:t>
      </w:r>
      <w:r>
        <w:rPr>
          <w:rFonts w:ascii="Times New Roman" w:cs="Times New Roman" w:eastAsia="Times New Roman" w:hAnsi="Times New Roman"/>
          <w:sz w:val="18"/>
          <w:szCs w:val="18"/>
          <w:color w:val="auto"/>
        </w:rPr>
        <w:t>, age 47, has served as Vice President and Chief Financial Officer since September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Toscano joined BHF in September 2021. She currently serves as Chief Accounting Officer of BHF. Prior to her current role, Ms. Toscano served in various roles at Lincoln Financial from February 2008 to August 2021, most recently as vice president and assistant controller. Ms. Toscano is accredited as a certified public accountant and is a member of the American Institute of Certified Public Accountants and Pennsylvania Institute of Certified Public Accountants. Ms. Toscano received a BS degree from Drexel University.</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BLNY does not have any employees but rather is provided personnel by ServiceCo, through our Master Affiliate Services and Facilities Agreement. See “Description of Business — Human Capital Resources” for additional information.</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31"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Michael J. Inserra</w:t>
      </w:r>
      <w:r>
        <w:rPr>
          <w:rFonts w:ascii="Times New Roman" w:cs="Times New Roman" w:eastAsia="Times New Roman" w:hAnsi="Times New Roman"/>
          <w:sz w:val="18"/>
          <w:szCs w:val="18"/>
          <w:color w:val="auto"/>
        </w:rPr>
        <w:t>, age 62, has served as Director since October 2021. Mr. Inserra retired from Ernst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Young LLP in 2021. Mr. Inserra served in various roles at Ernst &amp; Young LLP, Americas (EY) from September 1983 to September 2008 and from June 2010 to June 2021, most recently as senior vice chair and deputy managing partner (deputy CEO). Mr. Inserra is a certified public accountant and a member of the AICPA and New York State Society of Certified Public Accountants. Mr. Inserra received a BS degree in public accounting from Fordham University.</w:t>
      </w:r>
    </w:p>
    <w:p>
      <w:pPr>
        <w:spacing w:after="0" w:line="74"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Edward C. Kosnik</w:t>
      </w:r>
      <w:r>
        <w:rPr>
          <w:rFonts w:ascii="Times New Roman" w:cs="Times New Roman" w:eastAsia="Times New Roman" w:hAnsi="Times New Roman"/>
          <w:sz w:val="18"/>
          <w:szCs w:val="18"/>
          <w:color w:val="auto"/>
        </w:rPr>
        <w:t>, age 53, has served as Director since June 2023. Mr. Kosnik joined BHF in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He currently serves as the Head of Variable Annuity Strategy and Corporate Development of BHF. Mr. Kosnik has worked at Citadel, Merrill Lynch, and Hunter Global Investors in a variety of roles, most recently as an equity portfolio manager specializing in investing in global financial services companies. Mr. Kosnik received an MBA degree from New York University and a BA degree in economics and English from Duke University.</w:t>
      </w:r>
    </w:p>
    <w:p>
      <w:pPr>
        <w:spacing w:after="0" w:line="85"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Mayer Naiman</w:t>
      </w:r>
      <w:r>
        <w:rPr>
          <w:rFonts w:ascii="Times New Roman" w:cs="Times New Roman" w:eastAsia="Times New Roman" w:hAnsi="Times New Roman"/>
          <w:sz w:val="18"/>
          <w:szCs w:val="18"/>
          <w:color w:val="auto"/>
        </w:rPr>
        <w:t>, age 56, has served as Director since October 2017. Mr. Naiman joined BHF in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He currently serves as Head of Employee Benefits and Product Taxation of BHF. Prior to his current role, Mr. Naiman served in various roles at MetLife from January 2005 to December 2016, most recently as vice president and associate general counsel in the Tax/ERISA unit. Mr. Naiman received a JD degree from Fordham University School of Law, an LLM degree in Taxation from New York University School of Law, and a BA degree in economics from Yeshiva University.</w:t>
      </w:r>
    </w:p>
    <w:p>
      <w:pPr>
        <w:spacing w:after="0" w:line="88" w:lineRule="exact"/>
        <w:rPr>
          <w:sz w:val="20"/>
          <w:szCs w:val="20"/>
          <w:color w:val="auto"/>
        </w:rPr>
      </w:pPr>
    </w:p>
    <w:p>
      <w:pPr>
        <w:jc w:val="both"/>
        <w:ind w:left="120" w:right="6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Douglas A. Rayvid</w:t>
      </w:r>
      <w:r>
        <w:rPr>
          <w:rFonts w:ascii="Times New Roman" w:cs="Times New Roman" w:eastAsia="Times New Roman" w:hAnsi="Times New Roman"/>
          <w:sz w:val="18"/>
          <w:szCs w:val="18"/>
          <w:color w:val="auto"/>
        </w:rPr>
        <w:t>, age 63, has served as Director since September 2019. Mr. Rayvid retired from MetLife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2019. Mr. Rayvid served in various roles at MetLife from April 1986 to March 2019, most recently as executive vice president and global chief compliance officer. Mr. Rayvid received a JD degree from Boston University School of Law, an MBA degree from Boston University and an MS degree from State University of New York at Albany.</w:t>
      </w:r>
    </w:p>
    <w:p>
      <w:pPr>
        <w:spacing w:after="0" w:line="71"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Robert A. Semke</w:t>
      </w:r>
      <w:r>
        <w:rPr>
          <w:rFonts w:ascii="Times New Roman" w:cs="Times New Roman" w:eastAsia="Times New Roman" w:hAnsi="Times New Roman"/>
          <w:sz w:val="18"/>
          <w:szCs w:val="18"/>
          <w:color w:val="auto"/>
        </w:rPr>
        <w:t>, age 69, has served as Director since September 2023. Mr. Semke retired from BHF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He served as Vice President, Risk Management of BHF from January 2017 to June 2021. Before joining BHF, Mr. Semke served in various roles at MetLife from November 2010 to December 2016, most recently as EMEA Division Chief Risk Officer. Mr. Semke received a BA degree in finance from University of Puget Sound.</w:t>
      </w:r>
    </w:p>
    <w:p>
      <w:pPr>
        <w:spacing w:after="0" w:line="68" w:lineRule="exact"/>
        <w:rPr>
          <w:sz w:val="20"/>
          <w:szCs w:val="20"/>
          <w:color w:val="auto"/>
        </w:rPr>
      </w:pPr>
    </w:p>
    <w:p>
      <w:pPr>
        <w:jc w:val="both"/>
        <w:ind w:left="120" w:right="6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Kevin D. White</w:t>
      </w:r>
      <w:r>
        <w:rPr>
          <w:rFonts w:ascii="Times New Roman" w:cs="Times New Roman" w:eastAsia="Times New Roman" w:hAnsi="Times New Roman"/>
          <w:sz w:val="18"/>
          <w:szCs w:val="18"/>
          <w:color w:val="auto"/>
        </w:rPr>
        <w:t>, age 48, has served as Director since December 2023. He currently serves as the Assistant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of BHF. Prior to his current role, Mr. White served in various roles at Bank of America from March 2011 to April 2017 and as the capital markets and investment manager at Symantec from March 2009 to March 2011. Mr. White received a BA degree in finance from Fairleigh Dickinson University.</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compensation paid to the Directors of BLNY for the year ended December 31, 2023.</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2023 Director Compensation Table</w:t>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176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F0FFFF"/>
            </w:tcBorders>
            <w:shd w:val="clear" w:color="auto" w:fill="F0FFFF"/>
          </w:tcPr>
          <w:p>
            <w:pPr>
              <w:spacing w:after="0"/>
              <w:rPr>
                <w:sz w:val="24"/>
                <w:szCs w:val="24"/>
                <w:color w:val="auto"/>
              </w:rPr>
            </w:pPr>
          </w:p>
        </w:tc>
        <w:tc>
          <w:tcPr>
            <w:tcW w:w="5460" w:type="dxa"/>
            <w:vAlign w:val="bottom"/>
            <w:tcBorders>
              <w:bottom w:val="single" w:sz="8" w:color="auto"/>
            </w:tcBorders>
            <w:shd w:val="clear" w:color="auto" w:fill="F0FFFF"/>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Fees Earned or Paid in Cash </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F0FFFF"/>
            </w:tcBorders>
            <w:shd w:val="clear" w:color="auto" w:fill="F0FFFF"/>
          </w:tcPr>
          <w:p>
            <w:pPr>
              <w:spacing w:after="0"/>
              <w:rPr>
                <w:sz w:val="24"/>
                <w:szCs w:val="24"/>
                <w:color w:val="auto"/>
              </w:rPr>
            </w:pPr>
          </w:p>
        </w:tc>
        <w:tc>
          <w:tcPr>
            <w:tcW w:w="600" w:type="dxa"/>
            <w:vAlign w:val="bottom"/>
            <w:tcBorders>
              <w:bottom w:val="single" w:sz="8" w:color="auto"/>
            </w:tcBorders>
            <w:shd w:val="clear" w:color="auto" w:fill="F0FF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11"/>
        </w:trPr>
        <w:tc>
          <w:tcPr>
            <w:tcW w:w="176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w w:val="95"/>
              </w:rPr>
              <w:t xml:space="preserve">David W. Chamberlin </w:t>
            </w:r>
            <w:r>
              <w:rPr>
                <w:rFonts w:ascii="Times New Roman" w:cs="Times New Roman" w:eastAsia="Times New Roman" w:hAnsi="Times New Roman"/>
                <w:sz w:val="23"/>
                <w:szCs w:val="23"/>
                <w:color w:val="auto"/>
                <w:w w:val="95"/>
                <w:vertAlign w:val="superscript"/>
              </w:rPr>
              <w:t>(2)</w:t>
            </w:r>
          </w:p>
        </w:tc>
        <w:tc>
          <w:tcPr>
            <w:tcW w:w="220" w:type="dxa"/>
            <w:vAlign w:val="bottom"/>
            <w:tcBorders>
              <w:top w:val="single" w:sz="8" w:color="F0FFFF"/>
            </w:tcBorders>
          </w:tcPr>
          <w:p>
            <w:pPr>
              <w:spacing w:after="0"/>
              <w:rPr>
                <w:sz w:val="24"/>
                <w:szCs w:val="24"/>
                <w:color w:val="auto"/>
              </w:rPr>
            </w:pPr>
          </w:p>
        </w:tc>
        <w:tc>
          <w:tcPr>
            <w:tcW w:w="5460" w:type="dxa"/>
            <w:vAlign w:val="bottom"/>
            <w:tcBorders>
              <w:top w:val="single" w:sz="8" w:color="F0FF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F0FFFF"/>
            </w:tcBorders>
          </w:tcPr>
          <w:p>
            <w:pPr>
              <w:spacing w:after="0"/>
              <w:rPr>
                <w:sz w:val="24"/>
                <w:szCs w:val="24"/>
                <w:color w:val="auto"/>
              </w:rPr>
            </w:pPr>
          </w:p>
        </w:tc>
        <w:tc>
          <w:tcPr>
            <w:tcW w:w="600" w:type="dxa"/>
            <w:vAlign w:val="bottom"/>
            <w:tcBorders>
              <w:top w:val="single" w:sz="8" w:color="F0FF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338"/>
        </w:trPr>
        <w:tc>
          <w:tcPr>
            <w:tcW w:w="1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 xml:space="preserve">Jeffrey P. Halperin </w:t>
            </w:r>
            <w:r>
              <w:rPr>
                <w:rFonts w:ascii="Times New Roman" w:cs="Times New Roman" w:eastAsia="Times New Roman" w:hAnsi="Times New Roman"/>
                <w:sz w:val="23"/>
                <w:szCs w:val="23"/>
                <w:color w:val="auto"/>
                <w:vertAlign w:val="superscript"/>
              </w:rPr>
              <w:t>(3)</w:t>
            </w:r>
          </w:p>
        </w:tc>
        <w:tc>
          <w:tcPr>
            <w:tcW w:w="220" w:type="dxa"/>
            <w:vAlign w:val="bottom"/>
            <w:shd w:val="clear" w:color="auto" w:fill="F0FFFF"/>
          </w:tcPr>
          <w:p>
            <w:pPr>
              <w:spacing w:after="0"/>
              <w:rPr>
                <w:sz w:val="24"/>
                <w:szCs w:val="24"/>
                <w:color w:val="auto"/>
              </w:rPr>
            </w:pPr>
          </w:p>
        </w:tc>
        <w:tc>
          <w:tcPr>
            <w:tcW w:w="54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F0FFFF"/>
          </w:tcPr>
          <w:p>
            <w:pPr>
              <w:spacing w:after="0"/>
              <w:rPr>
                <w:sz w:val="24"/>
                <w:szCs w:val="24"/>
                <w:color w:val="auto"/>
              </w:rPr>
            </w:pPr>
          </w:p>
        </w:tc>
        <w:tc>
          <w:tcPr>
            <w:tcW w:w="60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Michael J. Inserra</w:t>
            </w:r>
          </w:p>
        </w:tc>
        <w:tc>
          <w:tcPr>
            <w:tcW w:w="5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$30,000</w:t>
            </w:r>
          </w:p>
        </w:tc>
        <w:tc>
          <w:tcPr>
            <w:tcW w:w="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54"/>
        </w:trPr>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17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Edward C. Kosnik</w:t>
            </w:r>
          </w:p>
        </w:tc>
        <w:tc>
          <w:tcPr>
            <w:tcW w:w="220" w:type="dxa"/>
            <w:vAlign w:val="bottom"/>
            <w:tcBorders>
              <w:bottom w:val="single" w:sz="8" w:color="F0FFFF"/>
            </w:tcBorders>
            <w:shd w:val="clear" w:color="auto" w:fill="F0FFFF"/>
          </w:tcPr>
          <w:p>
            <w:pPr>
              <w:spacing w:after="0"/>
              <w:rPr>
                <w:sz w:val="24"/>
                <w:szCs w:val="24"/>
                <w:color w:val="auto"/>
              </w:rPr>
            </w:pPr>
          </w:p>
        </w:tc>
        <w:tc>
          <w:tcPr>
            <w:tcW w:w="54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F0FFFF"/>
            </w:tcBorders>
            <w:shd w:val="clear" w:color="auto" w:fill="F0FFFF"/>
          </w:tcPr>
          <w:p>
            <w:pPr>
              <w:spacing w:after="0"/>
              <w:rPr>
                <w:sz w:val="24"/>
                <w:szCs w:val="24"/>
                <w:color w:val="auto"/>
              </w:rPr>
            </w:pPr>
          </w:p>
        </w:tc>
        <w:tc>
          <w:tcPr>
            <w:tcW w:w="60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Mayer Naiman</w:t>
            </w:r>
          </w:p>
        </w:tc>
        <w:tc>
          <w:tcPr>
            <w:tcW w:w="22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1760" w:type="dxa"/>
            <w:vAlign w:val="bottom"/>
          </w:tcPr>
          <w:p>
            <w:pPr>
              <w:spacing w:after="0"/>
              <w:rPr>
                <w:sz w:val="4"/>
                <w:szCs w:val="4"/>
                <w:color w:val="auto"/>
              </w:rPr>
            </w:pPr>
          </w:p>
        </w:tc>
        <w:tc>
          <w:tcPr>
            <w:tcW w:w="568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r>
      <w:tr>
        <w:trPr>
          <w:trHeight w:val="337"/>
        </w:trPr>
        <w:tc>
          <w:tcPr>
            <w:tcW w:w="1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 xml:space="preserve">Richard C. Pearson </w:t>
            </w:r>
            <w:r>
              <w:rPr>
                <w:rFonts w:ascii="Times New Roman" w:cs="Times New Roman" w:eastAsia="Times New Roman" w:hAnsi="Times New Roman"/>
                <w:sz w:val="23"/>
                <w:szCs w:val="23"/>
                <w:color w:val="auto"/>
                <w:vertAlign w:val="superscript"/>
              </w:rPr>
              <w:t>(4)</w:t>
            </w:r>
          </w:p>
        </w:tc>
        <w:tc>
          <w:tcPr>
            <w:tcW w:w="5680" w:type="dxa"/>
            <w:vAlign w:val="bottom"/>
            <w:gridSpan w:val="2"/>
            <w:shd w:val="clear" w:color="auto" w:fill="F0FF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$30,000</w:t>
            </w:r>
          </w:p>
        </w:tc>
        <w:tc>
          <w:tcPr>
            <w:tcW w:w="820" w:type="dxa"/>
            <w:vAlign w:val="bottom"/>
            <w:gridSpan w:val="2"/>
            <w:shd w:val="clear" w:color="auto" w:fill="F0FFFF"/>
          </w:tcPr>
          <w:p>
            <w:pPr>
              <w:jc w:val="center"/>
              <w:ind w:left="110"/>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33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Douglas A. Rayvid </w:t>
            </w:r>
            <w:r>
              <w:rPr>
                <w:rFonts w:ascii="Times New Roman" w:cs="Times New Roman" w:eastAsia="Times New Roman" w:hAnsi="Times New Roman"/>
                <w:sz w:val="23"/>
                <w:szCs w:val="23"/>
                <w:color w:val="auto"/>
                <w:vertAlign w:val="superscript"/>
              </w:rPr>
              <w:t>(5)</w:t>
            </w:r>
          </w:p>
        </w:tc>
        <w:tc>
          <w:tcPr>
            <w:tcW w:w="5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$35,000</w:t>
            </w:r>
          </w:p>
        </w:tc>
        <w:tc>
          <w:tcPr>
            <w:tcW w:w="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$35,000</w:t>
            </w:r>
          </w:p>
        </w:tc>
      </w:tr>
      <w:tr>
        <w:trPr>
          <w:trHeight w:val="270"/>
        </w:trPr>
        <w:tc>
          <w:tcPr>
            <w:tcW w:w="17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David A. Rosenbaum</w:t>
            </w:r>
          </w:p>
        </w:tc>
        <w:tc>
          <w:tcPr>
            <w:tcW w:w="220" w:type="dxa"/>
            <w:vAlign w:val="bottom"/>
            <w:shd w:val="clear" w:color="auto" w:fill="F0FFFF"/>
          </w:tcPr>
          <w:p>
            <w:pPr>
              <w:spacing w:after="0"/>
              <w:rPr>
                <w:sz w:val="23"/>
                <w:szCs w:val="23"/>
                <w:color w:val="auto"/>
              </w:rPr>
            </w:pPr>
          </w:p>
        </w:tc>
        <w:tc>
          <w:tcPr>
            <w:tcW w:w="54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F0FFFF"/>
          </w:tcPr>
          <w:p>
            <w:pPr>
              <w:spacing w:after="0"/>
              <w:rPr>
                <w:sz w:val="23"/>
                <w:szCs w:val="23"/>
                <w:color w:val="auto"/>
              </w:rPr>
            </w:pPr>
          </w:p>
        </w:tc>
        <w:tc>
          <w:tcPr>
            <w:tcW w:w="60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ectPr>
          <w:pgSz w:w="11900" w:h="16838" w:orient="portrait"/>
          <w:cols w:equalWidth="0" w:num="1">
            <w:col w:w="9019"/>
          </w:cols>
          <w:pgMar w:left="1440" w:top="1373" w:right="1440" w:bottom="218" w:gutter="0" w:footer="0" w:header="0"/>
        </w:sectPr>
      </w:pPr>
    </w:p>
    <w:p>
      <w:pPr>
        <w:spacing w:after="0" w:line="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9019"/>
          </w:cols>
          <w:pgMar w:left="1440" w:top="1373" w:right="1440" w:bottom="218" w:gutter="0" w:footer="0" w:header="0"/>
          <w:type w:val="continuous"/>
        </w:sectPr>
      </w:pPr>
    </w:p>
    <w:bookmarkStart w:id="100" w:name="page101"/>
    <w:bookmarkEnd w:id="100"/>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2023 Director Compensation Table</w:t>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148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F0FFFF"/>
            </w:tcBorders>
            <w:shd w:val="clear" w:color="auto" w:fill="F0FFFF"/>
          </w:tcPr>
          <w:p>
            <w:pPr>
              <w:spacing w:after="0"/>
              <w:rPr>
                <w:sz w:val="24"/>
                <w:szCs w:val="24"/>
                <w:color w:val="auto"/>
              </w:rPr>
            </w:pPr>
          </w:p>
        </w:tc>
        <w:tc>
          <w:tcPr>
            <w:tcW w:w="5720" w:type="dxa"/>
            <w:vAlign w:val="bottom"/>
            <w:tcBorders>
              <w:bottom w:val="single" w:sz="8" w:color="auto"/>
            </w:tcBorders>
            <w:shd w:val="clear" w:color="auto" w:fill="F0FFFF"/>
          </w:tcPr>
          <w:p>
            <w:pPr>
              <w:ind w:left="1920"/>
              <w:spacing w:after="0"/>
              <w:rPr>
                <w:sz w:val="20"/>
                <w:szCs w:val="20"/>
                <w:color w:val="auto"/>
              </w:rPr>
            </w:pPr>
            <w:r>
              <w:rPr>
                <w:rFonts w:ascii="Times New Roman" w:cs="Times New Roman" w:eastAsia="Times New Roman" w:hAnsi="Times New Roman"/>
                <w:sz w:val="14"/>
                <w:szCs w:val="14"/>
                <w:b w:val="1"/>
                <w:bCs w:val="1"/>
                <w:color w:val="auto"/>
              </w:rPr>
              <w:t xml:space="preserve">Fees Earned or Paid in Cash </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F0FFFF"/>
            </w:tcBorders>
            <w:shd w:val="clear" w:color="auto" w:fill="F0FFFF"/>
          </w:tcPr>
          <w:p>
            <w:pPr>
              <w:spacing w:after="0"/>
              <w:rPr>
                <w:sz w:val="24"/>
                <w:szCs w:val="24"/>
                <w:color w:val="auto"/>
              </w:rPr>
            </w:pPr>
          </w:p>
        </w:tc>
        <w:tc>
          <w:tcPr>
            <w:tcW w:w="600" w:type="dxa"/>
            <w:vAlign w:val="bottom"/>
            <w:tcBorders>
              <w:bottom w:val="single" w:sz="8" w:color="auto"/>
            </w:tcBorders>
            <w:shd w:val="clear" w:color="auto" w:fill="F0FF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8"/>
        </w:trPr>
        <w:tc>
          <w:tcPr>
            <w:tcW w:w="20" w:type="dxa"/>
            <w:vAlign w:val="bottom"/>
          </w:tcPr>
          <w:p>
            <w:pPr>
              <w:spacing w:after="0"/>
              <w:rPr>
                <w:sz w:val="24"/>
                <w:szCs w:val="24"/>
                <w:color w:val="auto"/>
              </w:rPr>
            </w:pPr>
          </w:p>
        </w:tc>
        <w:tc>
          <w:tcPr>
            <w:tcW w:w="148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w w:val="99"/>
              </w:rPr>
              <w:t xml:space="preserve">Robert A. Semke </w:t>
            </w:r>
            <w:r>
              <w:rPr>
                <w:rFonts w:ascii="Times New Roman" w:cs="Times New Roman" w:eastAsia="Times New Roman" w:hAnsi="Times New Roman"/>
                <w:sz w:val="23"/>
                <w:szCs w:val="23"/>
                <w:color w:val="auto"/>
                <w:w w:val="99"/>
                <w:vertAlign w:val="superscript"/>
              </w:rPr>
              <w:t>(6)</w:t>
            </w:r>
          </w:p>
        </w:tc>
        <w:tc>
          <w:tcPr>
            <w:tcW w:w="5940" w:type="dxa"/>
            <w:vAlign w:val="bottom"/>
            <w:tcBorders>
              <w:top w:val="single" w:sz="8" w:color="F0FFFF"/>
            </w:tcBorders>
            <w:gridSpan w:val="2"/>
          </w:tcPr>
          <w:p>
            <w:pPr>
              <w:jc w:val="right"/>
              <w:ind w:right="2479"/>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Borders>
              <w:top w:val="single" w:sz="8" w:color="F0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72"/>
        </w:trPr>
        <w:tc>
          <w:tcPr>
            <w:tcW w:w="20" w:type="dxa"/>
            <w:vAlign w:val="bottom"/>
          </w:tcPr>
          <w:p>
            <w:pPr>
              <w:spacing w:after="0"/>
              <w:rPr>
                <w:sz w:val="23"/>
                <w:szCs w:val="23"/>
                <w:color w:val="auto"/>
              </w:rPr>
            </w:pPr>
          </w:p>
        </w:tc>
        <w:tc>
          <w:tcPr>
            <w:tcW w:w="14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Kevin D. White</w:t>
            </w:r>
          </w:p>
        </w:tc>
        <w:tc>
          <w:tcPr>
            <w:tcW w:w="220" w:type="dxa"/>
            <w:vAlign w:val="bottom"/>
            <w:shd w:val="clear" w:color="auto" w:fill="F0FFFF"/>
          </w:tcPr>
          <w:p>
            <w:pPr>
              <w:spacing w:after="0"/>
              <w:rPr>
                <w:sz w:val="23"/>
                <w:szCs w:val="23"/>
                <w:color w:val="auto"/>
              </w:rPr>
            </w:pPr>
          </w:p>
        </w:tc>
        <w:tc>
          <w:tcPr>
            <w:tcW w:w="572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F0FFFF"/>
          </w:tcPr>
          <w:p>
            <w:pPr>
              <w:spacing w:after="0"/>
              <w:rPr>
                <w:sz w:val="23"/>
                <w:szCs w:val="23"/>
                <w:color w:val="auto"/>
              </w:rPr>
            </w:pPr>
          </w:p>
        </w:tc>
        <w:tc>
          <w:tcPr>
            <w:tcW w:w="60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98425</wp:posOffset>
            </wp:positionV>
            <wp:extent cx="728345"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345" cy="51435"/>
                    </a:xfrm>
                    <a:prstGeom prst="rect">
                      <a:avLst/>
                    </a:prstGeom>
                    <a:noFill/>
                  </pic:spPr>
                </pic:pic>
              </a:graphicData>
            </a:graphic>
          </wp:anchor>
        </w:drawing>
      </w:r>
    </w:p>
    <w:p>
      <w:pPr>
        <w:spacing w:after="0" w:line="205" w:lineRule="exact"/>
        <w:rPr>
          <w:sz w:val="20"/>
          <w:szCs w:val="20"/>
          <w:color w:val="auto"/>
        </w:rPr>
      </w:pPr>
    </w:p>
    <w:p>
      <w:pPr>
        <w:jc w:val="both"/>
        <w:ind w:left="480" w:right="739" w:hanging="368"/>
        <w:spacing w:after="0" w:line="235"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who is not also an employee of BHF or any of its corporate affiliates is paid an annual cash retainer of $30,000 (prorated for Directors who join the Board after the beginning of the year). The Chair of the Audit, Nominating and Evaluation Committee is paid an additional $5,000 annual cash retainer. All cash retainers are paid annually in a single payment. Directors do not receive any other form of compensation for their services. Employees of BHF or any of its corporate affiliates who serve as Directors do not receive any additional compensation for serving as a member of the Board.</w:t>
      </w:r>
    </w:p>
    <w:p>
      <w:pPr>
        <w:spacing w:after="0" w:line="39"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Chamberlin served as Director until December 1, 2023.</w:t>
      </w:r>
    </w:p>
    <w:p>
      <w:pPr>
        <w:spacing w:after="0" w:line="63"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Halperin served as Director until June 6, 2023.</w:t>
      </w:r>
    </w:p>
    <w:p>
      <w:pPr>
        <w:spacing w:after="0" w:line="63"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Pearson served as Director until June 6, 2023.</w:t>
      </w:r>
    </w:p>
    <w:p>
      <w:pPr>
        <w:spacing w:after="0" w:line="63"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Rayvid served as Chair of the Audit, Nominating and Evaluation Committee in 2023.</w:t>
      </w:r>
    </w:p>
    <w:p>
      <w:pPr>
        <w:spacing w:after="0" w:line="63" w:lineRule="exact"/>
        <w:rPr>
          <w:rFonts w:ascii="Times New Roman" w:cs="Times New Roman" w:eastAsia="Times New Roman" w:hAnsi="Times New Roman"/>
          <w:sz w:val="18"/>
          <w:szCs w:val="18"/>
          <w:color w:val="auto"/>
        </w:rPr>
      </w:pPr>
    </w:p>
    <w:p>
      <w:pPr>
        <w:ind w:left="480" w:right="899" w:hanging="368"/>
        <w:spacing w:after="0" w:line="250"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Semke was elected to the Board on September 21, 2023, and received a prorated portion of the annual cash retainer.</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Beneficial Ownership and Ownership by Management</w:t>
      </w:r>
    </w:p>
    <w:p>
      <w:pPr>
        <w:spacing w:after="0" w:line="22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is a wholly owned subsidiary of Brighthouse Life Insurance Company and an indirect subsidiary of BHF. None of the Company’s directors or executive officers beneficially owns shares of the Company’s common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Control Changes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is subject to the Brighthouse Financial, Inc. Related Person Transaction Policy (the “Related Person Transaction Policy”), which sets forth policies and procedures for the review and approval or ratification of related party transactions. A “Related Person” is a director, director nominee, executive officer, immediate family members of the above, holders of more than 5% of the Company’s outstanding Shares, or any entity in which any of the foregoing people holds a beneficial ownership interest of 10% or more. A “Related Person Transaction” is any transaction, arrangement, or relationship of $120,000 or more in a fiscal year in which the Company is a participant and the Related Person has a direct or indirect material interest. Under the Related Person Transaction Policy, the Nominating and Corporate Governance Committee of the BHF board of directors reviews the Related Person Transaction in question to determine whether it is inconsistent with BHF’s best interests. If the Nominating and Corporate Governance Committee determines that the Related Person Transaction is not inconsistent with BHF’s best interests, then it may approve or ratify the Related Person Transaction.</w:t>
      </w:r>
    </w:p>
    <w:p>
      <w:pPr>
        <w:spacing w:after="0" w:line="8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On an annual basis, each director and executive officer of the Company is required to complete a questionnaire that requires disclosure of any transaction with us in which a Related Person has a direct or indirect material interest. See Note 13 of the Notes to Statutory Financial Statements.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have a compensation committee of the board of directors. No interlocking relationship existed between our Board or executive officers and the board of directors or compensation committee of any other company during the fiscal year ended December 31, 2023.</w:t>
      </w:r>
    </w:p>
    <w:p>
      <w:pPr>
        <w:sectPr>
          <w:pgSz w:w="11900" w:h="16838" w:orient="portrait"/>
          <w:cols w:equalWidth="0" w:num="1">
            <w:col w:w="9019"/>
          </w:cols>
          <w:pgMar w:left="1440" w:top="14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9019"/>
          </w:cols>
          <w:pgMar w:left="1440" w:top="1424" w:right="1440" w:bottom="1440" w:gutter="0" w:footer="0" w:header="0"/>
          <w:type w:val="continuous"/>
        </w:sectPr>
      </w:pPr>
    </w:p>
    <w:bookmarkStart w:id="101" w:name="page102"/>
    <w:bookmarkEnd w:id="101"/>
    <w:p>
      <w:pPr>
        <w:ind w:left="120" w:right="2079"/>
        <w:spacing w:after="0" w:line="3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Management’s Discussion and Analysis of Financial Condition and Results of Operations CORPORATE OVERVIEW</w:t>
      </w:r>
    </w:p>
    <w:p>
      <w:pPr>
        <w:spacing w:after="0" w:line="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Brighthouse Life Insurance Company of NY (the “Company”), is a wholly-owned subsidiary of Brighthouse Life Insurance Company (“Brighthouse Insurance”), which is an indirect subsidiary of Brighthouse Financial, Inc. (“Brighthouse”) a Delaware corporation. The Company is domiciled in the State of New York (“New York”) and is only licensed to transact insurance business therein, and is subject to regulation by New York. The Company markets or administers traditional life and universal life insurance; as well as variable, fixed, index-linked, and income annuity products to individuals.</w:t>
      </w:r>
    </w:p>
    <w:p>
      <w:pPr>
        <w:spacing w:after="0" w:line="7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is a supplement to the unaudited interim condensed statutory financial statement of the Company as of March 31, 2024 and the audited annual statutory statements of the Company as of December 31, 2023, included herein. This discussion clarifies significant financial items that may not be readily apparent from statement amounts, and highlights certain changes in trends that may be reasonably available from statement sources, but are deemed worthy of note. It is not intended to be a complete overview of the Company and its operations. Since it deals mainly with a limited set of financial events, it should be viewed only for its intended use.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 AND POLICIES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Management prepares the Company’s unaudited interim condensed and annual audited statutory financial statements in conformity with accounting practices prescribed or permitted by the New York State Department of Financial Services (the “Department” or “NYDFS”). The Department requires that insurance companies domiciled in New York prepare the statutory financial statements in accordance with the National Association of Insurance Commissioners (“NAIC”) Accounting Practices and Procedures Manual (“NAIC SAP”) as modified by the Department. NAIC SAP requires management to adopt accounting policies and make estimates and assumptions that affect amounts reported in the financial statements. The most critical estimates include those used in determining:</w:t>
      </w:r>
    </w:p>
    <w:p>
      <w:pPr>
        <w:spacing w:after="0" w:line="84" w:lineRule="exact"/>
        <w:rPr>
          <w:sz w:val="20"/>
          <w:szCs w:val="20"/>
          <w:color w:val="auto"/>
        </w:rPr>
      </w:pPr>
    </w:p>
    <w:p>
      <w:pPr>
        <w:ind w:left="680" w:hanging="208"/>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 of and accounting for derivatives;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reserves;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applying these policies, management makes subjective and complex judgments that frequently require estimates about matters that are inherently uncertain. Many of these policies, estimates and related judgments are common in the insurance and financial services industries; others are specific to the Company’s businesses and operations. Actual results could differ from these estimates.</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above critical accounting estimates are described below and in Note 1 of the unaudited quarterly March 31, 2024 interim condensed statutory financial statements and the annual December 31, 2023 audited statutory financial statements herein.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uses derivatives to hedge the various capital market risks in our insurance business including:</w:t>
      </w:r>
    </w:p>
    <w:p>
      <w:pPr>
        <w:spacing w:after="0" w:line="27" w:lineRule="exact"/>
        <w:rPr>
          <w:sz w:val="20"/>
          <w:szCs w:val="20"/>
          <w:color w:val="auto"/>
        </w:rPr>
      </w:pPr>
    </w:p>
    <w:p>
      <w:pPr>
        <w:jc w:val="both"/>
        <w:ind w:left="120" w:right="639" w:hanging="8"/>
        <w:spacing w:after="0" w:line="253" w:lineRule="auto"/>
        <w:tabs>
          <w:tab w:leader="none" w:pos="3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crediting rates associated with index-linked annuities; (ii) current or future changes in the fair value of the Company’s assets and liabilities; and (iii) current or future changes in cash flows. Most of the Company’s derivatives are carried at estimated fair value with changes in their estimated fair value reported in change in general account net unrealized capital gains (losses).</w:t>
      </w:r>
    </w:p>
    <w:p>
      <w:pPr>
        <w:spacing w:after="0" w:line="8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determination of the estimated fair value of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See Notes 1 and 2 of the unaudited quarterly March 31, 2024 interim condensed statutory financial statements and the annual December 31, 2023 audited statutory financial statements herein for additional information on valuation methodologies and inputs used in the pricing of derivatives.</w:t>
      </w:r>
    </w:p>
    <w:p>
      <w:pPr>
        <w:sectPr>
          <w:pgSz w:w="11900" w:h="16838" w:orient="portrait"/>
          <w:cols w:equalWidth="0" w:num="1">
            <w:col w:w="9019"/>
          </w:cols>
          <w:pgMar w:left="1440" w:top="1373" w:right="1440" w:bottom="1440" w:gutter="0" w:footer="0" w:header="0"/>
        </w:sectPr>
      </w:pPr>
    </w:p>
    <w:p>
      <w:pPr>
        <w:spacing w:after="0" w:line="3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9019"/>
          </w:cols>
          <w:pgMar w:left="1440" w:top="1373" w:right="1440" w:bottom="1440" w:gutter="0" w:footer="0" w:header="0"/>
          <w:type w:val="continuous"/>
        </w:sectPr>
      </w:pPr>
    </w:p>
    <w:bookmarkStart w:id="102" w:name="page103"/>
    <w:bookmarkEnd w:id="102"/>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Policy Reserves</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established policy reserves for contractual obligations arising out insurance contracts based on NAIC requirements as modified by the NYDFS. Most of our policy reserves are calculated as the excess of the present value of future benefits to be paid to or on behalf of policyholders less the present value of future net premiums, using prescribed factors for mortality, lapses and interest without consideration of company experience. Where separate benefits are included in a contract, a reserve for each benefit is established. For variable and certain index-linked annuities, the Company uses a principles-based reserve method equal to the higher of reserves using prescribed factors and reserves that consider a wide range of future economic conditions as well as company experience. In addition, we are required to conduct an annual analysis of the adequacy of all statutory reserves (“Asset Adequacy Testing”) and may have to increase reserves as a result of this analysis.</w:t>
      </w:r>
    </w:p>
    <w:p>
      <w:pPr>
        <w:spacing w:after="0" w:line="80"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measurement of our principles-based and AAT reserves can be significantly impacted by changes in inputs and assumptions for interest rates, mortality, benefit election and utilization, withdrawals, policy lapses and investment returns.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3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Accounting for reinsurance requires extensive use of assumptions and estimates, particularly related to the future performance of the underlying business. Management periodically reviews actual and anticipated experience compared to the aforementioned assumptions used to establish liabilities relating to ceded reinsurance.</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See Notes 1 and 5 of the unaudited quarterly March 31, 2024 interim condensed statutory financial statements and Notes 1 and 6 in the annual December 31, 2023 audited statutory financial statements herein for additional information on accounting for reinsurance.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provides for Federal income taxes currently payable, as well as those deferred due to temporary differences between the statutory reporting and tax bases of assets and liabilities. The accounting for income taxes represents the Company’s best estimate of various events and transactions. Tax laws are often complex and may be subject to differing interpretations by the taxpayer and the relevant governmental taxing authorities. In establishing a provision for income tax expense, the Company must make judgments and interpretations about the application of tax laws. The Company must also make estimates about when in the future certain items will affect taxable income in the various taxing jurisdictions.</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or not valuation allowances should be established, as well as the amount of such allowances.</w:t>
      </w:r>
    </w:p>
    <w:p>
      <w:pPr>
        <w:spacing w:after="0" w:line="7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Company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statutory financial statements in the year these changes occur.</w:t>
      </w:r>
    </w:p>
    <w:p>
      <w:pPr>
        <w:spacing w:after="0" w:line="77" w:lineRule="exact"/>
        <w:rPr>
          <w:sz w:val="20"/>
          <w:szCs w:val="20"/>
          <w:color w:val="auto"/>
        </w:rPr>
      </w:pPr>
    </w:p>
    <w:p>
      <w:pPr>
        <w:jc w:val="both"/>
        <w:ind w:left="120" w:right="6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Company calculates deferred income tax assets in accordance with SSAP No. 101,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certain limitations on the amount of deferred tax assets that can be reflected as admitted assets.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DISCUSSION OF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Market and Economic Events Impacting the Company’s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Brighthouse and its subsidiaries’ (the “Enterprise”) business and results of operations are materially affected by conditions in the global capital markets and the economy generally. Stressed conditions, volatility and disruptions in financial asset classes or various markets, including global capital markets, can have an adverse effect on the Enterprise, in part because the Company has a large investment portfolio and the insurance liabilities are sensitive to changing market factors. Global market factors, including interest rates, credit spreads, equity prices, derivative prices and availability, real estate markets, foreign currency exchange rates, consumer spending, business investment, government spending, the volatility and</w:t>
      </w:r>
    </w:p>
    <w:p>
      <w:pPr>
        <w:sectPr>
          <w:pgSz w:w="11900" w:h="16838" w:orient="portrait"/>
          <w:cols w:equalWidth="0" w:num="1">
            <w:col w:w="9019"/>
          </w:cols>
          <w:pgMar w:left="1440" w:top="1373" w:right="1440" w:bottom="839" w:gutter="0" w:footer="0" w:header="0"/>
        </w:sectPr>
      </w:pPr>
    </w:p>
    <w:p>
      <w:pPr>
        <w:spacing w:after="0" w:line="25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9019"/>
          </w:cols>
          <w:pgMar w:left="1440" w:top="1373" w:right="1440" w:bottom="839" w:gutter="0" w:footer="0" w:header="0"/>
          <w:type w:val="continuous"/>
        </w:sectPr>
      </w:pPr>
    </w:p>
    <w:bookmarkStart w:id="103" w:name="page104"/>
    <w:bookmarkEnd w:id="103"/>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strength of the capital markets, deflation and inflation, all affect the business and economic environment and, ultimately, the amount and profitability of the business. Disruptions in one market or asset class can also spread to other markets or asset classes. Upheavals in the financial markets can also affect the business through their effects on general levels of economic activity, employment and customer behavior. While the Enterprise’s diversified business mix and geographically diverse business operations partially mitigate these risks, correlation across regions, countries and global market factors may reduce the benefits of diversification.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is affected by the monetary policy of the Board of Governors of the Federal Reserve System (the “Federal Reserve Board”) in the United States.</w:t>
      </w:r>
    </w:p>
    <w:p>
      <w:pPr>
        <w:spacing w:after="0" w:line="67"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a low interest rate environment, the Company may be forced to reinvest proceeds from investments that have matured or have been prepaid or sold at lower yields, which will reduce the investment margin. Moreover, borrowers may prepay or redeem the fixed income securities and commercial, agricultural or residential mortgage loans in the Company’s investment portfolio with greater frequency in order to borrow at lower market rates, thereby exacerbating this risk. Although lowering interest crediting rates can help offset decreases in spreads on some products, the Company’s ability to lower these rates is limited to the portion of the Company’s in-force product portfolio that has adjustable interest crediting rates, and could be limited by competition or contractually guaranteed minimum rates and may not match the timing or magnitude of changes in asset yields. As a result, the Company’s spread could decrease or potentially become negative, which could have a material adverse effect on the Company’s results of operations and financial condition.</w:t>
      </w:r>
    </w:p>
    <w:p>
      <w:pPr>
        <w:spacing w:after="0" w:line="86"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Increases in interest rates could also negatively affect the Company’s profitability. In periods of rapidly increasing interest rates, the Company may not be able to replace, in a timely manner, the investments in its General Account with higher yielding investments needed to fund the higher crediting rates necessary to keep interest rate sensitive products competitive. The Company, therefore, may have to accept a lower credit spread and, thus, lower profitability or face a decline in sales and greater loss of existing contracts and related assets. In addition, policy loans, surrenders and withdrawals may tend to increase as policyholders seek investments with higher perceived returns as interest rates rise. This process may result in cash outflows requiring that the Company sell investments at a time when the prices of those investments are adversely affected by the increase in interest rates, which may result in realized investment losses. An increase in interest rates could also have a material adverse effect on the value of the investment portfolio, for example, by decreasing the estimated fair values of the fixed income securities that comprise a substantial portion of the Company’s investment portfolio. Finally, an increase in interest rates could result in decreased fee income associated with a decline in the value of variable annuity account balances invested in fixed income funds. However, this increase in interest rates would typically cause any guaranteed living benefits to decline in value.</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Risk</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Company’s primary exposure to equity risk relates to the potential for lower earnings associated with certain businesses where fee income is earned based upon the estimated fair value of the separate account assets and other assets related to the variable annuity business. Because fees generated by such products are primarily related to the value of separate account assets and other assets under management, a decline in equity markets could reduce revenues as a result of the reduction in the value of the investment assets supporting those products and services. In particular, the variable annuity business is highly sensitive to equity markets, and a sustained weakness or stagnation in the equity markets could decrease revenues and earnings with respect to those products. Furthermore, certain variable annuity products offer guaranteed benefits which increase the Company’s potential benefit exposure should equity markets decline or stagnate. The Company uses derivatives and reinsurance to mitigate the impact of such increased potential benefit exposures and cedes this exposure to Brighthouse Insurance and MetLife Insurance Company.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Inflation increases expenses (including, among others, for labor and third-party services), potentially putting pressure on profitability in the event that such additional costs cannot be passed through to policyholders. High inflation could also cause a change in consumer sentiment and behavior adversely affecting the sales of certain of our products.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Pressures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life insurance industry remains highly competitive. The product development and product life cycles have shortened in many product segments, leading to more intense competition with respect to product features. Larger companies have the ability to invest in brand equity, product development, technology and risk management, which are among the fundamentals for sustained profitable growth in the life insurance industry. In addition, several of the industry’s products can be quite</w:t>
      </w:r>
    </w:p>
    <w:p>
      <w:pPr>
        <w:sectPr>
          <w:pgSz w:w="11900" w:h="16838" w:orient="portrait"/>
          <w:cols w:equalWidth="0" w:num="1">
            <w:col w:w="9019"/>
          </w:cols>
          <w:pgMar w:left="1440" w:top="1377" w:right="1440" w:bottom="758" w:gutter="0" w:footer="0" w:header="0"/>
        </w:sectPr>
      </w:pPr>
    </w:p>
    <w:p>
      <w:pPr>
        <w:spacing w:after="0" w:line="26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9019"/>
          </w:cols>
          <w:pgMar w:left="1440" w:top="1377" w:right="1440" w:bottom="758" w:gutter="0" w:footer="0" w:header="0"/>
          <w:type w:val="continuous"/>
        </w:sectPr>
      </w:pPr>
    </w:p>
    <w:bookmarkStart w:id="104" w:name="page105"/>
    <w:bookmarkEnd w:id="104"/>
    <w:p>
      <w:pPr>
        <w:jc w:val="both"/>
        <w:ind w:left="120" w:right="63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homogeneous and subject to intense price competition. Sufficient scale, financial strength and financial flexibility are becoming prerequisites for sustainable growth in the life insurance industry. Larger market participants tend to have the capacity to invest in additional distribution capability and the information technology needed to offer the superior customer service demanded by an increasingly sophisticated industry client base. Management believes that the continued volatility of the financial markets, its impact on the capital position of many competitors, and subsequent actions by regulators and rating agencies have altered the competitive environment. In particular, management believes that these factors have highlighted financial strength as the most significant differentiator from the perspective of some customers and certain distributors. Management believes the Company is well positioned to compete in this environment.</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9019"/>
          </w:cols>
          <w:pgMar w:left="1440" w:top="1377" w:right="1440" w:bottom="1440" w:gutter="0" w:footer="0" w:header="0"/>
          <w:type w:val="continuous"/>
        </w:sectPr>
      </w:pPr>
    </w:p>
    <w:bookmarkStart w:id="105" w:name="page106"/>
    <w:bookmarkEnd w:id="105"/>
    <w:p>
      <w:pPr>
        <w:ind w:left="120" w:right="1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Analysis of Results of Operations – For the Three Months Ended March 31, 2024 and 2023 (Unaudited) and Years Ended December 31, 2023 and 2022</w:t>
      </w:r>
    </w:p>
    <w:p>
      <w:pPr>
        <w:spacing w:after="0" w:line="51" w:lineRule="exact"/>
        <w:rPr>
          <w:sz w:val="20"/>
          <w:szCs w:val="20"/>
          <w:color w:val="auto"/>
        </w:rPr>
      </w:pPr>
    </w:p>
    <w:p>
      <w:pPr>
        <w:ind w:left="480" w:right="1040" w:firstLine="34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statutory net income (loss) for the years presented (dollars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(unaudited)</w:t>
            </w:r>
          </w:p>
        </w:tc>
        <w:tc>
          <w:tcPr>
            <w:tcW w:w="260" w:type="dxa"/>
            <w:vAlign w:val="bottom"/>
          </w:tcPr>
          <w:p>
            <w:pPr>
              <w:spacing w:after="0"/>
              <w:rPr>
                <w:sz w:val="16"/>
                <w:szCs w:val="16"/>
                <w:color w:val="auto"/>
              </w:rPr>
            </w:pPr>
          </w:p>
        </w:tc>
        <w:tc>
          <w:tcPr>
            <w:tcW w:w="16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5"/>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7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0"/>
                <w:szCs w:val="20"/>
                <w:color w:val="auto"/>
              </w:rPr>
            </w:pPr>
          </w:p>
        </w:tc>
      </w:tr>
      <w:tr>
        <w:trPr>
          <w:trHeight w:val="55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$ 190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(3,649)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Considerations for supplementary contracts</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Reserves adjustments on reinsurance ceded</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232</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97"/>
              </w:rPr>
              <w:t>(222)</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63</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40" w:type="dxa"/>
            <w:vAlign w:val="bottom"/>
          </w:tcPr>
          <w:p>
            <w:pPr>
              <w:spacing w:after="0"/>
              <w:rPr>
                <w:sz w:val="24"/>
                <w:szCs w:val="24"/>
                <w:color w:val="auto"/>
              </w:rPr>
            </w:pPr>
          </w:p>
        </w:tc>
      </w:tr>
      <w:tr>
        <w:trPr>
          <w:trHeight w:val="52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64</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24"/>
                <w:szCs w:val="2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21"/>
                <w:szCs w:val="2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 and taxes (other than Federal</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and capital gains taxes)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34</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21"/>
                <w:szCs w:val="21"/>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0" w:type="dxa"/>
            <w:vAlign w:val="bottom"/>
          </w:tcPr>
          <w:p>
            <w:pPr>
              <w:spacing w:after="0"/>
              <w:rPr>
                <w:sz w:val="24"/>
                <w:szCs w:val="2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benefits and expenses before dividends to</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policyholders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78</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1,234</w:t>
            </w:r>
          </w:p>
        </w:tc>
        <w:tc>
          <w:tcPr>
            <w:tcW w:w="40" w:type="dxa"/>
            <w:vAlign w:val="bottom"/>
          </w:tcPr>
          <w:p>
            <w:pPr>
              <w:spacing w:after="0"/>
              <w:rPr>
                <w:sz w:val="21"/>
                <w:szCs w:val="21"/>
                <w:color w:val="auto"/>
              </w:rPr>
            </w:pPr>
          </w:p>
        </w:tc>
      </w:tr>
      <w:tr>
        <w:trPr>
          <w:trHeight w:val="47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 before dividends to</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policyholders and Federal income tax</w:t>
            </w:r>
          </w:p>
        </w:tc>
        <w:tc>
          <w:tcPr>
            <w:tcW w:w="34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expense (benefit) (excluding income</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on capital gains and losses)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24"/>
                <w:szCs w:val="2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net of Federal income</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and interest maintenance reserve transfer</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Pr>
          <w:p>
            <w:pPr>
              <w:spacing w:after="0"/>
              <w:rPr>
                <w:sz w:val="21"/>
                <w:szCs w:val="21"/>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4"/>
                <w:szCs w:val="24"/>
                <w:color w:val="auto"/>
              </w:rPr>
            </w:pPr>
          </w:p>
        </w:tc>
      </w:tr>
      <w:tr>
        <w:trPr>
          <w:trHeight w:val="5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CAPITAL AND SURPLUS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general account net unrealized capital gains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21"/>
                <w:szCs w:val="21"/>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1"/>
                <w:szCs w:val="21"/>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deferred income tax</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nonadmitted assets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 valuation reserve</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as a result of reinsurance</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(13)</w:t>
            </w:r>
          </w:p>
        </w:tc>
        <w:tc>
          <w:tcPr>
            <w:tcW w:w="1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adjustment paid in</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 net</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CAPITAL AND SURPLUS</w:t>
            </w:r>
          </w:p>
        </w:tc>
        <w:tc>
          <w:tcPr>
            <w:tcW w:w="340" w:type="dxa"/>
            <w:vAlign w:val="bottom"/>
          </w:tcPr>
          <w:p>
            <w:pPr>
              <w:spacing w:after="0"/>
              <w:rPr>
                <w:sz w:val="24"/>
                <w:szCs w:val="24"/>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BEGINNING OF YEAR</w:t>
            </w:r>
          </w:p>
        </w:tc>
        <w:tc>
          <w:tcPr>
            <w:tcW w:w="340" w:type="dxa"/>
            <w:vAlign w:val="bottom"/>
          </w:tcPr>
          <w:p>
            <w:pPr>
              <w:spacing w:after="0"/>
              <w:rPr>
                <w:sz w:val="24"/>
                <w:szCs w:val="24"/>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819</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Pr>
          <w:p>
            <w:pPr>
              <w:spacing w:after="0"/>
              <w:rPr>
                <w:sz w:val="24"/>
                <w:szCs w:val="24"/>
                <w:color w:val="auto"/>
              </w:rPr>
            </w:pPr>
          </w:p>
        </w:tc>
      </w:tr>
      <w:tr>
        <w:trPr>
          <w:trHeight w:val="28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END OF YEAR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813</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$ 302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400"/>
          </w:cols>
          <w:pgMar w:left="1440" w:top="1373" w:right="10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9400"/>
          </w:cols>
          <w:pgMar w:left="1440" w:top="1373" w:right="1059" w:bottom="1440" w:gutter="0" w:footer="0" w:header="0"/>
          <w:type w:val="continuous"/>
        </w:sectPr>
      </w:pPr>
    </w:p>
    <w:bookmarkStart w:id="106" w:name="page107"/>
    <w:bookmarkEnd w:id="106"/>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Total Company Overview</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company reported a net loss of $14 million for the three months ended March 31, 2024, compared to a net loss of $114 million for the three months ended March 31, 2023. The lower loss was primarily attributable to the impact of the, effective October 1, 2023, reinsurance agreement the Company entered into with Brighthouse Insurance to cede 90% of Shield annuity policies written by the Company (“Shield Reinsurance Agreement”), and net investment income; partially offset by Separate Account losses from Shield Level Annuities (“Shield”) due to higher equity markets, and net realized capital losses.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reported a net gain of $539 million for the year ended December 31, 2023, compared to a net loss of $152 million for the year ended December 31, 2022. The gain in the current year was primarily attributable to the impact of the Shield Reinsurance Agreement, and net realized capital gains; partially offset by Separate Account losses from Shield due to favorable equity markets. For the year ended December 31, 2022, the Company reported a net loss of $152 million compared to a net loss of $52 million for the year ended December 31, 2021. The higher loss in 2022 was primarily attributable to net realized capital losses and a higher increase in variable annuity reserves; partially offset by a Separate Account gain from Shield due to lower equity markets.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Line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Premiums and Annuity Considerations</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Premiums and annuity considerations decreased $162 million to $28 million for the three months ended March 31, 2024, from $190 million for the three months ended March 31, 2023. The decrease in premiums was primarily attributable to the Shield Reinsurance Agreement.</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59" w:firstLine="360"/>
        <w:spacing w:after="0" w:line="258" w:lineRule="auto"/>
        <w:rPr>
          <w:sz w:val="20"/>
          <w:szCs w:val="20"/>
          <w:color w:val="auto"/>
        </w:rPr>
      </w:pPr>
      <w:r>
        <w:rPr>
          <w:rFonts w:ascii="Times New Roman" w:cs="Times New Roman" w:eastAsia="Times New Roman" w:hAnsi="Times New Roman"/>
          <w:sz w:val="18"/>
          <w:szCs w:val="18"/>
          <w:color w:val="auto"/>
        </w:rPr>
        <w:t>Premiums and annuity considerations decreased by $4,584 million to ($3,649) million for the year ended December 31, 2023, from $935 million for the year ended December 31, 2022. The decrease in premiums was primarily attributable to the ($4,510) million impact of the Shield Reinsurance Agreement in the current year. In 2022, For the year ended December 31, 2022, premiums decreased by $30 million to $935 million from $965 million for the year ended December 31, 2021 primarily due to a decrease in sales of Shield.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Net investment income, including interest maintenance reserve (“IMR“) amortization, increased by $32 million to $23 million for the quarter ended March 31, 2024, from ($9) million for the quarter ended March 31, 2023. The increase in income was primarily attributable to derivatives.</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Net investment income, including interest maintenance reserve (“IMR“) amortization, decreased by $39 million to ($6) million for the year ended December 31, 2023, from $33 million for the year ended December 31, 2022. The reduction in income was primarily attributable to equity total return swaps, resulting from higher relative interest rates. For the year ended December 31, 2022, net investment income decreased by $40 million to $33 million, from $73 million for the year ended December 31, 2021. The decrease in income was primarily attributable to equity total return swaps, resulting from declining equity markets.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Other income (loss) decreased $97 million to ($249) million for the three months ended March 31, 2024, from ($152) million for the three months ended March 31, 2023. The decrease was primarily due to an increase in net Separate Account losses mainly due to Shield from higher equity markets.</w:t>
      </w:r>
    </w:p>
    <w:p>
      <w:pPr>
        <w:sectPr>
          <w:pgSz w:w="11900" w:h="16838" w:orient="portrait"/>
          <w:cols w:equalWidth="0" w:num="1">
            <w:col w:w="9019"/>
          </w:cols>
          <w:pgMar w:left="1440" w:top="1373" w:right="1440" w:bottom="1440" w:gutter="0" w:footer="0" w:header="0"/>
        </w:sectPr>
      </w:pPr>
    </w:p>
    <w:p>
      <w:pPr>
        <w:spacing w:after="0" w:line="2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9019"/>
          </w:cols>
          <w:pgMar w:left="1440" w:top="1373" w:right="1440" w:bottom="1440" w:gutter="0" w:footer="0" w:header="0"/>
          <w:type w:val="continuous"/>
        </w:sectPr>
      </w:pPr>
    </w:p>
    <w:bookmarkStart w:id="107" w:name="page108"/>
    <w:bookmarkEnd w:id="107"/>
    <w:p>
      <w:pPr>
        <w:ind w:left="1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Year Ended December 31, 2023 Compared with the Year Ended December 31, 2022</w:t>
      </w:r>
    </w:p>
    <w:p>
      <w:pPr>
        <w:spacing w:after="0" w:line="11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Other income (loss) decreased by $1,118 million to ($319) million for the year ended December 31, 2023 from $799 million for the year ended December 31, 2022. The decrease was primarily due to an increase in net Separate Account losses primarily attributable to Shield losses in the current year from favorable equity markets. For the year ended December 31, 2022, other income (loss) increased by $907 million to $799 million from ($108) million for the year ended December 31, 2021. The increase was primarily due to an increase in net Separate Account gains primarily attributable to Shield gains in the current year from unfavorable equity markets.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Reserve Adjustments on Reinsurance Ceded</w:t>
      </w:r>
    </w:p>
    <w:p>
      <w:pPr>
        <w:spacing w:after="0" w:line="119" w:lineRule="exact"/>
        <w:rPr>
          <w:sz w:val="20"/>
          <w:szCs w:val="20"/>
          <w:color w:val="auto"/>
        </w:rPr>
      </w:pPr>
    </w:p>
    <w:p>
      <w:pPr>
        <w:ind w:left="120" w:right="1179"/>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March 31, 2024 (unaudited) Compared with the Three Months Ended March 31, 2023 (unaudited)</w:t>
      </w:r>
    </w:p>
    <w:p>
      <w:pPr>
        <w:spacing w:after="0" w:line="5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Reserve adjustments on ceded reinsurance increased $308 million to $232 million for the three months ended March 31, 2024, from ($76) million for the three months ended March 31, 2023. The increase was driven by the impact of the Shield Reinsurance Agreement.</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with the Year Ended December 31, 2022</w:t>
      </w:r>
    </w:p>
    <w:p>
      <w:pPr>
        <w:spacing w:after="0" w:line="11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Reserve adjustments on ceded reinsurance increased $4,330 million to $4,039 million for the year ended December 31, 2023 from ($291) million for the year ended December 31, 2022. The increase was driven by the impact of the Shield Reinsurance Agreement in the current year. For the year ended December 31, 2022, reserve adjustments on reinsurance ceded decreased $60 million to ($291) million from ($351) million for the year ended December 31, 2021 mainly driven by a higher change in the modified coinsurance adjustment.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Realized Capital Gains (Losses)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Net realized capital gains (losses), net of Federal income tax and IMR transfer, decreased $92 million for the quarter ended March 31, 2024, (unaudited) compared to the quarter ended March 31, 2023 (unaudited).</w:t>
      </w:r>
    </w:p>
    <w:p>
      <w:pPr>
        <w:spacing w:after="0" w:line="5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gains for the quarter ended March 31, 2024, (unaudited) not including transfers to IMR, were $1 million and were primarily driven by net gains on equity derivative terminations and maturities. Additionally, less than $1 Million in post-tax realized capital gains were transferred to IMR.</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gains for the quarter ended March 31, 2023, (unaudited) not including transfers to IMR, were $93 million and were primarily driven by net gains on equity derivative terminations and maturities. Additionally, less than $1 Million in post-tax realized capital gains were transferred to IMR.</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Net realized capital gains (losses), net of Federal income tax and IMR transfer, increased $842 million for the year ended December 31, 2023.</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gains for December 31, 2023, not including transfers to IMR, were $532 million and were primarily driven by net gains on equity derivative terminations and maturities. Additionally, $2 million in post-tax realized capital gains were transferred to IMR.</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Net realized capital losses for December 31, 2022, not including transfers to IMR, were $311 million and were primarily driven by net losses on equity derivative terminations and maturities. Additionally, $3 million in post-tax realized capital gains were transferred to IMR.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Unrealized Capital Gains (Losses)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change in unrealized capital gains (losses), including the change in unrealized foreign exchange capital gains, was an increase of $26 million for the quarter ended March 31, 2024, (unaudited) primarily due to favorable performance on equity derivatives.</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change in unrealized capital gains (losses), including the change in unrealized foreign exchange capital gains, was a decrease of $154 million for the year ended December 31, 2023, primarily due to equity derivatives. For the year ended December 31, 2022, the change in unrealized capital gains (losses), including the change in unrealized foreign exchange capital gains (losses), was a decrease of $56 million primarily due to unrealized losses on equity derivatives.</w:t>
      </w:r>
    </w:p>
    <w:p>
      <w:pPr>
        <w:sectPr>
          <w:pgSz w:w="11900" w:h="16838" w:orient="portrait"/>
          <w:cols w:equalWidth="0" w:num="1">
            <w:col w:w="9019"/>
          </w:cols>
          <w:pgMar w:left="1440" w:top="1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9019"/>
          </w:cols>
          <w:pgMar w:left="1440" w:top="1375" w:right="1440" w:bottom="1440" w:gutter="0" w:footer="0" w:header="0"/>
          <w:type w:val="continuous"/>
        </w:sectPr>
      </w:pPr>
    </w:p>
    <w:bookmarkStart w:id="108" w:name="page109"/>
    <w:bookmarkEnd w:id="108"/>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Below Investment Grade or Non-rated Bonds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Bonds at book/adjusted carrying value that were below investment grade (NAIC 3-6) or not rated by an independent rating agency totaled $40 million and $33 million at March 31, 2024 (unaudited) and December 31, 2023, respectively.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Non-Income Producing Bonds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did not hold any non-income producing bonds at March 31, 2024 (unaudited) and December 31, 2023.</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Subprime Mortgage Related Risk Exposure</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While there is no market standard definition, the Company defines subprime mortgage lending as the origination of residential mortgage loans to borrowers with weak credit profiles. The Company’s exposure to subprime mortgage loans exists through investments in subprime RMBS. The subprime RMBS portfolios are performing within expectations. The Company continues to closely monitor the performance of the subprime RMBS portfolio and the credit quality of the underlying assets. At both March 31, 2024 (unaudited) and December 31, 2023, the Company had direct exposure to bonds backed by subprime mortgage loans with a book/adjusted carrying value of $13 million.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GUARANTEES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Variable Products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Certain of the Company’s variable annuity products include guaranteed benefit riders. These include guaranteed minimum death benefit riders (“GMDB”), guaranteed minimum income benefit riders (“GMIB”), guaranteed minimum withdrawal benefit riders (“GMWB”) and guaranteed minimum accumulation benefit riders (“GMAB”).</w:t>
      </w:r>
    </w:p>
    <w:p>
      <w:pPr>
        <w:spacing w:after="0" w:line="72"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GMDBs provide a death benefit if the account value is less than a specified amount. GMIBs provide a guaranteed minimum level of annuity payments regardless of performance. GMWBs guarantee monthly, quarterly or annual income until the guaranteed withdrawal amount is paid back; only GMWBs with life contingencies guarantee a lifetime of income. The GMAB option guarantees that after 10 years the account balance will not be less than the guaranteed accumulation amount which equals a percentage of initial purchase payments, where the percentage varies by fund selected, reduced proportionately for withdrawals.</w:t>
      </w:r>
    </w:p>
    <w:p>
      <w:pPr>
        <w:spacing w:after="0" w:line="7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Periods of significant and sustained downturns in equity markets, increased equity volatility, or reduced interest rates could result in an increase in the valuation of the liabilities associated with such products, resulting in a reduction to net income. The Company uses reinsurance to mitigate the liability exposure and the volatility of net income associated with these liabilities, and while management believes that these and other actions have mitigated the risks related to these benefits, it remains liable for the guaranteed benefits in the event that reinsurers are unable or unwilling to pay.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Liquidity refers to a company’s ability to generate adequate amounts of cash to meet its needs. The Company’s short-term liquidity position is defined as cash, cash equivalents and short-term investments, totaling $210 million and $242 million at March 31, 2024 (unaudited) and December 31, 2023, respectively. Asset mix and maturities are adjusted based on forecast and the portfolio of assets is monitored daily. Cash flow testing and stress testing provide additional perspectives on liquidity, which include various scenarios of the potential risk of early contract holder and policyholder withdrawal. The Company includes provisions limiting withdrawal rights on many of its products. Certain of these provisions prevent the customer from making withdrawals prior to the maturity date of the product. In the event of significant cash requirements beyond anticipated liquidity needs, the Company has various alternatives available depending on market conditions and the amount and timing of the liquidity need. These options include cash flows from operations, the sale of liquid assets, borrowings from Brighthouse Financial or other affiliates and capital contributions from Brighthouse Insurance.</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Under certain stressful market and economic conditions, the Company’s access to liquidity may deteriorate, or the cost to access liquidity may increase. If the Company requires significant amounts of cash on short notice in excess of anticipated cash requirements or is required to post or return cash collateral in connection with the Company’s securities lending program, the Company may have difficulty selling investment assets in a timely manner, be forced to sell them for less than the Company otherwise would have been able to realize, or both. In addition, in the event of such forced sale, accounting guidance requires the recognition of a loss for certain securities in an unrealized loss position and may require the impairment of other securities if there is a need to sell such securities, which may negatively impact the Company’s financial condition.</w:t>
      </w:r>
    </w:p>
    <w:p>
      <w:pPr>
        <w:sectPr>
          <w:pgSz w:w="11900" w:h="16838" w:orient="portrait"/>
          <w:cols w:equalWidth="0" w:num="1">
            <w:col w:w="9019"/>
          </w:cols>
          <w:pgMar w:left="1440" w:top="1373" w:right="1440" w:bottom="785" w:gutter="0" w:footer="0" w:header="0"/>
        </w:sectPr>
      </w:pPr>
    </w:p>
    <w:p>
      <w:pPr>
        <w:spacing w:after="0" w:line="27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9019"/>
          </w:cols>
          <w:pgMar w:left="1440" w:top="1373" w:right="1440" w:bottom="785" w:gutter="0" w:footer="0" w:header="0"/>
          <w:type w:val="continuous"/>
        </w:sectPr>
      </w:pPr>
    </w:p>
    <w:bookmarkStart w:id="109" w:name="page110"/>
    <w:bookmarkEnd w:id="109"/>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Company’s assets are actively managed using an approach that balances quality, diversification, asset/liability matching, liquidity, concentration and investment return. The goal of the investment process is to maximize distributable earnings, subject to constraints such as operating income, capital gains/loss and required capital. The Asset/Liability Management (“ALM”) process is carried out by the ALM Working Groups. The ALM Working Groups are comprised of representatives from key business departments such as Treasury/Finance, Investments, Risk Management, and Product and are governed by the Balance Sheet Committee (“BSC”), a senior management committee established to oversee the capital and liquidity management process. The ALM Working Groups’ duties include developing, reviewing and approving the ALM investment guidelines and ALM driven investment strategies, policies and practices, subject to constraints provided by and oversight of the BSC. The BSC oversees liquidity management and has established a Liquidity Working Group with representatives from Treasury/Finance, Investments, Risk Management and Product.</w:t>
      </w:r>
    </w:p>
    <w:p>
      <w:pPr>
        <w:spacing w:after="0" w:line="9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Management establishes target asset portfolios for each major insurance product, which represent the investment strategies used to profitably fund its liabilities within acceptable levels of risk. These strategies are monitored through regular review of portfolio metrics, such as effective duration, yield curve sensitivity, convexity, liquidity, asset sector concentration and credit quality by the ALM Working Groups.</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Company’s individual insurance products tend to behave differently under volatile market conditions. In the Company’s individual insurance products, which include individual life insurance and annuity products, lapses and surrenders occur in the normal course of business in many product areas. These lapses and surrenders have not deviated materially from management’s expectations.</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Based upon the strength of the Company’s capital and surplus position, management continues to believe it has adequate liquidity to meet business requirements under current market conditions and unlikely but reasonably possible stress scenarios.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As part of the capital management process the BSC oversees the investment strategy, the Company’s capital position relative to capital objectives, hedging strategy, and the identification, measurement, and management of all material financial risks of the firm. The scope includes, credit, market, insurance, and liquidity risk, as well as capital adequacy, and the potential impact to credit ratings and investor perceptions. Franchise risks related to reputation, regulatory or legal risks, including those impacted by new product or market activities, counterparty exposures, or use of complex financial transactions are also in scope for this Committee. The Committee is comprised of members of senior management, including the Brighthouse Chief Executive Officer, the Chief Financial Officer, Chief Investment Officer, and is chaired by the Chief Risk Officer. The Head of Operational Risk manages the Committee. The BSC performs ongoing reviews of capital adequacy and liquidity processes and periodically reviews the Capital Contingency Plan.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has 200,000 shares of common stock authorized, issued and outstanding, with a par value of $10 per share.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2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Under New York State Insurance Law, the Company, without prior insurance regulatory clearance, can pay stockholder dividends to Brighthouse Insurance in any calendar year based on either of two standards. Under one standard, the Company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the Company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the Company may, without prior insurance regulatory clearance, pay an amount up to the lesser of:</w:t>
      </w:r>
    </w:p>
    <w:p>
      <w:pPr>
        <w:spacing w:after="0" w:line="2" w:lineRule="exact"/>
        <w:rPr>
          <w:sz w:val="20"/>
          <w:szCs w:val="20"/>
          <w:color w:val="auto"/>
        </w:rPr>
      </w:pPr>
    </w:p>
    <w:p>
      <w:pPr>
        <w:jc w:val="both"/>
        <w:ind w:left="120" w:right="659" w:hanging="8"/>
        <w:spacing w:after="0" w:line="252" w:lineRule="auto"/>
        <w:tabs>
          <w:tab w:leader="none" w:pos="3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its surplus to policyholders as of the end of the immediately preceding calendar year, or (ii) its statutory net gain from operations for the immediately preceding calendar year (excluding realized capital gains). In addition, the Company will be permitted to pay a dividend to Brighthouse Insurance in excess of the amounts allowed under both standards only if it files notice of its intention to declare such a dividend and the amount thereof with the New York Superintendent of Financial Services (the “Superintendent”) and the Superintendent either approves the distribution of the dividend or does not disapprove the dividend within 30 days of its filing.</w:t>
      </w:r>
    </w:p>
    <w:p>
      <w:pPr>
        <w:sectPr>
          <w:pgSz w:w="11900" w:h="16838" w:orient="portrait"/>
          <w:cols w:equalWidth="0" w:num="1">
            <w:col w:w="9019"/>
          </w:cols>
          <w:pgMar w:left="1440" w:top="1377" w:right="1440" w:bottom="1440" w:gutter="0" w:footer="0" w:header="0"/>
        </w:sectPr>
      </w:pPr>
    </w:p>
    <w:p>
      <w:pPr>
        <w:spacing w:after="0" w:line="2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9019"/>
          </w:cols>
          <w:pgMar w:left="1440" w:top="1377" w:right="1440" w:bottom="1440" w:gutter="0" w:footer="0" w:header="0"/>
          <w:type w:val="continuous"/>
        </w:sectPr>
      </w:pPr>
    </w:p>
    <w:bookmarkStart w:id="110" w:name="page111"/>
    <w:bookmarkEnd w:id="110"/>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RBC</w:t>
      </w:r>
    </w:p>
    <w:p>
      <w:pPr>
        <w:spacing w:after="0" w:line="13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New York imposes RBC requirements that were developed by the NAIC. Such requirements are used by regulators to assess the minimum amount of statutory capital and surplus needed for an insurance company to support its operations, based on its size and risk profile (referred to as “company action level RBC”). RBC is based on statutory financial statements and is calculated in a manner prescribed by the NAIC. The RBC ratio, which is the basis for determining regulatory compliance, is equal to total adjusted capital (“TAC”) divided by the applicable company action level RBC. Companies below 100% of their company action level RBC and whose TAC does not exceed certain RBC levels are subject to corrective action.</w:t>
      </w:r>
    </w:p>
    <w:p>
      <w:pPr>
        <w:spacing w:after="0" w:line="8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New York imposes broad confidentiality requirements on those engaged in the insurance business (including insurers, agents, brokers and others) and on the Department as to the use and publication of RBC data.</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Insolvency Assessments</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New York, the only jurisdiction in which the Company is admitted to transact business, requires life insurers doing business within the jurisdiction to participate in the New York Life Insurance Guaranty Corporation, which is organized to pay contractual benefits owed pursuant to insurance policies issued by impaired, insolvent or failed life insurers. This corporation levies assessments, up to prescribed limits, on all member insurers in the state on the basis of: 1) the proportionate share of the New York premiums written by member insurers in the lines of business in which the impaired, insolvent or failed insurer engaged and 2) the proportionate share of New York assets held by member insurers. The corporation permits member insurers to recover a limited portion of assessments paid through premium tax offsets.</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change in the guaranty asset balance reflects estimated premium tax offsets for Executive Life of New York based on revised estimated cost information provided by The National Organization of Life and Health Guaranty Associations. A rollforward of the assets recognized from paid and accrued premium tax offsets had an ending balance of less than $1 million for the quarter ended March 31, 2024 (unaudited).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Ratings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Insurer financial strength ratings represent the opinions of rating agencies, including A.M. Best Company (“A.M. Best”), Fitch Ratings (“Fitch”), Moody’s and S&amp;P, regarding the ability of an insurance company to meet its financial obligations to policyholders and contract 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Rating Stability Indicators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Rating agencies use an “outlook statement” of “positive,” “stable,” ‘‘negative’’ or “developing” to indicate a medium- or long-term trend in credit fundamentals which, if continued, may lead to a rating change. A rating may have a “stable” outlook to indicate that the rating is not expected to change; however, a “stable” rating does not preclude a rating agency from changing a rating at any time, without notice. Certain rating agencies assign rating modifiers such as “CreditWatch” or “under review” to indicate their opinion regarding the potential direction of a rating. These ratings modifiers are generally assigned in connection with certain events such as potential mergers, acquisitions, dispositions or material changes in a company’s results, in order for the rating agency to perform its analysis to fully determine the rating implications of the event.</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foregoing insurer financial strength ratings represents each rating agency’s opinion of the Company’s ability to pay obligations under insurance policies and contracts in accordance with their terms and are not evaluations directed toward the protection of investors in Brighthouse’s securities. Insurer financial strength ratings are not statements of fact nor are they recommendations to purchase, hold or sell any security, contract or policy. Each rating should be evaluated independently of any other rating.</w:t>
      </w:r>
    </w:p>
    <w:p>
      <w:pPr>
        <w:spacing w:after="0" w:line="7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Downgrades in the Company’s financial strength ratings or changes to rating outlooks could have a material adverse effect on the Company’s financial condition and results of operations in many ways, including:</w:t>
      </w:r>
    </w:p>
    <w:p>
      <w:pPr>
        <w:spacing w:after="0" w:line="54" w:lineRule="exact"/>
        <w:rPr>
          <w:sz w:val="20"/>
          <w:szCs w:val="20"/>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new sales of insurance products and annuity products;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the Company’s relationships with independent sales intermediaries;</w:t>
      </w:r>
    </w:p>
    <w:p>
      <w:pPr>
        <w:spacing w:after="0" w:line="117" w:lineRule="exact"/>
        <w:rPr>
          <w:rFonts w:ascii="Times New Roman" w:cs="Times New Roman" w:eastAsia="Times New Roman" w:hAnsi="Times New Roman"/>
          <w:sz w:val="18"/>
          <w:szCs w:val="18"/>
          <w:color w:val="auto"/>
        </w:rPr>
      </w:pPr>
    </w:p>
    <w:p>
      <w:pPr>
        <w:ind w:left="680" w:right="1519" w:hanging="208"/>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or amount of policy surrenders and withdrawals by contract holders and policyholders;</w:t>
      </w:r>
    </w:p>
    <w:p>
      <w:pPr>
        <w:spacing w:after="0" w:line="53"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reduce prices for many of the products and services to remain competitive;</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for the benefit of the Company’s derivative instrument counterparties;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to cedents under assumed reinsurance contracts;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the Company’s ability to obtain reinsurance at reasonable prices, if at all; and</w:t>
      </w:r>
    </w:p>
    <w:p>
      <w:pPr>
        <w:sectPr>
          <w:pgSz w:w="11900" w:h="16838" w:orient="portrait"/>
          <w:cols w:equalWidth="0" w:num="1">
            <w:col w:w="9019"/>
          </w:cols>
          <w:pgMar w:left="1440" w:top="1373" w:right="1440" w:bottom="1078" w:gutter="0" w:footer="0" w:header="0"/>
        </w:sectPr>
      </w:pPr>
    </w:p>
    <w:p>
      <w:pPr>
        <w:spacing w:after="0" w:line="29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9019"/>
          </w:cols>
          <w:pgMar w:left="1440" w:top="1373" w:right="1440" w:bottom="1078" w:gutter="0" w:footer="0" w:header="0"/>
          <w:type w:val="continuous"/>
        </w:sectPr>
      </w:pPr>
    </w:p>
    <w:bookmarkStart w:id="111" w:name="page112"/>
    <w:bookmarkEnd w:id="111"/>
    <w:p>
      <w:pPr>
        <w:ind w:left="480"/>
        <w:spacing w:after="0"/>
        <w:tabs>
          <w:tab w:leader="none" w:pos="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7"/>
          <w:szCs w:val="17"/>
          <w:color w:val="auto"/>
        </w:rPr>
        <w:t>subjecting the Company to potentially increased regulatory scrutiny.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Exposure</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manages its credit risk related to derivatives by entering into transactions with creditworthy counterparties and establishing and monitoring exposure limits. The Company’s OTC derivative transactions are governed by International Swaps and Derivatives Association, Inc.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set-off receivables from the counterparty against payables to the same counterparty arising out of all included transactions. All of the Company’s ISDA Master Agreements also include Credit Support Annex provisions which may require both the pledging and accepting of collateral in connection with its OTC derivatives.</w:t>
      </w:r>
    </w:p>
    <w:p>
      <w:pPr>
        <w:spacing w:after="0" w:line="80"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Off-balance sheet credit exposure is the excess of positive estimated fair value over positive book/adjusted carrying value for the Company’s highly effective hedges at the reporting date. All collateral received from counterparties to mitigate credit-related losses is deemed worthless for the purpose of calculating the Company’s off-balance sheet credit exposure. The off-balance sheet credit exposure of the Company’s foreign currency swaps was $3 million at both March 31, 2024 (unaudited) and December 31, 2023.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affiliates and third parties pursuant to which it may be required to make payments now or in the future. In the context of acquisition, disposition, investment and other transactions, the Company has provided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while in other cases such limitations are not specified or applicable. Since certain of these obligations are not subject to limitations, management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management does not believe that it is possible to determine the maximum potential amount that could become due under these indemnities in the future.</w:t>
      </w:r>
    </w:p>
    <w:p>
      <w:pPr>
        <w:spacing w:after="0" w:line="75"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liability for indemnities, guarantees and commitments at either March 31, 2024 (unaudited) or December 31, 2023.</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Management believes that these arrangements will not place significant demands upon the Company’s liquidity resources.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OUTLOOK</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Management intends to continue its existing strategy of achieving consistent operating results through sales of profitable insurance products while effectively paying claims and controlling the Company’s expenses with the goal of maintaining its capital position and an appropriate RBC ratio.</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are made based upon management’s current expectations and beliefs concerning future developments and their potential effects on the Company. Such forward-looking statements are not guarantees of future performance.</w:t>
      </w:r>
    </w:p>
    <w:p>
      <w:pPr>
        <w:sectPr>
          <w:pgSz w:w="11900" w:h="16838" w:orient="portrait"/>
          <w:cols w:equalWidth="0" w:num="1">
            <w:col w:w="9019"/>
          </w:cols>
          <w:pgMar w:left="1440" w:top="1377" w:right="1440" w:bottom="1440" w:gutter="0" w:footer="0" w:header="0"/>
        </w:sectPr>
      </w:pPr>
    </w:p>
    <w:p>
      <w:pPr>
        <w:spacing w:after="0" w:line="2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9019"/>
          </w:cols>
          <w:pgMar w:left="1440" w:top="1377" w:right="1440" w:bottom="1440" w:gutter="0" w:footer="0" w:header="0"/>
          <w:type w:val="continuous"/>
        </w:sectPr>
      </w:pPr>
    </w:p>
    <w:bookmarkStart w:id="112" w:name="page113"/>
    <w:bookmarkEnd w:id="112"/>
    <w:p>
      <w:pPr>
        <w:ind w:left="120" w:right="4239"/>
        <w:spacing w:after="0" w:line="38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Quantitative and Qualitative Disclosures About Market Risk </w:t>
      </w:r>
      <w:r>
        <w:rPr>
          <w:rFonts w:ascii="Times New Roman" w:cs="Times New Roman" w:eastAsia="Times New Roman" w:hAnsi="Times New Roman"/>
          <w:sz w:val="18"/>
          <w:szCs w:val="18"/>
          <w:b w:val="1"/>
          <w:bCs w:val="1"/>
          <w:i w:val="1"/>
          <w:iCs w:val="1"/>
          <w:color w:val="auto"/>
        </w:rPr>
        <w:t>Risk Management</w:t>
      </w:r>
    </w:p>
    <w:p>
      <w:pPr>
        <w:spacing w:after="0" w:line="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have an integrated process for managing risk exposures, which is coordinated among our Risk Management, Finance and Investment Departments. The process is designed to assess and manage exposures on a company-wide basis. The Brighthouse Financial Balance Sheet Committee (“BSC”) is responsible for periodically reviewing all material financial risks to us and, in the event risks exceed desired tolerances, informs the Finance and Risk Committee of the Board of Directors of Brighthouse Financial, Inc.,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Brighthouse Financial’s senior management: Chief Executive Officer, Chief Risk Officer, Chief Financial Officer, Chief Investment Officer and Head of Product Strategy and Pricing.</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significant market risk management practices include, but are not limited to, the following:</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Interest Rate Risk</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manage interest rate risk as part of our asset and liability management strategies, which include</w:t>
      </w:r>
    </w:p>
    <w:p>
      <w:pPr>
        <w:spacing w:after="0" w:line="27" w:lineRule="exact"/>
        <w:rPr>
          <w:sz w:val="20"/>
          <w:szCs w:val="20"/>
          <w:color w:val="auto"/>
        </w:rPr>
      </w:pPr>
    </w:p>
    <w:p>
      <w:pPr>
        <w:jc w:val="both"/>
        <w:ind w:left="120" w:right="639" w:hanging="8"/>
        <w:spacing w:after="0" w:line="251" w:lineRule="auto"/>
        <w:tabs>
          <w:tab w:leader="none" w:pos="3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investment portfolio that has a weighted average duration approximately equal to the duration of our estimated liability cash flow profile, (ii) employing reinsurance strategies and (iii) maintaining hedging programs. For certain of our liability portfolios, it is not possible to invest assets to the full liability duration, thereby creating some asset/liability mismatch. Where a liability cash flow may exceed the maturity of available assets, as is the case with certain life insurance and annuity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which would adversely affect our financial condition and results of operations.</w:t>
      </w:r>
    </w:p>
    <w:p>
      <w:pPr>
        <w:spacing w:after="0" w:line="8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We also employ product design and pricing strategies to mitigate the potential effects of interest rate movements. These strategies include the use of surrender charges market value adjustment features or restrictions on withdrawals, and for certain products, the ability to reset crediting rates.</w:t>
      </w:r>
    </w:p>
    <w:p>
      <w:pPr>
        <w:spacing w:after="0" w:line="68"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86"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Equity Market and Foreign Currency Risks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manage equity market risk in a coordinated process across our Risk Management, Investment and Finance Departments primarily through the use of reinsurance strategies to manage these exposures. We also use derivatives to hedge losses, which may be temporary, from changes in equity markets and interest rates without adversely affecting our financial strength ratings. In addition, we employ product design strategies to mitigate the effect of changes in equity markets such as prioritizing products that provide a risk offset and diversification to our legacy variable products.</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ectPr>
          <w:pgSz w:w="11900" w:h="16838" w:orient="portrait"/>
          <w:cols w:equalWidth="0" w:num="1">
            <w:col w:w="9019"/>
          </w:cols>
          <w:pgMar w:left="1440" w:top="1373" w:right="1440" w:bottom="866" w:gutter="0" w:footer="0" w:header="0"/>
        </w:sectPr>
      </w:pPr>
    </w:p>
    <w:p>
      <w:pPr>
        <w:spacing w:after="0" w:line="25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9019"/>
          </w:cols>
          <w:pgMar w:left="1440" w:top="1373" w:right="1440" w:bottom="866" w:gutter="0" w:footer="0" w:header="0"/>
          <w:type w:val="continuous"/>
        </w:sectPr>
      </w:pPr>
    </w:p>
    <w:bookmarkStart w:id="113" w:name="page114"/>
    <w:bookmarkEnd w:id="113"/>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Market Risk - Fair Value Exposures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investment activities in both our general account and guaranteed separate account.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for additional disclosure regarding our market risk and related sensitivities.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Our fair value exposure to changes in interest rates arises most significantly from our holdings of fixed maturity securities, mortgage loans and derivatives, which are held in our general account and guaranteed separate account and used to support our policyholder liabilities. To a lesser extent, we also have fair value exposure to changes in interest rates related to our interest rate sensitive liabilities including fixed-rate and index-linked annuity contracts and variable annuity guarantees. Our fixed maturity securities including U.S. and foreign government bonds, securities issued by government agencies, corporate bonds, mortgage-backed and other ABS, and our commercial, agricultural and residential mortgage loans, are exposed to changes in interest rates. We also use reinsurance strategies and derivatives including swaps, caps, floors, forwards and options to mitigate the exposure related to interest rate risks from our product liabilities.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Market</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We have fair value exposure to equity market risk through index-linked annuities that allow the policyholder to participate in returns from equity indices and have a specified level of market downside protection, and variable annuities with long-term guarantees on equity performance. In addition, we have exposure to equity markets through derivatives including options and swaps that we enter into to mitigate potential equity market exposure from our product liabilities. The Company reinsures its variable and index-linked annuities, which substantially migrate our exposure to equity market risk.</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Our fair value exposure to fluctuations in foreign currency exchange rates against the U.S. dollar results from our holdings in non-U.S. dollar denominated fixed maturity securities and mortgage loans. The principal currencies that create foreign currency exchange rate risk in our investment portfolios and liabilities are the Euro and the British pound. We economically hedge substantially all of our foreign currency exposure.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Measurement: Sensitivity Analysis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the following discussion and analysis, we measure market risk related to our market sensitive assets and liabilities based on changes in interest rates. This analysis estimates the potential changes in estimated fair value based on a hypothetical 100 basis point change (increase or decrease) in interest rates. We believe that these changes in interest rates are reasonably possible in the near-term. In performing the analysis summarized below, we used interest rates as of December 31, 2023.</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68" w:lineRule="exact"/>
        <w:rPr>
          <w:sz w:val="20"/>
          <w:szCs w:val="20"/>
          <w:color w:val="auto"/>
        </w:rPr>
      </w:pPr>
    </w:p>
    <w:p>
      <w:pPr>
        <w:jc w:val="both"/>
        <w:ind w:left="680" w:right="739" w:hanging="208"/>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sensitive liabilities do not include $931 million of insurance contracts at December 31, 2023. Management believes that the changes in the economic value of those contracts under changing interest rates would offset a significant portion of the fair value changes of interest sensitive assets;</w:t>
      </w:r>
    </w:p>
    <w:p>
      <w:pPr>
        <w:spacing w:after="0" w:line="67" w:lineRule="exact"/>
        <w:rPr>
          <w:rFonts w:ascii="Times New Roman" w:cs="Times New Roman" w:eastAsia="Times New Roman" w:hAnsi="Times New Roman"/>
          <w:sz w:val="18"/>
          <w:szCs w:val="18"/>
          <w:color w:val="auto"/>
        </w:rPr>
      </w:pPr>
    </w:p>
    <w:p>
      <w:pPr>
        <w:ind w:left="680" w:right="739" w:hanging="208"/>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risk information is limited by the assumptions and parameters established in creating the related sensitivity analysis, including the impact of prepayment rates on mortgage loans;</w:t>
      </w:r>
    </w:p>
    <w:p>
      <w:pPr>
        <w:spacing w:after="0" w:line="53" w:lineRule="exact"/>
        <w:rPr>
          <w:rFonts w:ascii="Times New Roman" w:cs="Times New Roman" w:eastAsia="Times New Roman" w:hAnsi="Times New Roman"/>
          <w:sz w:val="18"/>
          <w:szCs w:val="18"/>
          <w:color w:val="auto"/>
        </w:rPr>
      </w:pPr>
    </w:p>
    <w:p>
      <w:pPr>
        <w:ind w:left="680" w:right="1239" w:hanging="208"/>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assumes that the composition of assets and liabilities remains unchanged throughout the period.</w:t>
      </w:r>
    </w:p>
    <w:p>
      <w:pPr>
        <w:spacing w:after="0" w:line="54"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Accordingly, we use such models as tools and not as substitutes for the experience and judgment of our management.</w:t>
      </w:r>
    </w:p>
    <w:p>
      <w:pPr>
        <w:sectPr>
          <w:pgSz w:w="11900" w:h="16838" w:orient="portrait"/>
          <w:cols w:equalWidth="0" w:num="1">
            <w:col w:w="9019"/>
          </w:cols>
          <w:pgMar w:left="1440" w:top="1373" w:right="1440" w:bottom="1440" w:gutter="0" w:footer="0" w:header="0"/>
        </w:sectPr>
      </w:pPr>
    </w:p>
    <w:p>
      <w:pPr>
        <w:spacing w:after="0" w:line="24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9019"/>
          </w:cols>
          <w:pgMar w:left="1440" w:top="1373" w:right="1440" w:bottom="1440" w:gutter="0" w:footer="0" w:header="0"/>
          <w:type w:val="continuous"/>
        </w:sectPr>
      </w:pPr>
    </w:p>
    <w:bookmarkStart w:id="114" w:name="page115"/>
    <w:bookmarkEnd w:id="114"/>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The potential loss in the estimated fair value of our interest rate sensitive financial instruments due to a 100 basis point increase in the yield curve by type of asset and liability held in our general account and guaranteed separate account was as follows at:</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8"/>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100 Basis</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Point Increase</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6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Yield Curve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7"/>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2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with interest rate risk</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54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4,948</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54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c>
          <w:tcPr>
            <w:tcW w:w="300" w:type="dxa"/>
            <w:vAlign w:val="bottom"/>
            <w:gridSpan w:val="2"/>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(decrease) in estimated fair value of assets</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 instruments with interest rate risk</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contracts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$ 800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Equity contracts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$ 874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$ 173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(decrease) in estimated fair value of derivative instruments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116205</wp:posOffset>
            </wp:positionV>
            <wp:extent cx="728345"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345" cy="50800"/>
                    </a:xfrm>
                    <a:prstGeom prst="rect">
                      <a:avLst/>
                    </a:prstGeom>
                    <a:noFill/>
                  </pic:spPr>
                </pic:pic>
              </a:graphicData>
            </a:graphic>
          </wp:anchor>
        </w:drawing>
      </w:r>
    </w:p>
    <w:p>
      <w:pPr>
        <w:spacing w:after="0" w:line="232" w:lineRule="exact"/>
        <w:rPr>
          <w:sz w:val="20"/>
          <w:szCs w:val="20"/>
          <w:color w:val="auto"/>
        </w:rPr>
      </w:pPr>
    </w:p>
    <w:p>
      <w:pPr>
        <w:jc w:val="both"/>
        <w:ind w:left="480" w:right="739" w:hanging="368"/>
        <w:spacing w:after="0" w:line="242" w:lineRule="auto"/>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held in both the general account and guaranteed separate account supporting our index-linked annuity contracts. Other separate account assets, which are interest rate sensitive, are not included herein as any interest rate risk is borne by the contract holder.</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9019"/>
          </w:cols>
          <w:pgMar w:left="1440" w:top="1377" w:right="1440" w:bottom="1440" w:gutter="0" w:footer="0" w:header="0"/>
          <w:type w:val="continuous"/>
        </w:sectPr>
      </w:pPr>
    </w:p>
    <w:bookmarkStart w:id="115" w:name="page116"/>
    <w:bookmarkEnd w:id="115"/>
    <w:p>
      <w:pPr>
        <w:ind w:left="120" w:right="2339" w:firstLine="1693"/>
        <w:spacing w:after="0" w:line="41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FINANCIAL STATEMENTS AND SUPPLEMENTARY DATA Index to Financial </w:t>
      </w:r>
      <w:r>
        <w:rPr>
          <w:rFonts w:ascii="Times New Roman" w:cs="Times New Roman" w:eastAsia="Times New Roman" w:hAnsi="Times New Roman"/>
          <w:sz w:val="18"/>
          <w:szCs w:val="18"/>
          <w:color w:val="auto"/>
        </w:rPr>
        <w:t>Statements</w:t>
      </w:r>
      <w:r>
        <w:rPr>
          <w:rFonts w:ascii="Times New Roman" w:cs="Times New Roman" w:eastAsia="Times New Roman" w:hAnsi="Times New Roman"/>
          <w:sz w:val="18"/>
          <w:szCs w:val="18"/>
          <w:b w:val="1"/>
          <w:bCs w:val="1"/>
          <w:color w:val="auto"/>
        </w:rPr>
        <w:t>, Notes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5426075"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Statements at December 31, 2023 and 2022 and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of Admitted Assets, Liabilities and Capital and Surplus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of Operations and Changes in Capital and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26075" cy="18034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 — Business, Basis of Presentation and Summary of Significant Accounting Policies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2 — Fair Value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3 — Investments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4 — Related Party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80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26075" cy="180340"/>
                    </a:xfrm>
                    <a:prstGeom prst="rect">
                      <a:avLst/>
                    </a:prstGeom>
                    <a:noFill/>
                  </pic:spPr>
                </pic:pic>
              </a:graphicData>
            </a:graphic>
          </wp:anchor>
        </w:drawing>
      </w:r>
    </w:p>
    <w:p>
      <w:pPr>
        <w:spacing w:after="0" w:line="57" w:lineRule="exact"/>
        <w:rPr>
          <w:sz w:val="20"/>
          <w:szCs w:val="20"/>
          <w:color w:val="auto"/>
        </w:rPr>
      </w:pPr>
    </w:p>
    <w:p>
      <w:pPr>
        <w:ind w:left="120" w:right="3519"/>
        <w:spacing w:after="0" w:line="328" w:lineRule="auto"/>
        <w:rPr>
          <w:sz w:val="20"/>
          <w:szCs w:val="20"/>
          <w:color w:val="auto"/>
        </w:rPr>
      </w:pPr>
      <w:r>
        <w:rPr>
          <w:rFonts w:ascii="Times New Roman" w:cs="Times New Roman" w:eastAsia="Times New Roman" w:hAnsi="Times New Roman"/>
          <w:sz w:val="18"/>
          <w:szCs w:val="18"/>
          <w:color w:val="auto"/>
        </w:rPr>
        <w:t>Note 5 — Premium and Annuity Considerations Deferred and Uncollected Note 6 — Reinsurance and Other Insurance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542607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Note 7 — Reserves for Life Contracts and Deposit-Type Contracts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8 — Analysis of Actuarial Reserves and Deposit Liabilities by Withdrawal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9 — Separate Accounts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10 —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11 — Borrowed Money</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12 — Capital and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13 — Other Commitments and Contingencies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14 — Retained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5426075"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26075" cy="18034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77" w:lineRule="exact"/>
        <w:rPr>
          <w:sz w:val="20"/>
          <w:szCs w:val="20"/>
          <w:color w:val="auto"/>
        </w:rPr>
      </w:pPr>
    </w:p>
    <w:p>
      <w:pPr>
        <w:ind w:left="300" w:right="359" w:hanging="179"/>
        <w:spacing w:after="0" w:line="237" w:lineRule="auto"/>
        <w:rPr>
          <w:sz w:val="20"/>
          <w:szCs w:val="20"/>
          <w:color w:val="auto"/>
        </w:rPr>
      </w:pPr>
      <w:r>
        <w:rPr>
          <w:rFonts w:ascii="Times New Roman" w:cs="Times New Roman" w:eastAsia="Times New Roman" w:hAnsi="Times New Roman"/>
          <w:sz w:val="18"/>
          <w:szCs w:val="18"/>
          <w:color w:val="auto"/>
        </w:rPr>
        <w:t>Financial Statement Schedules at December 31, 2023 and 2022 and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5426075"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26075" cy="179705"/>
                    </a:xfrm>
                    <a:prstGeom prst="rect">
                      <a:avLst/>
                    </a:prstGeom>
                    <a:noFill/>
                  </pic:spPr>
                </pic:pic>
              </a:graphicData>
            </a:graphic>
          </wp:anchor>
        </w:drawing>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Schedule I — Statutory Selected Financial Data</w:t>
      </w:r>
    </w:p>
    <w:p>
      <w:pPr>
        <w:spacing w:after="0" w:line="77" w:lineRule="exact"/>
        <w:rPr>
          <w:sz w:val="20"/>
          <w:szCs w:val="20"/>
          <w:color w:val="auto"/>
        </w:rPr>
      </w:pPr>
    </w:p>
    <w:p>
      <w:pPr>
        <w:ind w:left="120" w:right="4239"/>
        <w:spacing w:after="0" w:line="371" w:lineRule="auto"/>
        <w:rPr>
          <w:sz w:val="20"/>
          <w:szCs w:val="20"/>
          <w:color w:val="auto"/>
        </w:rPr>
      </w:pPr>
      <w:r>
        <w:rPr>
          <w:rFonts w:ascii="Times New Roman" w:cs="Times New Roman" w:eastAsia="Times New Roman" w:hAnsi="Times New Roman"/>
          <w:sz w:val="17"/>
          <w:szCs w:val="17"/>
          <w:color w:val="auto"/>
        </w:rPr>
        <w:t>Schedule II — Supplemental Investment Risks Interrogatories Schedule III — Statutory Summary Investment Schedule Schedule IV — Reinsurance contracts with risk-limiting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-408940</wp:posOffset>
            </wp:positionV>
            <wp:extent cx="5426075" cy="180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26075" cy="180340"/>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9019"/>
          </w:cols>
          <w:pgMar w:left="1440" w:top="1373" w:right="1440" w:bottom="1440" w:gutter="0" w:footer="0" w:header="0"/>
          <w:type w:val="continuous"/>
        </w:sectPr>
      </w:pPr>
    </w:p>
    <w:bookmarkStart w:id="116" w:name="page117"/>
    <w:bookmarkEnd w:id="11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INDEPENDENT AUDITOR’S REPORT</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Brighthouse Life Insurance Company of NY: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Opinions</w:t>
      </w:r>
    </w:p>
    <w:p>
      <w:pPr>
        <w:spacing w:after="0" w:line="121" w:lineRule="exact"/>
        <w:rPr>
          <w:sz w:val="20"/>
          <w:szCs w:val="20"/>
          <w:color w:val="auto"/>
        </w:rPr>
      </w:pPr>
    </w:p>
    <w:p>
      <w:pPr>
        <w:jc w:val="both"/>
        <w:ind w:left="120" w:right="639"/>
        <w:spacing w:after="0" w:line="258" w:lineRule="auto"/>
        <w:rPr>
          <w:sz w:val="20"/>
          <w:szCs w:val="20"/>
          <w:color w:val="auto"/>
        </w:rPr>
      </w:pPr>
      <w:r>
        <w:rPr>
          <w:rFonts w:ascii="Times New Roman" w:cs="Times New Roman" w:eastAsia="Times New Roman" w:hAnsi="Times New Roman"/>
          <w:sz w:val="18"/>
          <w:szCs w:val="18"/>
          <w:color w:val="auto"/>
        </w:rPr>
        <w:t>We have audited the statutory-basis financial statements of Brighthouse Life Insurance Company of NY (the “Company”), which comprise the statutory-basis statements of admitted assets, liabilities and capital and surplus as of December 31, 2023 and 2022, and the related statutory-basis statements of operations, changes in capital and surplus, and cash flow for each of the three years in the period ended December 31, 2023, and the related notes to the statutory-basis financial statements (collectively referred to as the “statutory-basis financial statements”).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Unmodified Opinion on Statutory-Basis of Accounting</w:t>
      </w:r>
    </w:p>
    <w:p>
      <w:pPr>
        <w:spacing w:after="0" w:line="121" w:lineRule="exact"/>
        <w:rPr>
          <w:sz w:val="20"/>
          <w:szCs w:val="20"/>
          <w:color w:val="auto"/>
        </w:rPr>
      </w:pPr>
    </w:p>
    <w:p>
      <w:pPr>
        <w:jc w:val="both"/>
        <w:ind w:left="120" w:right="639"/>
        <w:spacing w:after="0" w:line="258" w:lineRule="auto"/>
        <w:rPr>
          <w:sz w:val="20"/>
          <w:szCs w:val="20"/>
          <w:color w:val="auto"/>
        </w:rPr>
      </w:pPr>
      <w:r>
        <w:rPr>
          <w:rFonts w:ascii="Times New Roman" w:cs="Times New Roman" w:eastAsia="Times New Roman" w:hAnsi="Times New Roman"/>
          <w:sz w:val="18"/>
          <w:szCs w:val="18"/>
          <w:color w:val="auto"/>
        </w:rPr>
        <w:t>In our opinion, the accompanying statutory-basis financial statements present fairly, in all material respects, the admitted assets, liabilities, and capital and surplus of the Company as of December 31, 2023 and 2022, and the results of its operations and its cash flow for each of the three years in the period ended December 31, 2023, in accordance with the accounting practices prescribed or permitted by the New York State Department of Financial Services described in Note 1.</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Adverse Opinion on Accounting Principles Generally Accepted in the United States of America</w:t>
      </w:r>
    </w:p>
    <w:p>
      <w:pPr>
        <w:spacing w:after="0" w:line="121" w:lineRule="exact"/>
        <w:rPr>
          <w:sz w:val="20"/>
          <w:szCs w:val="20"/>
          <w:color w:val="auto"/>
        </w:rPr>
      </w:pPr>
    </w:p>
    <w:p>
      <w:pPr>
        <w:jc w:val="both"/>
        <w:ind w:left="120" w:right="659"/>
        <w:spacing w:after="0" w:line="258" w:lineRule="auto"/>
        <w:rPr>
          <w:sz w:val="20"/>
          <w:szCs w:val="20"/>
          <w:color w:val="auto"/>
        </w:rPr>
      </w:pPr>
      <w:r>
        <w:rPr>
          <w:rFonts w:ascii="Times New Roman" w:cs="Times New Roman" w:eastAsia="Times New Roman" w:hAnsi="Times New Roman"/>
          <w:sz w:val="18"/>
          <w:szCs w:val="18"/>
          <w:color w:val="auto"/>
        </w:rPr>
        <w:t>In our opinion, because of the significance of the matter described in the Basis for Adverse Opinion on Accounting Principles Generally Accepted in the United States of America section of our report, the statutory-basis financial statements do not present fairly, in accordance with accounting principles generally accepted in the United States of America, the financial position of the Company as of December 31, 2023 and 2022, or the results of its operations or its cash flow for each of the three years in the period ended December 31, 2023.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Statutory-Basis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Adverse Opinion on Accounting Principles Generally Accepted in the United States of America</w:t>
      </w:r>
    </w:p>
    <w:p>
      <w:pPr>
        <w:spacing w:after="0" w:line="121" w:lineRule="exact"/>
        <w:rPr>
          <w:sz w:val="20"/>
          <w:szCs w:val="20"/>
          <w:color w:val="auto"/>
        </w:rPr>
      </w:pPr>
    </w:p>
    <w:p>
      <w:pPr>
        <w:jc w:val="both"/>
        <w:ind w:left="120" w:right="639"/>
        <w:spacing w:after="0" w:line="255" w:lineRule="auto"/>
        <w:rPr>
          <w:sz w:val="20"/>
          <w:szCs w:val="20"/>
          <w:color w:val="auto"/>
        </w:rPr>
      </w:pPr>
      <w:r>
        <w:rPr>
          <w:rFonts w:ascii="Times New Roman" w:cs="Times New Roman" w:eastAsia="Times New Roman" w:hAnsi="Times New Roman"/>
          <w:sz w:val="18"/>
          <w:szCs w:val="18"/>
          <w:color w:val="auto"/>
        </w:rPr>
        <w:t>As described in Note 1 to the statutory-basis financial statements, the statutory-basis financial statements are prepared by the Company using the accounting practices prescribed or permitted by the New York State Department of Financial Services, which is a basis of accounting other than accounting principles generally accepted in the United States of America, to meet the requirements of the New York State Department of Financial Services. The effects on the statutory-basis financial statements of the variances between the statutory-basis of accounting described in Note 1 and accounting principles generally accepted in the United States of America, although not reasonably determinable, are presumed to be material and pervasive.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Statutory-Basis Financial Statements</w:t>
      </w:r>
    </w:p>
    <w:p>
      <w:pPr>
        <w:spacing w:after="0" w:line="121" w:lineRule="exact"/>
        <w:rPr>
          <w:sz w:val="20"/>
          <w:szCs w:val="20"/>
          <w:color w:val="auto"/>
        </w:rPr>
      </w:pPr>
    </w:p>
    <w:p>
      <w:pPr>
        <w:jc w:val="both"/>
        <w:ind w:left="120" w:right="659"/>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statutory-basis financial statements in accordance with the accounting practices prescribed or permitted by the New York State Department of Financial Services. Management is also responsible for the design, implementation, and maintenance of internal control relevant to the preparation and fair presentation of statutory-basis financial statements that are free from material misstatement, whether due to fraud or error.</w:t>
      </w:r>
    </w:p>
    <w:p>
      <w:pPr>
        <w:spacing w:after="0" w:line="75"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In preparing the statutory-basis financial statements, management is required to evaluate whether there are conditions or events, considered in the aggregate, that raise substantial doubt about the Company’s ability to continue as a going concern for one year after the date that the statutory-basis financial statements are issued.</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9019"/>
          </w:cols>
          <w:pgMar w:left="1440" w:top="1373" w:right="1440" w:bottom="1440" w:gutter="0" w:footer="0" w:header="0"/>
          <w:type w:val="continuous"/>
        </w:sectPr>
      </w:pPr>
    </w:p>
    <w:bookmarkStart w:id="117" w:name="page118"/>
    <w:bookmarkEnd w:id="11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Auditor’s Responsibilities for the Audit of the Statutory-Basis Financial Statements</w:t>
      </w:r>
    </w:p>
    <w:p>
      <w:pPr>
        <w:spacing w:after="0" w:line="121" w:lineRule="exact"/>
        <w:rPr>
          <w:sz w:val="20"/>
          <w:szCs w:val="20"/>
          <w:color w:val="auto"/>
        </w:rPr>
      </w:pPr>
    </w:p>
    <w:p>
      <w:pPr>
        <w:jc w:val="both"/>
        <w:ind w:left="120" w:right="639"/>
        <w:spacing w:after="0" w:line="254"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statutory-basis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statutory-basis financial statements.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17" w:lineRule="exact"/>
        <w:rPr>
          <w:sz w:val="20"/>
          <w:szCs w:val="20"/>
          <w:color w:val="auto"/>
        </w:rPr>
      </w:pPr>
    </w:p>
    <w:p>
      <w:pPr>
        <w:ind w:left="680" w:hanging="208"/>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17"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statutory-basis financial statements, whether due to fraud or error, and design and perform audit procedures responsive to those risks. Such procedures include examining, on a test basis, evidence regarding the amounts and disclosures in the statutory-basis financial statements.</w:t>
      </w:r>
    </w:p>
    <w:p>
      <w:pPr>
        <w:spacing w:after="0" w:line="71"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statutory-basis financial statements.</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68"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on Supplemental Schedules</w:t>
      </w:r>
    </w:p>
    <w:p>
      <w:pPr>
        <w:spacing w:after="0" w:line="121" w:lineRule="exact"/>
        <w:rPr>
          <w:sz w:val="20"/>
          <w:szCs w:val="20"/>
          <w:color w:val="auto"/>
        </w:rPr>
      </w:pPr>
    </w:p>
    <w:p>
      <w:pPr>
        <w:jc w:val="both"/>
        <w:ind w:left="120" w:right="639"/>
        <w:spacing w:after="0" w:line="253" w:lineRule="auto"/>
        <w:rPr>
          <w:sz w:val="20"/>
          <w:szCs w:val="20"/>
          <w:color w:val="auto"/>
        </w:rPr>
      </w:pPr>
      <w:r>
        <w:rPr>
          <w:rFonts w:ascii="Times New Roman" w:cs="Times New Roman" w:eastAsia="Times New Roman" w:hAnsi="Times New Roman"/>
          <w:sz w:val="18"/>
          <w:szCs w:val="18"/>
          <w:color w:val="auto"/>
        </w:rPr>
        <w:t>Our 2023 audit was conducted for the purpose of forming an opinion on the 2023 statutory-basis financial statements as a whole. The supplemental schedule of selected financial data, the supplemental schedule of investment risk interrogatories, the supplemental summary investment schedule, and the supplemental reinsurance contracts with risk-limiting features as of and for the year ended December 31, 2023, are presented for purposes of additional analysis and are not a required part of the 2023 statutory-basis financial statements. Such schedules are the responsibility of the Company’s management and were derived from and relate directly to the underlying accounting and other records used to prepare the statutory-basis financial statements. Such schedules have been subjected to the auditing procedures applied in our audit of the 2023 statutory-basis financial statements and certain additional procedures, including comparing and reconciling such schedules directly to the underlying accounting and other records used to prepare the statutory-basis financial statements or to the statutory-basis financial statements themselves, and other additional procedures in accordance with auditing standards generally accepted in the United States of America. In our opinion, such schedules are fairly stated in all material respects in relation to the 2023 statutory-basis financial statements as a whole. </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25, 2024</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9019"/>
          </w:cols>
          <w:pgMar w:left="1440" w:top="1373" w:right="1440" w:bottom="1440" w:gutter="0" w:footer="0" w:header="0"/>
          <w:type w:val="continuous"/>
        </w:sectPr>
      </w:pPr>
    </w:p>
    <w:bookmarkStart w:id="118" w:name="page119"/>
    <w:bookmarkEnd w:id="118"/>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1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Statutory Statements of Admitted Assets, Liabilities and Capital and Surplus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ADMITTED ASSETS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due and accrued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 deferred and uncollected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excluding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Separate Account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Admitted Assets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12,147</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10,890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CAPITAL AND SURPLUS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and annuities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deposit-type contracts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policy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Borrowed money (including interest thereon)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Asset valuation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Payable for collateral under securities loaned and other transactions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 due and accrued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Funds held under reinsurance treaties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excluding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Separate Account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7,631</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10,667</w:t>
            </w:r>
          </w:p>
        </w:tc>
        <w:tc>
          <w:tcPr>
            <w:tcW w:w="0" w:type="dxa"/>
            <w:vAlign w:val="bottom"/>
          </w:tcPr>
          <w:p>
            <w:pPr>
              <w:spacing w:after="0"/>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(par value $10 per share, 200,000 shares authorized, issued and outstanding)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Paid-in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8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Special surplus fund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Unassigned surplus (deficit)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Capital and Surplus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Capital and Surplus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12,147</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10,890</w:t>
            </w:r>
          </w:p>
        </w:tc>
        <w:tc>
          <w:tcPr>
            <w:tcW w:w="0" w:type="dxa"/>
            <w:vAlign w:val="bottom"/>
          </w:tcPr>
          <w:p>
            <w:pPr>
              <w:spacing w:after="0"/>
              <w:rPr>
                <w:sz w:val="1"/>
                <w:szCs w:val="1"/>
                <w:color w:val="auto"/>
              </w:rPr>
            </w:pPr>
          </w:p>
        </w:tc>
      </w:tr>
      <w:tr>
        <w:trPr>
          <w:trHeight w:val="21"/>
        </w:trPr>
        <w:tc>
          <w:tcPr>
            <w:tcW w:w="694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See accompanying notes to statutory financial statements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987" w:gutter="0" w:footer="0" w:header="0"/>
        </w:sectPr>
      </w:pPr>
    </w:p>
    <w:p>
      <w:pPr>
        <w:spacing w:after="0" w:line="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9019"/>
          </w:cols>
          <w:pgMar w:left="1440" w:top="1373" w:right="1440" w:bottom="987" w:gutter="0" w:footer="0" w:header="0"/>
          <w:type w:val="continuous"/>
        </w:sectPr>
      </w:pPr>
    </w:p>
    <w:bookmarkStart w:id="119" w:name="page120"/>
    <w:bookmarkEnd w:id="119"/>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Statutory Statements of Operations and Changes in Capital and Surplus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(3,649)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$ 965</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Considerations for supplementary contracts and dividend accumulations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income</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 and taxes (other than Federal income and capital gains taxes)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benefits and expenses before Federal income tax</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 before Federal income tax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expense (benefit) (excluding income tax on capital gains and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operations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net of Federal income tax and interest maintenance reserve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CAPITAL AND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General Account net unrealized capital gains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deferred income tax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nonadmitted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 valuation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as a result of reinsurance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surplus adjustment paid in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 net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CAPITAL AND SURPLUS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BEGINNING OF YEAR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AND SURPLUS AT END OF YEAR</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$ 357</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See accompanying notes to statutory financial statements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9019"/>
          </w:cols>
          <w:pgMar w:left="1440" w:top="1373" w:right="1440" w:bottom="1440" w:gutter="0" w:footer="0" w:header="0"/>
          <w:type w:val="continuous"/>
        </w:sectPr>
      </w:pPr>
    </w:p>
    <w:bookmarkStart w:id="120" w:name="page121"/>
    <w:bookmarkEnd w:id="120"/>
    <w:p>
      <w:pPr>
        <w:ind w:left="2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Statutory Statements of Cash Flow</w:t>
      </w:r>
    </w:p>
    <w:p>
      <w:pPr>
        <w:spacing w:after="0" w:line="1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7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0" w:type="dxa"/>
            <w:vAlign w:val="bottom"/>
          </w:tcPr>
          <w:p>
            <w:pPr>
              <w:spacing w:after="0"/>
              <w:rPr>
                <w:sz w:val="16"/>
                <w:szCs w:val="16"/>
                <w:color w:val="auto"/>
              </w:rPr>
            </w:pPr>
          </w:p>
        </w:tc>
        <w:tc>
          <w:tcPr>
            <w:tcW w:w="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OPERATIONS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 net of reinsurance, received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(3,126)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received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received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receipts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(3,263)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 (other than dividends)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(3,654)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 and taxes paid (other than Federal income and capital gains taxes)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(from) Separate Accounts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paid (recovered) (net of tax on capital gains and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payments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(2,931)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operations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INVESTMENTS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invested assets sold, matured or repaid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Cost of invested assets acquired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investments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FINANCING AND OTHER SOURCES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surplus adjustment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Borrowed Money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deposit-type contracts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Other-net</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and other sources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SHORT-TERM INVESTMENTS: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 FOR NON-CASH</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1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Bonds, asset in kind transfer in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Transfer of assets from mortgages to other invested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Prior period adjustment-valuation system conversion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See accompanying notes to statutory financial statements</w:t>
      </w:r>
    </w:p>
    <w:p>
      <w:pPr>
        <w:sectPr>
          <w:pgSz w:w="11900" w:h="16838" w:orient="portrait"/>
          <w:cols w:equalWidth="0" w:num="1">
            <w:col w:w="9160"/>
          </w:cols>
          <w:pgMar w:left="1440" w:top="137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9160"/>
          </w:cols>
          <w:pgMar w:left="1440" w:top="1373" w:right="1299" w:bottom="1440" w:gutter="0" w:footer="0" w:header="0"/>
          <w:type w:val="continuous"/>
        </w:sectPr>
      </w:pPr>
    </w:p>
    <w:bookmarkStart w:id="121" w:name="page122"/>
    <w:bookmarkEnd w:id="121"/>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Brighthouse Life Insurance Company of NY (the “Company”), is a wholly-owned subsidiary of Brighthouse Life Insurance Company (“Brighthouse Insurance”), which is an indirect subsidiary of Brighthouse Financial, Inc. (“Brighthouse”) a Delaware corporation. The Company is domiciled in the State of New York (“New York”) and is only licensed to transact insurance business therein, and is subject to regulation by New York. The Company markets or administers traditional life and universal life insurance; as well as variable, fixed, index-linked, and income annuity products to individuals.</w:t>
      </w:r>
    </w:p>
    <w:p>
      <w:pPr>
        <w:spacing w:after="0" w:line="79"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Since the Company is a member of a controlled group of affiliated companies, its results may not be indicative of those of a stand-alone entity.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of accounting practices prescribed or permitted by the New York Department of Financial Services (the “Department” or “NYDFS”). The Department requires that insurance companies domiciled in New York prepare their statutory financial statements in accordance with the National Association of Insurance Commissioners’ (“NAIC”) Accounting Practices and Procedures Manual (“NAIC SAP”) as modified by the Department. NAIC SAP adjusted for these differences is referred to in these statutory financial statements as New York Statutory Accounting Principles (“NY SAP”).</w:t>
      </w:r>
    </w:p>
    <w:p>
      <w:pPr>
        <w:spacing w:after="0" w:line="79"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variable and certain index-linked annuities, under NAIC SAP reserves are determined based on the requirements of the NAIC Valuation Manual Section 21 (“VM-21”). Under NY SAP, reserves are equal to the greater of the amount determined under VM-21 and the amount determined under New York Regulation 213 (“Reg 213”).</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deferred annuities, under NAIC SAP, reserves are determined under the NAIC model standard valuation law (referred to as curtate Commissioners’ Annuity Reserve Valuation Method (“CARVM”)).</w:t>
      </w:r>
    </w:p>
    <w:p>
      <w:pPr>
        <w:spacing w:after="0" w:line="5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Under NY SAP, deferred annuity reserves are computed as described by the New York valuation law (referred to as continuous CARVM).</w:t>
      </w:r>
    </w:p>
    <w:p>
      <w:pPr>
        <w:spacing w:after="0" w:line="54" w:lineRule="exact"/>
        <w:rPr>
          <w:sz w:val="20"/>
          <w:szCs w:val="20"/>
          <w:color w:val="auto"/>
        </w:rPr>
      </w:pPr>
    </w:p>
    <w:p>
      <w:pPr>
        <w:ind w:left="480" w:right="659"/>
        <w:spacing w:after="0" w:line="261" w:lineRule="auto"/>
        <w:rPr>
          <w:sz w:val="20"/>
          <w:szCs w:val="20"/>
          <w:color w:val="auto"/>
        </w:rPr>
      </w:pPr>
      <w:r>
        <w:rPr>
          <w:rFonts w:ascii="Times New Roman" w:cs="Times New Roman" w:eastAsia="Times New Roman" w:hAnsi="Times New Roman"/>
          <w:sz w:val="18"/>
          <w:szCs w:val="18"/>
          <w:color w:val="auto"/>
        </w:rPr>
        <w:t>Under NYDFS Circular Letter No. 11 (2010), ceded reserves are reduced by the deferred premium asset proportional to</w:t>
      </w:r>
    </w:p>
    <w:p>
      <w:pPr>
        <w:ind w:left="120"/>
        <w:spacing w:after="0"/>
        <w:rPr>
          <w:sz w:val="20"/>
          <w:szCs w:val="20"/>
          <w:color w:val="auto"/>
        </w:rPr>
      </w:pPr>
      <w:r>
        <w:rPr>
          <w:rFonts w:ascii="Times New Roman" w:cs="Times New Roman" w:eastAsia="Times New Roman" w:hAnsi="Times New Roman"/>
          <w:sz w:val="18"/>
          <w:szCs w:val="18"/>
          <w:color w:val="auto"/>
        </w:rPr>
        <w:t>the amount ceded. Under NAIC SAP, there is no such specific requirement.</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9019"/>
          </w:cols>
          <w:pgMar w:left="1440" w:top="1373" w:right="1440" w:bottom="1440" w:gutter="0" w:footer="0" w:header="0"/>
          <w:type w:val="continuous"/>
        </w:sectPr>
      </w:pPr>
    </w:p>
    <w:bookmarkStart w:id="122" w:name="page123"/>
    <w:bookmarkEnd w:id="12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net income (loss) for the years ended December 31 and capital and surplus at December 31 between NY SAP and NAIC SAP is shown below (in millions):</w:t>
      </w:r>
    </w:p>
    <w:p>
      <w:pPr>
        <w:sectPr>
          <w:pgSz w:w="11900" w:h="16838" w:orient="portrait"/>
          <w:cols w:equalWidth="0" w:num="1">
            <w:col w:w="9019"/>
          </w:cols>
          <w:pgMar w:left="1440" w:top="1373" w:right="1440"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income (loss), NY SAP</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 prescribed practices: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Deferred annuities using continuous CARVM</w:t>
      </w:r>
    </w:p>
    <w:p>
      <w:pPr>
        <w:spacing w:after="0" w:line="77" w:lineRule="exact"/>
        <w:rPr>
          <w:sz w:val="20"/>
          <w:szCs w:val="20"/>
          <w:color w:val="auto"/>
        </w:rPr>
      </w:pPr>
    </w:p>
    <w:p>
      <w:pPr>
        <w:ind w:left="660" w:hanging="179"/>
        <w:spacing w:after="0" w:line="237" w:lineRule="auto"/>
        <w:rPr>
          <w:sz w:val="20"/>
          <w:szCs w:val="20"/>
          <w:color w:val="auto"/>
        </w:rPr>
      </w:pPr>
      <w:r>
        <w:rPr>
          <w:rFonts w:ascii="Times New Roman" w:cs="Times New Roman" w:eastAsia="Times New Roman" w:hAnsi="Times New Roman"/>
          <w:sz w:val="18"/>
          <w:szCs w:val="18"/>
          <w:color w:val="auto"/>
        </w:rPr>
        <w:t>Variable annuities in excess of NY Reg 213 standard scenario over VM 21 stochastic reserves</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NYSDFS Circular Letter No. 11 (2010) impact on deferred premiums</w:t>
      </w:r>
    </w:p>
    <w:p>
      <w:pPr>
        <w:spacing w:after="0" w:line="77" w:lineRule="exact"/>
        <w:rPr>
          <w:sz w:val="20"/>
          <w:szCs w:val="20"/>
          <w:color w:val="auto"/>
        </w:rPr>
      </w:pPr>
    </w:p>
    <w:p>
      <w:pPr>
        <w:ind w:left="660" w:right="100" w:hanging="179"/>
        <w:spacing w:after="0" w:line="237" w:lineRule="auto"/>
        <w:rPr>
          <w:sz w:val="20"/>
          <w:szCs w:val="20"/>
          <w:color w:val="auto"/>
        </w:rPr>
      </w:pPr>
      <w:r>
        <w:rPr>
          <w:rFonts w:ascii="Times New Roman" w:cs="Times New Roman" w:eastAsia="Times New Roman" w:hAnsi="Times New Roman"/>
          <w:sz w:val="18"/>
          <w:szCs w:val="18"/>
          <w:color w:val="auto"/>
        </w:rPr>
        <w:t>NYSDFS Seventh Amendment to Regulation No. 172 impact on admitted unearned reinsurance premium</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 permitted practices: NONE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income, NAIC SAP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Statutory capital and surplus, NY SAP</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 prescribed practices: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Deferred annuities using continuous CARVM</w:t>
      </w:r>
    </w:p>
    <w:p>
      <w:pPr>
        <w:spacing w:after="0" w:line="77" w:lineRule="exact"/>
        <w:rPr>
          <w:sz w:val="20"/>
          <w:szCs w:val="20"/>
          <w:color w:val="auto"/>
        </w:rPr>
      </w:pPr>
    </w:p>
    <w:p>
      <w:pPr>
        <w:ind w:left="660" w:hanging="179"/>
        <w:spacing w:after="0" w:line="237" w:lineRule="auto"/>
        <w:rPr>
          <w:sz w:val="20"/>
          <w:szCs w:val="20"/>
          <w:color w:val="auto"/>
        </w:rPr>
      </w:pPr>
      <w:r>
        <w:rPr>
          <w:rFonts w:ascii="Times New Roman" w:cs="Times New Roman" w:eastAsia="Times New Roman" w:hAnsi="Times New Roman"/>
          <w:sz w:val="18"/>
          <w:szCs w:val="18"/>
          <w:color w:val="auto"/>
        </w:rPr>
        <w:t>Variable annuities in excess of NY Reg 213 standard scenario over VM 21 stochastic reserves</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NYSDFS Circular Letter No. 11 (2010) impact on deferred premiums</w:t>
      </w:r>
    </w:p>
    <w:p>
      <w:pPr>
        <w:spacing w:after="0" w:line="77" w:lineRule="exact"/>
        <w:rPr>
          <w:sz w:val="20"/>
          <w:szCs w:val="20"/>
          <w:color w:val="auto"/>
        </w:rPr>
      </w:pPr>
    </w:p>
    <w:p>
      <w:pPr>
        <w:ind w:left="660" w:right="100" w:hanging="179"/>
        <w:spacing w:after="0" w:line="237" w:lineRule="auto"/>
        <w:rPr>
          <w:sz w:val="20"/>
          <w:szCs w:val="20"/>
          <w:color w:val="auto"/>
        </w:rPr>
      </w:pPr>
      <w:r>
        <w:rPr>
          <w:rFonts w:ascii="Times New Roman" w:cs="Times New Roman" w:eastAsia="Times New Roman" w:hAnsi="Times New Roman"/>
          <w:sz w:val="18"/>
          <w:szCs w:val="18"/>
          <w:color w:val="auto"/>
        </w:rPr>
        <w:t>NYSDFS Seventh Amendment to Regulation No. 172 impact on admitted unearned reinsurance premium</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 permitted practices: NONE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Statutory capital and surplus, NAIC SAP</w:t>
      </w:r>
    </w:p>
    <w:p>
      <w:pPr>
        <w:spacing w:after="0" w:line="121" w:lineRule="exact"/>
        <w:rPr>
          <w:sz w:val="20"/>
          <w:szCs w:val="20"/>
          <w:color w:val="auto"/>
        </w:rPr>
      </w:pPr>
    </w:p>
    <w:p>
      <w:pPr>
        <w:ind w:left="400" w:hanging="288"/>
        <w:spacing w:after="0"/>
        <w:tabs>
          <w:tab w:leader="none" w:pos="40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Statement of Statutory Accounting Principles (“SSAP”)</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24765</wp:posOffset>
            </wp:positionV>
            <wp:extent cx="13804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SSAP</w:t>
      </w:r>
    </w:p>
    <w:p>
      <w:pPr>
        <w:spacing w:after="0" w:line="13" w:lineRule="exact"/>
        <w:rPr>
          <w:sz w:val="20"/>
          <w:szCs w:val="20"/>
          <w:color w:val="auto"/>
        </w:rPr>
      </w:pPr>
    </w:p>
    <w:p>
      <w:pPr>
        <w:spacing w:after="0"/>
        <w:tabs>
          <w:tab w:leader="none" w:pos="760" w:val="left"/>
          <w:tab w:leader="none" w:pos="1280" w:val="left"/>
          <w:tab w:leader="none" w:pos="1780" w:val="left"/>
        </w:tabs>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ab/>
        <w:t>2023</w:t>
        <w:tab/>
        <w:t>2022</w:t>
        <w:tab/>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wp:posOffset>
            </wp:positionV>
            <wp:extent cx="13627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$ 539  $(152) $ (52)</w:t>
      </w:r>
    </w:p>
    <w:p>
      <w:pPr>
        <w:spacing w:after="0" w:line="360" w:lineRule="exact"/>
        <w:rPr>
          <w:sz w:val="20"/>
          <w:szCs w:val="20"/>
          <w:color w:val="auto"/>
        </w:rPr>
      </w:pPr>
    </w:p>
    <w:p>
      <w:pPr>
        <w:ind w:left="240"/>
        <w:spacing w:after="0"/>
        <w:tabs>
          <w:tab w:leader="none" w:pos="920" w:val="left"/>
          <w:tab w:leader="none" w:pos="1460" w:val="left"/>
          <w:tab w:leader="none" w:pos="19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040" w:hanging="808"/>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(143)  143</w:t>
      </w:r>
    </w:p>
    <w:p>
      <w:pPr>
        <w:spacing w:after="0" w:line="76" w:lineRule="exact"/>
        <w:rPr>
          <w:rFonts w:ascii="Times New Roman" w:cs="Times New Roman" w:eastAsia="Times New Roman" w:hAnsi="Times New Roman"/>
          <w:sz w:val="18"/>
          <w:szCs w:val="18"/>
          <w:color w:val="auto"/>
        </w:rPr>
      </w:pPr>
    </w:p>
    <w:p>
      <w:pPr>
        <w:ind w:left="980" w:hanging="748"/>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    —</w:t>
      </w:r>
    </w:p>
    <w:p>
      <w:pPr>
        <w:spacing w:after="0" w:line="266" w:lineRule="exact"/>
        <w:rPr>
          <w:sz w:val="20"/>
          <w:szCs w:val="20"/>
          <w:color w:val="auto"/>
        </w:rPr>
      </w:pPr>
    </w:p>
    <w:p>
      <w:pPr>
        <w:ind w:left="240"/>
        <w:spacing w:after="0"/>
        <w:tabs>
          <w:tab w:leader="none" w:pos="920" w:val="left"/>
          <w:tab w:leader="none" w:pos="1460" w:val="left"/>
          <w:tab w:leader="none" w:pos="19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40"/>
        <w:spacing w:after="0"/>
        <w:tabs>
          <w:tab w:leader="none" w:pos="1460" w:val="left"/>
          <w:tab w:leader="none" w:pos="1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17145</wp:posOffset>
            </wp:positionV>
            <wp:extent cx="9004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$ 551  $(295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43180</wp:posOffset>
            </wp:positionV>
            <wp:extent cx="9004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24765</wp:posOffset>
            </wp:positionV>
            <wp:extent cx="12858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SSAP</w:t>
      </w:r>
    </w:p>
    <w:p>
      <w:pPr>
        <w:spacing w:after="0" w:line="19" w:lineRule="exact"/>
        <w:rPr>
          <w:sz w:val="20"/>
          <w:szCs w:val="20"/>
          <w:color w:val="auto"/>
        </w:rPr>
      </w:pPr>
    </w:p>
    <w:p>
      <w:pPr>
        <w:spacing w:after="0"/>
        <w:tabs>
          <w:tab w:leader="none" w:pos="640" w:val="left"/>
          <w:tab w:leader="none" w:pos="1140" w:val="left"/>
          <w:tab w:leader="none" w:pos="1620" w:val="left"/>
        </w:tabs>
        <w:rPr>
          <w:sz w:val="20"/>
          <w:szCs w:val="20"/>
          <w:color w:val="auto"/>
        </w:rPr>
      </w:pPr>
      <w:r>
        <w:rPr>
          <w:rFonts w:ascii="Times New Roman" w:cs="Times New Roman" w:eastAsia="Times New Roman" w:hAnsi="Times New Roman"/>
          <w:sz w:val="14"/>
          <w:szCs w:val="14"/>
          <w:b w:val="1"/>
          <w:bCs w:val="1"/>
          <w:color w:val="auto"/>
        </w:rPr>
        <w:t>Number</w:t>
        <w:tab/>
        <w:t>2023</w:t>
        <w:tab/>
        <w:t>2022</w:t>
        <w:tab/>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12687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$ 819  $ 223  $ 357</w:t>
      </w:r>
    </w:p>
    <w:p>
      <w:pPr>
        <w:spacing w:after="0" w:line="360" w:lineRule="exact"/>
        <w:rPr>
          <w:sz w:val="20"/>
          <w:szCs w:val="20"/>
          <w:color w:val="auto"/>
        </w:rPr>
      </w:pPr>
    </w:p>
    <w:p>
      <w:pPr>
        <w:ind w:left="180"/>
        <w:spacing w:after="0"/>
        <w:tabs>
          <w:tab w:leader="none" w:pos="900" w:val="left"/>
          <w:tab w:leader="none" w:pos="1320" w:val="left"/>
          <w:tab w:leader="none" w:pos="19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w:t>
      </w:r>
    </w:p>
    <w:p>
      <w:pPr>
        <w:spacing w:after="0" w:line="266" w:lineRule="exact"/>
        <w:rPr>
          <w:sz w:val="20"/>
          <w:szCs w:val="20"/>
          <w:color w:val="auto"/>
        </w:rPr>
      </w:pPr>
    </w:p>
    <w:p>
      <w:pPr>
        <w:ind w:left="920" w:hanging="746"/>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   143</w:t>
      </w:r>
    </w:p>
    <w:p>
      <w:pPr>
        <w:spacing w:after="0" w:line="76" w:lineRule="exact"/>
        <w:rPr>
          <w:rFonts w:ascii="Times New Roman" w:cs="Times New Roman" w:eastAsia="Times New Roman" w:hAnsi="Times New Roman"/>
          <w:sz w:val="18"/>
          <w:szCs w:val="18"/>
          <w:color w:val="auto"/>
        </w:rPr>
      </w:pPr>
    </w:p>
    <w:p>
      <w:pPr>
        <w:ind w:left="860" w:hanging="686"/>
        <w:spacing w:after="0"/>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    —</w:t>
      </w:r>
    </w:p>
    <w:p>
      <w:pPr>
        <w:spacing w:after="0" w:line="266" w:lineRule="exact"/>
        <w:rPr>
          <w:sz w:val="20"/>
          <w:szCs w:val="20"/>
          <w:color w:val="auto"/>
        </w:rPr>
      </w:pPr>
    </w:p>
    <w:p>
      <w:pPr>
        <w:ind w:left="180"/>
        <w:spacing w:after="0"/>
        <w:tabs>
          <w:tab w:leader="none" w:pos="900" w:val="left"/>
          <w:tab w:leader="none" w:pos="1340" w:val="left"/>
          <w:tab w:leader="none" w:pos="18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(1)</w:t>
        <w:tab/>
        <w:t>(1)</w:t>
      </w:r>
    </w:p>
    <w:p>
      <w:pPr>
        <w:spacing w:after="0" w:line="90" w:lineRule="exact"/>
        <w:rPr>
          <w:sz w:val="20"/>
          <w:szCs w:val="20"/>
          <w:color w:val="auto"/>
        </w:rPr>
      </w:pPr>
    </w:p>
    <w:p>
      <w:pPr>
        <w:ind w:left="840"/>
        <w:spacing w:after="0"/>
        <w:tabs>
          <w:tab w:leader="none" w:pos="1320" w:val="left"/>
          <w:tab w:leader="none" w:pos="1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17145</wp:posOffset>
            </wp:positionV>
            <wp:extent cx="8743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$ 830  $ 222  $ 500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43180</wp:posOffset>
            </wp:positionV>
            <wp:extent cx="8743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454" w:lineRule="exact"/>
        <w:rPr>
          <w:sz w:val="20"/>
          <w:szCs w:val="20"/>
          <w:color w:val="auto"/>
        </w:rPr>
      </w:pPr>
    </w:p>
    <w:p>
      <w:pPr>
        <w:sectPr>
          <w:pgSz w:w="11900" w:h="16838" w:orient="portrait"/>
          <w:cols w:equalWidth="0" w:num="2">
            <w:col w:w="6600" w:space="120"/>
            <w:col w:w="2299"/>
          </w:cols>
          <w:pgMar w:left="1440" w:top="1373" w:right="1440" w:bottom="1001" w:gutter="0" w:footer="0" w:header="0"/>
          <w:type w:val="continuous"/>
        </w:sect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Company’s risk-based capital (“RBC”) would not have triggered a regulatory event without the use of the state prescribed practices referenced in the table above.</w:t>
      </w:r>
    </w:p>
    <w:p>
      <w:pPr>
        <w:spacing w:after="0" w:line="54"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NY SAP comprises a basis of accounting which differs from generally accepted accounting principles (“GAAP”). The more significant differences are as follows:</w:t>
      </w:r>
    </w:p>
    <w:p>
      <w:pPr>
        <w:spacing w:after="0" w:line="67" w:lineRule="exact"/>
        <w:rPr>
          <w:sz w:val="20"/>
          <w:szCs w:val="20"/>
          <w:color w:val="auto"/>
        </w:rPr>
      </w:pPr>
    </w:p>
    <w:p>
      <w:pPr>
        <w:jc w:val="both"/>
        <w:ind w:left="680" w:right="739" w:hanging="208"/>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acquisition costs are charged to expense as incurred under NY SAP; whereas under GAAP, certain policy acquisition costs are deferred and amortized over the estimated lives of the contracts in a manner that approximates a straight-line basis over the expected life of the related contracts;</w:t>
      </w:r>
    </w:p>
    <w:p>
      <w:pPr>
        <w:spacing w:after="0" w:line="81" w:lineRule="exact"/>
        <w:rPr>
          <w:rFonts w:ascii="Times New Roman" w:cs="Times New Roman" w:eastAsia="Times New Roman" w:hAnsi="Times New Roman"/>
          <w:sz w:val="18"/>
          <w:szCs w:val="18"/>
          <w:color w:val="auto"/>
        </w:rPr>
      </w:pPr>
    </w:p>
    <w:p>
      <w:pPr>
        <w:jc w:val="both"/>
        <w:ind w:left="680" w:right="739" w:hanging="208"/>
        <w:spacing w:after="0" w:line="25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 are determined using prescribed factors for mortality, lapses and interest without consideration of company experience, or using a principles based reserve method equal to the higher of reserves using prescribed factors and reserves that consider a wide range of future economic conditions, as well as, company experience. Under GAAP, reserves are determined based upon best estimates as of the date the policy is issued, or the account value plus a reserve for additional benefits, that is either based on current assumptions or measured at fair value with an adjustment for non-performance risk;</w:t>
      </w:r>
    </w:p>
    <w:p>
      <w:pPr>
        <w:spacing w:after="0" w:line="79"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 designated as “nonadmitted assets” are excluded from the Statutory Statements of Admitted Assets, Liabilities and Capital and Surplus by direct charges to unassigned surplus (deficit), including a portion of deferred income tax assets (“DTA”) and negative Interest Maintenance Reserve (“IMR”) balances;</w:t>
      </w:r>
    </w:p>
    <w:p>
      <w:pPr>
        <w:sectPr>
          <w:pgSz w:w="11900" w:h="16838" w:orient="portrait"/>
          <w:cols w:equalWidth="0" w:num="1">
            <w:col w:w="9019"/>
          </w:cols>
          <w:pgMar w:left="1440" w:top="1373" w:right="1440" w:bottom="1001" w:gutter="0" w:footer="0" w:header="0"/>
          <w:type w:val="continuous"/>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9019"/>
          </w:cols>
          <w:pgMar w:left="1440" w:top="1373" w:right="1440" w:bottom="1001" w:gutter="0" w:footer="0" w:header="0"/>
          <w:type w:val="continuous"/>
        </w:sectPr>
      </w:pPr>
    </w:p>
    <w:bookmarkStart w:id="123" w:name="page124"/>
    <w:bookmarkEnd w:id="12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680" w:right="739" w:hanging="208"/>
        <w:spacing w:after="0" w:line="258"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have any mortality and morbidity risk, regardless of significance, and contracts with life contingent annuity purchase rate guarantees are classified as insurance contracts and amounts received under these contracts are reported as revenue for NY SAP; whereas under GAAP, for contracts that do not subject the Company to significant risks arising from mortality or morbidity, amounts received are reported as increases to policyholder account balances;</w:t>
      </w:r>
    </w:p>
    <w:p>
      <w:pPr>
        <w:spacing w:after="0" w:line="88" w:lineRule="exact"/>
        <w:rPr>
          <w:rFonts w:ascii="Times New Roman" w:cs="Times New Roman" w:eastAsia="Times New Roman" w:hAnsi="Times New Roman"/>
          <w:sz w:val="18"/>
          <w:szCs w:val="18"/>
          <w:color w:val="auto"/>
        </w:rPr>
      </w:pPr>
    </w:p>
    <w:p>
      <w:pPr>
        <w:jc w:val="both"/>
        <w:ind w:left="680" w:right="739" w:hanging="208"/>
        <w:spacing w:after="0" w:line="254"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reinsurance agreements are accounted for as reinsurance under both NY SAP and GAAP if certain risk transfer provisions are met. The risk transfer provisions in GAAP differ from the risk transfer provisions under NY SAP. Under GAAP, the reinsurer must assume significant insurance risk and have a reasonable possibility of realizing a significant loss from the transaction. NY SAP requires the reinsurer to assume all of certain risks deemed to be significant, regardless of the significance of loss potential. Assets and liabilities as a result of reinsurance transactions are netted under NY SAP but are reported gross under GAAP. Ceding commissions received in conjunction with reinsurance transactions are reported as revenue under NY SAP but are reported as a reduction of commission expense under GAAP;</w:t>
      </w:r>
    </w:p>
    <w:p>
      <w:pPr>
        <w:spacing w:after="0" w:line="83"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is established when the reserves ceded to an unauthorized reinsurer exceed the eligible collateral supporting the reserves. Changes to these amounts are credited or charged directly to unassigned surplus (deficit). Under GAAP, no such liability is required;</w:t>
      </w:r>
    </w:p>
    <w:p>
      <w:pPr>
        <w:spacing w:after="0" w:line="81" w:lineRule="exact"/>
        <w:rPr>
          <w:rFonts w:ascii="Times New Roman" w:cs="Times New Roman" w:eastAsia="Times New Roman" w:hAnsi="Times New Roman"/>
          <w:sz w:val="18"/>
          <w:szCs w:val="18"/>
          <w:color w:val="auto"/>
        </w:rPr>
      </w:pPr>
    </w:p>
    <w:p>
      <w:pPr>
        <w:jc w:val="both"/>
        <w:ind w:left="680" w:right="739" w:hanging="208"/>
        <w:spacing w:after="0" w:line="25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bonds and preferred stocks are generally carried at amortized cost under NY SAP. Under GAAP, investments in bonds and preferred stocks have one of three classifications. Those classified as held-to-maturity are carried at amortized cost, those classified as available-for-sale are carried at estimated fair value with adjustments for changes in estimated fair value recorded as a component of equity and those classified as trading are carried at estimated fair value with adjustments for changes in estimated fair value recorded through earnings;</w:t>
      </w:r>
    </w:p>
    <w:p>
      <w:pPr>
        <w:spacing w:after="0" w:line="92" w:lineRule="exact"/>
        <w:rPr>
          <w:rFonts w:ascii="Times New Roman" w:cs="Times New Roman" w:eastAsia="Times New Roman" w:hAnsi="Times New Roman"/>
          <w:sz w:val="18"/>
          <w:szCs w:val="18"/>
          <w:color w:val="auto"/>
        </w:rPr>
      </w:pPr>
    </w:p>
    <w:p>
      <w:pPr>
        <w:jc w:val="both"/>
        <w:ind w:left="680" w:right="739" w:hanging="208"/>
        <w:spacing w:after="0" w:line="254"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mortgage loans that are impaired are reported at the estimated fair value of the underlying collateral less estimated costs to obtain and sell such collateral. If the estimated fair value of the impaired loan subsequently increases, the mortgage loan’s carrying value may not be adjusted to reflect this increase in value. Under GAAP, impaired mortgage loans may also be assessed using observable market price or discounted cash flow (“DCF”) methodologies using the loan’s original effective interest rate. If the value of the impaired mortgage loan subsequently increases, under GAAP, the mortgage loan’s carrying value may be adjusted to reflect this increase, through a decrease in a specific valuation allowance;</w:t>
      </w:r>
    </w:p>
    <w:p>
      <w:pPr>
        <w:spacing w:after="0" w:line="83"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establishes a general valuation allowance when the amount of the loan loss contingency is greater than the mortgage component of the asset valuation reserve (“AVR”). The amount recorded is the excess of the loss contingency amount over the mortgage component of the AVR, with an offset to net unrealized capital gains and (losses). Under GAAP, the required allowance for credit losses is recorded as a reduction to net carrying value with an offset to realized gains and losses;</w:t>
      </w:r>
    </w:p>
    <w:p>
      <w:pPr>
        <w:spacing w:after="0" w:line="88"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AVR liability is established, based upon a formula prescribed by the NAIC, to offset potential credit-related investment losses on all invested assets. Changes in the AVR are charged or credited directly to surplus. Under GAAP, no such reserve is required;</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58"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IMR is established to capture realized gains and losses, net of income tax, on the sale of fixed income investments, principally bonds and mortgage loans, resulting from changes in the general level of interest rates, and is amortized into net investment income over the remaining years to expected maturity of the assets sold; whereas under GAAP, available-for-sale bonds and mortgage loan gains and losses on disposal are reported in earnings in the period that the assets are sold;</w:t>
      </w:r>
    </w:p>
    <w:p>
      <w:pPr>
        <w:spacing w:after="0" w:line="75" w:lineRule="exact"/>
        <w:rPr>
          <w:rFonts w:ascii="Times New Roman" w:cs="Times New Roman" w:eastAsia="Times New Roman" w:hAnsi="Times New Roman"/>
          <w:sz w:val="18"/>
          <w:szCs w:val="18"/>
          <w:color w:val="auto"/>
        </w:rPr>
      </w:pPr>
    </w:p>
    <w:p>
      <w:pPr>
        <w:jc w:val="both"/>
        <w:ind w:left="680" w:right="739" w:hanging="208"/>
        <w:spacing w:after="0" w:line="255"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derivatives that do not meet the criteria for hedge accounting are carried at estimated fair value with changes in their estimated fair value reported in changes in capital and surplus. Under GAAP, if a derivative not qualify for hedge accounting, changes in the estimated fair value of the derivative are generally reported in net derivative gains (losses), a component of net income. An embedded derivative that is not clearly and closely related to the economic characteristics of the host contract and that meets certain other criteria is bifurcated from the host contract and accounted for separately at estimated fair value;</w:t>
      </w:r>
    </w:p>
    <w:p>
      <w:pPr>
        <w:sectPr>
          <w:pgSz w:w="11900" w:h="16838" w:orient="portrait"/>
          <w:cols w:equalWidth="0" w:num="1">
            <w:col w:w="9019"/>
          </w:cols>
          <w:pgMar w:left="1440" w:top="1373" w:right="1440" w:bottom="1440" w:gutter="0" w:footer="0" w:header="0"/>
        </w:sect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9019"/>
          </w:cols>
          <w:pgMar w:left="1440" w:top="1373" w:right="1440" w:bottom="1440" w:gutter="0" w:footer="0" w:header="0"/>
          <w:type w:val="continuous"/>
        </w:sectPr>
      </w:pPr>
    </w:p>
    <w:bookmarkStart w:id="124" w:name="page125"/>
    <w:bookmarkEnd w:id="12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680" w:right="739" w:hanging="208"/>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is calculated based on temporary differences between NY SAP and tax-basis reporting, subject to certain asset admission limitations for DTA, rather than the difference between GAAP and tax-basis reporting, without such asset admission limitations;</w:t>
      </w:r>
    </w:p>
    <w:p>
      <w:pPr>
        <w:spacing w:after="0" w:line="81"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items, including modifications to required policy reserves resulting from changes in reserve methodologies, are recorded directly to unassigned surplus (deficit) rather than being reflected in income under GAAP;</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1"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loss contingencies, when no amount within management’s estimate of the range is a better estimate than any other amount, the midpoint of the range is accrued; whereas under GAAP, the minimum amount in the range is accrued. In addition, the timing of recognition of certain costs related to loss contingencies may be different;</w:t>
      </w:r>
    </w:p>
    <w:p>
      <w:pPr>
        <w:spacing w:after="0" w:line="85"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certain economic transactions with related parties, defined as arm’s-length transactions, resulting in the transfer of risks and rewards of ownership and considered permanent, are recognized under NY SAP rather than deferred until the assets are sold to third parties as required under GAAP;</w:t>
      </w:r>
    </w:p>
    <w:p>
      <w:pPr>
        <w:spacing w:after="0" w:line="67" w:lineRule="exact"/>
        <w:rPr>
          <w:rFonts w:ascii="Times New Roman" w:cs="Times New Roman" w:eastAsia="Times New Roman" w:hAnsi="Times New Roman"/>
          <w:sz w:val="18"/>
          <w:szCs w:val="18"/>
          <w:color w:val="auto"/>
        </w:rPr>
      </w:pPr>
    </w:p>
    <w:p>
      <w:pPr>
        <w:jc w:val="both"/>
        <w:ind w:left="680" w:right="739" w:hanging="208"/>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Account assets, liabilities, income and expenses are reflected using a summarized presentation in the financial statements under NY SAP; under GAAP only separate accounts where all of the investment risk is borne by the policyholder quantify for summarized presentation.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Changes and Correction of Errors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accounting changes or correction of errors during 2023.</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amounts in the 2022 and 2021 statutory financial statements were reclassified to conform with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presentation.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GAAP Equity and Income (Unaudited)</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GAAP consolidated net income (loss) attributable to the Company was ($9) million, ($106) million, and ($18) million for the years ended December 31, 2023, 2022, and 2021, respectively. GAAP consolidated stockholder’s equity was $654 million, $597 million, and $1,151 million at December 31, 2023, 2022, and 2021,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that management make estimates and assumptions that affect the reported amounts of assets and liabilities at the dates of the financial statements. Management is also required to disclose contingent assets and liabilities at the dates of the financial statements and the reported amounts of revenues and expenses during the reporting periods. Actual results may differ from those estimates.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Income from investments, including amortization of premium, accretion of discount and similar items, is recorded within net investment income, unless otherwise stated herein. Other-than-temporary impairments (“OTTI”) losses are recorded as realized capital losses, the cost basis of the investment is reduced and the revised cost basis is not adjusted for subsequent recoveries in value.</w:t>
      </w:r>
    </w:p>
    <w:p>
      <w:pPr>
        <w:spacing w:after="0" w:line="72"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Bonds are generally stated at amortized cost, unless they have a NAIC designation of 6, in which case they are stated at the lower of amortized cost or estimated fair value. Unrealized capital losses on bonds having a NAIC designation of 6 are charged directly to surplus. Interest and prepayment fees are recorded when earned. Amortization of premium or accretion of discount is calculated using the effective yield method taking into consideration specified interest and principal provisions over the life of the bonds or estimated timing and amount of prepayments of underlying loans for commercial mortgage-backed securities (“CMBS”), residential mortgage-backed securities (“RMBS”) and asset-backed securities (“ABS”) (collectively “loan-backed securities”). Actual prepayment experience is periodically reviewed and effective yields are recalculated when differences arise between the prepayments originally anticipated and the actual prepayments received and currently anticipated. Prepayment assumptions for single class and multi-class mortgage-backed securities and ABS are</w:t>
      </w:r>
    </w:p>
    <w:p>
      <w:pPr>
        <w:sectPr>
          <w:pgSz w:w="11900" w:h="16838" w:orient="portrait"/>
          <w:cols w:equalWidth="0" w:num="1">
            <w:col w:w="9019"/>
          </w:cols>
          <w:pgMar w:left="1440" w:top="1373" w:right="1440" w:bottom="866" w:gutter="0" w:footer="0" w:header="0"/>
        </w:sectPr>
      </w:pPr>
    </w:p>
    <w:p>
      <w:pPr>
        <w:spacing w:after="0" w:line="38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9019"/>
          </w:cols>
          <w:pgMar w:left="1440" w:top="1373" w:right="1440" w:bottom="866" w:gutter="0" w:footer="0" w:header="0"/>
          <w:type w:val="continuous"/>
        </w:sectPr>
      </w:pPr>
    </w:p>
    <w:bookmarkStart w:id="125" w:name="page126"/>
    <w:bookmarkEnd w:id="12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t>estimated using inputs obtained from third party specialists, and are based on management’s knowledge of the current market. For credit-sensitive mortgage-backed securities and ABS and certain prepayment-sensitive securities, the effective yield is recalculated on a prospective basis. For all other mortgage-backed securities and ABS, the effective yield is recalculated on a retrospective basis.</w:t>
      </w:r>
    </w:p>
    <w:p>
      <w:pPr>
        <w:spacing w:after="0" w:line="7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loan-backed securities, the NAIC relies on the second lowest NAIC Credit Rating Provider (“CRP”) rating to determine the initial NAIC designation. The second lowest CRP rating is used to determine the carrying value of the security, which is based on the NAIC’s estimate of expected losses, using an NAIC published formula. The carrying value of the security determines its final NAIC designation. This methodology does not apply to NAIC 1 and NAIC 6 securities which are rated at the second lowest CRP designation. Loan-backed and structured securities are stated at either amortized cost or the lower of amortized cost or fair market value.</w:t>
      </w:r>
    </w:p>
    <w:p>
      <w:pPr>
        <w:spacing w:after="0" w:line="79"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Company periodically evaluates bonds for impairment. The assessment of whether impairments have occurred is based on management’s case-by-case evaluation of the underlying reasons for the decline in estimated fair value, as well as an analysis of the gross unrealized losses by severity and/or age as described in Note 3 “Evaluating Temporarily Impaired Bonds for OTTI”. 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 (iv) the potential for impairments in certain economically depressed geographic locations; (v) the potential for impairments where the issuer, series of issuers or industry has suffered a catastrophic type of loss or has exhausted natural resources; (vi) both the Company’s intent to sell a security before the recovery of its estimated fair value and its intent and ability to hold the security for a period of time sufficient to allow for the recovery of its value to an amount equal to or greater than amortized cost; (vii) unfavorable changes in forecasted cash flows on mortgage-backed securities and ABS; (viii) the potential for impairments due to weakening foreign currencies on foreign currency denominated bonds that are near maturity; and (ix) other subjective factors, including concentrations and information obtained from regulators and rating agencies.</w:t>
      </w:r>
    </w:p>
    <w:p>
      <w:pPr>
        <w:spacing w:after="0" w:line="84"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recognizes an OTTI loss in earnings for a loan-backed security in an unrealized loss position when it is anticipated that the amortized cost basis will not be recovered. In such situations, the OTTI loss recognized in earnings is the entire difference between the security’s amortized cost and its estimated fair value only when either: (i) the Company intends to sell the security or (ii) the Company does not have the intent and ability to retain the security for the time sufficient to recover the amortized cost basis. Non-interest related OTTI losses are recorded through the AVR and interest related losses through the IMR. If neither of the two conditions exists, and the Company has the intent and ability to hold the security but does not expect to recover the entire amortized cost, the difference between the amortized cost basis of the security and the present value of projected future cash flows expected to be collected is recognized as an OTTI loss.</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determination of estimated fair values for securities and other investments is described in Note 2.</w:t>
      </w:r>
    </w:p>
    <w:p>
      <w:pPr>
        <w:spacing w:after="0" w:line="117"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Mortgage loans are stated at unpaid principal balance, adjusted for any unamortized premium, discount or deferred fees, and are net of valuation allowances. Interest income and prepayment fees are recorded when earned. Interest income is accrued on the principal amount of the loan based on the loan’s contractual interest rate. Amortization of premium and accretion of discount are recorded using the effective yield method. Gains and losses from sales of loans are recorded in net realized capital gains (losses).</w:t>
      </w:r>
    </w:p>
    <w:p>
      <w:pPr>
        <w:spacing w:after="0" w:line="75"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Mortgage loans are considered to be impaired when it is probable that, based upon current information and events, the Company will be unable to collect all amounts due under the loan agreement. Valuation allowances are established both on a loan specific basis and, in certain circumstances described below, for pools of loans. Valuation allowances are determined separately for each of the loan portfolio segments: commercial and agricultural. In conjunction with the valuation allowance process, management identifies mortgage loans to be placed on a nonaccrual status at which time the Company recognizes income on the cash method.</w:t>
      </w:r>
    </w:p>
    <w:p>
      <w:pPr>
        <w:sectPr>
          <w:pgSz w:w="11900" w:h="16838" w:orient="portrait"/>
          <w:cols w:equalWidth="0" w:num="1">
            <w:col w:w="9019"/>
          </w:cols>
          <w:pgMar w:left="1440" w:top="1373" w:right="1440" w:bottom="1440" w:gutter="0" w:footer="0" w:header="0"/>
        </w:sectPr>
      </w:pPr>
    </w:p>
    <w:p>
      <w:pPr>
        <w:spacing w:after="0" w:line="3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9019"/>
          </w:cols>
          <w:pgMar w:left="1440" w:top="1373" w:right="1440" w:bottom="1440" w:gutter="0" w:footer="0" w:header="0"/>
          <w:type w:val="continuous"/>
        </w:sectPr>
      </w:pPr>
    </w:p>
    <w:bookmarkStart w:id="126" w:name="page127"/>
    <w:bookmarkEnd w:id="12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51" w:lineRule="auto"/>
        <w:rPr>
          <w:sz w:val="20"/>
          <w:szCs w:val="20"/>
          <w:color w:val="auto"/>
        </w:rPr>
      </w:pPr>
      <w:r>
        <w:rPr>
          <w:rFonts w:ascii="Times New Roman" w:cs="Times New Roman" w:eastAsia="Times New Roman" w:hAnsi="Times New Roman"/>
          <w:sz w:val="18"/>
          <w:szCs w:val="18"/>
          <w:color w:val="auto"/>
        </w:rPr>
        <w:t>Specific valuation allowances are established using the same methodology for both portfolio segments and a common evaluation framework is used for establishing general valuation allowances for the loan portfolio segments; however, a separate general valuation allowance is calculated and maintained for each loan portfolio segment that is based on inputs that are unique to each loan portfolio segment. The Company records specific valuation allowances for impaired mortgage loans when it is probable that based upon current information and events, the Company will be unable to collect all amounts due under the contractual terms of the loan agreement. Based on the facts and circumstances of the individual mortgage loans being impaired, loan specific valuation allowances are established for the excess carrying value of the mortgage loan over the estimated fair value of the loan’s underlying collateral (as determined by acceptable appraisal methodologies) less estimated costs to obtain and sell such collateral. Changes in these loan specific valuation allowances are reported within net realized capital gains (losses). General valuation allowances are established for loan losses when a loss contingency exists for pools of loans with similar characteristics, such as mortgage loans based on similar property types or loans with similar loan-to-value or similar debt service coverage ratio factors. A loss contingency exists when, based on experience, it is probable that a credit event has occurred and the amount of credit loss can be reasonably estimated. These evaluations are based upon several loan portfolio segment specific factors, including the Company’s experience with loan losses, defaults and loss severity, and loss expectations for loans with similar risk characteristics. The Company typically uses ten years or more of historical experience in these evaluations. These evaluations are revised as conditions change and new information becomes available. The general valuation allowance is established when the amount of the loan loss contingency is greater than the mortgage component of the AVR, and the amount recorded is the excess of the loss contingency amount over the mortgage component of the AVR. If the mortgage component of the AVR is greater than the loss contingency amount, no general valuation allowance is recorded. Changes in the general valuation allowance are included in change in General Account net unrealized capital gains (losses) which are credited or charged directly to surplus.</w:t>
      </w:r>
    </w:p>
    <w:p>
      <w:pPr>
        <w:spacing w:after="0" w:line="97"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All commercial loans are monitored on an ongoing basis which may include an analysis of the property’s financial statements and rent rolls, lease rollover analysis, property inspections, market analysis, estimated valuations of the underlying collateral, loan-to-value ratios, debt service coverage ratios and tenant creditworthiness. The monitoring process for commercial loans focuses on higher risk loans, which include those that are classified as restructured, delinquent or in foreclosure, as well as loans with higher loan-to-value and lower debt service coverage ratios. The monitoring process for agricultural loans is generally similar to the commercial loan monitoring process, with a focus on higher risk loans, including reviews of the agricultural loan portfolio on a geographic and sector basis. Higher risk commercial and agricultural loans are reviewed individually on an ongoing basis for potential credit loss and specific valuation allowances are established using the methodology described above for all loan portfolio segments. Quarterly, the remaining loans are reviewed on a pool basis, by aggregating groups of loans that have similar risk characteristics for potential credit loss. General valuation allowances are established as described above using inputs that are unique to each segment of the loan portfolio.</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For commercial loans, the primary credit quality indicator is the debt service coverage ratio, which compares a property’s net operating income to amounts needed to service the principal and interest due under the loan. Generally, the lower the debt service coverage ratio, the higher the risk of experiencing a credit loss. The Company also reviews the loan-to-value ratio of its commercial loan portfolio. Loan-to-value ratios compare the unpaid principal balance of the loan to the estimated fair value of the underlying collateral. Generally, the higher the loan-to-value ratio, the higher the risk of experiencing a credit loss. The debt service coverage ratio and the values utilized in calculating the ratio are updated annually on a rolling basis, with a portion of the loan portfolio updated each quarter. In addition, the loan-to-value ratio is routinely updated for all but the lowest risk loans as part of the Company’s ongoing review of its commercial mortgage loan portfolio.</w:t>
      </w:r>
    </w:p>
    <w:p>
      <w:pPr>
        <w:spacing w:after="0" w:line="80"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For agricultural loans, the Company’s primary credit quality indicator is the loan-to-value ratio. The values utilized in calculating this ratio are developed in connection with the ongoing review of the agricultural loan portfolio and are routinely updated. Additionally, the Company focuses the monitoring process on higher risk loans, including reviews on a geographic and property-type basis.</w:t>
      </w:r>
    </w:p>
    <w:p>
      <w:pPr>
        <w:spacing w:after="0" w:line="72"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may grant concessions related to a particular borrower’s financial difficulties which are classified as troubled debt restructurings. Generally, the types of concessions include: reduction of the contractual interest rate, extension of the maturity date at an interest rate lower than current market interest rates and/or a reduction of accrued interest. The amount, timing and extent of the concession granted is considered in determining any impairment or changes in the specific valuation allowance recorded in connection with the troubled debt restructuring. Through the recurring portfolio monitoring process, a specific valuation allowance may have been recorded prior to the period when the mortgage loan is modified in a</w:t>
      </w:r>
    </w:p>
    <w:p>
      <w:pPr>
        <w:sectPr>
          <w:pgSz w:w="11900" w:h="16838" w:orient="portrait"/>
          <w:cols w:equalWidth="0" w:num="1">
            <w:col w:w="9019"/>
          </w:cols>
          <w:pgMar w:left="1440" w:top="1373" w:right="1440" w:bottom="461" w:gutter="0" w:footer="0" w:header="0"/>
        </w:sect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9019"/>
          </w:cols>
          <w:pgMar w:left="1440" w:top="1373" w:right="1440" w:bottom="461" w:gutter="0" w:footer="0" w:header="0"/>
          <w:type w:val="continuous"/>
        </w:sectPr>
      </w:pPr>
    </w:p>
    <w:bookmarkStart w:id="127" w:name="page128"/>
    <w:bookmarkEnd w:id="12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t>troubled debt restructuring. Accordingly, the carrying value (after specific valuation allowance) before and after modification through a troubled debt restructuring may not change significantly, or may increase if the expected recovery is higher than the pre-modification recovery assessment.</w:t>
      </w:r>
    </w:p>
    <w:p>
      <w:pPr>
        <w:spacing w:after="0" w:line="68"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Cash equivalents, which are short-term, highly liquid securities and other investments with original maturities of three months or less at date of purchase, are stated at amortized cost, except for securities which have a NAIC designation of 6, in which case they are stated at the lower of amortized cost or estimated fair value.</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Other invested assets consist of investments in surplus notes, an investment in the equity tranche of a collateralized loan obligation and a real estate joint venture.</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in surplus notes are carried at amortized cost.</w:t>
      </w:r>
    </w:p>
    <w:p>
      <w:pPr>
        <w:spacing w:after="0" w:line="117" w:lineRule="exact"/>
        <w:rPr>
          <w:sz w:val="20"/>
          <w:szCs w:val="20"/>
          <w:color w:val="auto"/>
        </w:rPr>
      </w:pPr>
    </w:p>
    <w:p>
      <w:pPr>
        <w:ind w:left="480" w:right="1159"/>
        <w:spacing w:after="0" w:line="282" w:lineRule="auto"/>
        <w:rPr>
          <w:sz w:val="20"/>
          <w:szCs w:val="20"/>
          <w:color w:val="auto"/>
        </w:rPr>
      </w:pPr>
      <w:r>
        <w:rPr>
          <w:rFonts w:ascii="Times New Roman" w:cs="Times New Roman" w:eastAsia="Times New Roman" w:hAnsi="Times New Roman"/>
          <w:sz w:val="18"/>
          <w:szCs w:val="18"/>
          <w:color w:val="auto"/>
        </w:rPr>
        <w:t>The investment in the equity tranche of collateralized loan obligation is accounted for under the equity method.</w:t>
      </w:r>
    </w:p>
    <w:p>
      <w:pPr>
        <w:spacing w:after="0" w:line="5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Real estate joint ventures are carried at the underlying audited GAAP equity, with the Company’s share of undistributed earnings and losses included in change in General Account net unrealized capital gains (losses) which is credited or charged directly to surplus. Dividends or distributions received are recognized to the extent they are not in excess of undistributed accumulated earnings. Dividends and distributions in excess of undistributed accumulated earnings are recorded as a reduction to the carrying value of the investment. The Company also periodically evaluates the joint ventures’ unrealized losses for recoverability. In addition to the joint ventures performing regular evaluations for the impairment of underlying investments, the Company routinely evaluates these investments for impairment. The Company considers financial and other information provided by such entities, other known information and inherent risks in the underlying investments, as well as future capital commitments, in determining whether an impairment has occurred.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may be exposed to various risks relating to its ongoing business operations, including interest rate risk, foreign currency exchange rate risk, credit risk and equity market risk. The Company uses a variety of strategies to manage these risks, including the use of derivatives.</w:t>
      </w:r>
    </w:p>
    <w:p>
      <w:pPr>
        <w:spacing w:after="0" w:line="68"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Derivatives are financial instruments whose values are derived from interest rates, foreign currency exchange rates, credit spreads or other financial indices. Derivatives may be exchange-traded or contracted in the over-the-counter (“OTC”) market. All of the Company’s derivatives are bilateral contracts between two counterparties. The Company uses options, swaps, and caps to manage risks that may include interest rate risk, foreign currency exchange rate risk, credit risk and equity market risk. Derivative hedges are designed to reduce risk on an economic basis while considering their impact on accounting results and statutory capital.</w:t>
      </w:r>
    </w:p>
    <w:p>
      <w:pPr>
        <w:spacing w:after="0" w:line="79"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NY SAP restricts the Company’s use of derivatives to: (i) hedging activities intended to offset changes in the estimated fair value of assets held, obligations and anticipated transactions; (ii) income generation transactions to generate additional income or return on covering assets; and (iii) RSATs to reproduce the investment characteristics of otherwise permissible investments. The Company is prohibited from using derivatives for speculation. OTC derivatives are carried on the Company’s Statutory Statements of Admitted Assets, Liabilities and Capital and Surplus either as derivative assets or derivative liabilities.</w:t>
      </w:r>
    </w:p>
    <w:p>
      <w:pPr>
        <w:spacing w:after="0" w:line="7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does not offset the values recognized for derivatives executed with the same counterparty under the same master netting agreement. This policy applies to the recognition of derivative assets and derivative liabilities in the Statutory Statements of Admitted Assets, Liabilities and Capital and Surplus.</w:t>
      </w:r>
    </w:p>
    <w:p>
      <w:pPr>
        <w:spacing w:after="0" w:line="66"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To qualify for hedge accounting under SSAP No. 86,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(“SSAP 86”), at the inception of the hedging relationship, the Company formally documents its risk management objective and strategy for undertaking the hedging transaction, as well as its designation of the hedge as either: (i) a hedge of the estimated fair value of a recognized asset or liability (“fair value hedge”); or (ii) a hedge of the variability of cash flows to be received or paid related to a forecasted transaction or a recognized asset or liability (“cash flow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w:t>
      </w:r>
    </w:p>
    <w:p>
      <w:pPr>
        <w:sectPr>
          <w:pgSz w:w="11900" w:h="16838" w:orient="portrait"/>
          <w:cols w:equalWidth="0" w:num="1">
            <w:col w:w="9019"/>
          </w:cols>
          <w:pgMar w:left="1440" w:top="1373" w:right="1440" w:bottom="1440" w:gutter="0" w:footer="0" w:header="0"/>
        </w:sectPr>
      </w:pPr>
    </w:p>
    <w:p>
      <w:pPr>
        <w:spacing w:after="0" w:line="3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9019"/>
          </w:cols>
          <w:pgMar w:left="1440" w:top="1373" w:right="1440" w:bottom="1440" w:gutter="0" w:footer="0" w:header="0"/>
          <w:type w:val="continuous"/>
        </w:sectPr>
      </w:pPr>
    </w:p>
    <w:bookmarkStart w:id="128" w:name="page129"/>
    <w:bookmarkEnd w:id="128"/>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8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may hold cash flow and fair value derivatives that hedge various assets and liabilities including bonds, mortgage loans, and liability portfolios; the derivatives that hedge those assets and liabilities are valued in a manner consistent with the underlying hedged item, if the derivatives meet the criteria for highly effective hedges. Bonds that have an NAIC designation of 1 through 5 are carried at amortized cost; therefore, the derivatives hedging such bonds are also carried at amortized cost. Bonds that have an NAIC designation of 6 are carried at the lower of amortized cost or estimated fair value; therefore, the derivatives hedging such bonds are also carried at the lower of amortized cost or estimated fair value. Mortgage loans are carried at amortized cost; therefore, the derivatives hedging mortgage loans are also carried at amortized cost. Any hedged liabilities of the Company are carried at amortized cost; therefore, the derivatives hedging liabilities are also carried at amortized cost. Effective foreign currency swaps have a foreign currency adjustment reported in capital and surplus pursuant to SSAP 86 by using the same procedures as used to translate the hedged item.</w:t>
      </w:r>
    </w:p>
    <w:p>
      <w:pPr>
        <w:spacing w:after="0" w:line="8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or is sold, terminated or exercised; (iii) it is no longer probable that the hedged forecasted transaction will occur; or (iv) the Company removes the designation of the hedge.</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When hedge accounting is discontinued because it is determined that the derivative is not highly effective in offsetting changes in the estimated fair value or cash flows of a hedged item, the derivative is carried at its estimated fair value with changes in estimated fair value reported in change in General Account net unrealized capital gains (losses).</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Upon termination of a derivative that qualified for hedge accounting, the gain or loss is reflected as an adjustment to the basis of the hedged item and is recognized in income consistent with the hedged item. If the hedged item is sold, the gain or loss on the derivative is realized but is subject to the IMR.</w:t>
      </w:r>
    </w:p>
    <w:p>
      <w:pPr>
        <w:spacing w:after="0" w:line="68"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To the extent the Company does not designate a derivative for hedge accounting, the derivative is carried at estimated fair value with changes in estimated fair value reported in change in General Account net unrealized capital gains (losses).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 and Annuity and Other Fund Reserves</w:t>
      </w:r>
    </w:p>
    <w:p>
      <w:pPr>
        <w:spacing w:after="0" w:line="12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Reserves for permanent plans of individual life insurance, universal life plans and certain term plans are computed principally on the Net Level Premium Method, the Commissioners’ Reserve Valuation Method, or using the principle based requirements of Reg 213, as appropriate. Reserves for other life insurance policies are computed on the Net Level Premium Method or the Commissioners’ Reserve Valuation Method, as appropriate. Reserves for group and individual annuity contracts are computed on CARVM or using the principle based requirements of Reg 213, as appropriate. The reserves are based on mortality, morbidity and interest rate assumptions prescribed by New York Insurance Law. Such reserves are sufficient to provide for contractual surrender values.</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Periodically, to reflect changes in circumstances or regulatory requirements, the Company may change the assumptions, methodologies or procedures used to calculate reserves. Primarily, the changes in methodologies and procedures, or changes in “valuation basis,” are recorded as direct adjustments to surplus cumulatively in the accounting year applied, whereas generally, changes in reserves, including certain actuarial assumptions, are reflected in net income.</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Reserves for deposit-type contracts, which do not subject the reporting entity to any risks arising from policyholder mortality or morbidity, are equal to deposits received and interest credited to the benefit of contract holders, less fees and other charges assessed and surrenders or withdrawals that represent a return to the contract 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Valuation Reserve and Interest Maintenance Reserve</w:t>
      </w:r>
    </w:p>
    <w:p>
      <w:pPr>
        <w:spacing w:after="0" w:line="31"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The Company has established an AVR and IMR for the General Account and Separate Account investments, where required. An AVR is established for potential credit-related losses on applicable General Account and Separate Account invested assets. Changes to the AVR are reported as direct additions to or deductions from surplus. An IMR is established for interest-related realized capital gains (losses) resulting from changes in the general level of interest rates for the General Account, and any Separate Accounts, not carried at estimated fair value. Transfers to the IMR are deducted from realized</w:t>
      </w:r>
    </w:p>
    <w:p>
      <w:pPr>
        <w:sectPr>
          <w:pgSz w:w="11900" w:h="16838" w:orient="portrait"/>
          <w:cols w:equalWidth="0" w:num="1">
            <w:col w:w="9019"/>
          </w:cols>
          <w:pgMar w:left="1440" w:top="1373" w:right="1440" w:bottom="245" w:gutter="0" w:footer="0" w:header="0"/>
        </w:sectPr>
      </w:pPr>
    </w:p>
    <w:p>
      <w:pPr>
        <w:spacing w:after="0" w:line="3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9019"/>
          </w:cols>
          <w:pgMar w:left="1440" w:top="1373" w:right="1440" w:bottom="245" w:gutter="0" w:footer="0" w:header="0"/>
          <w:type w:val="continuous"/>
        </w:sectPr>
      </w:pPr>
    </w:p>
    <w:bookmarkStart w:id="129" w:name="page130"/>
    <w:bookmarkEnd w:id="129"/>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t>capital gains and losses and are net of related Federal income tax. IMR amortization, as calculated under the Grouped Method as specified by NY SAP, is included in net investment income. Net realized capital gains (losses) are presented net of Federal income tax expense or benefit and IMR transfer. The IMR can be either an asset or a liability, with the asset subject to certain recognition limits as prescribed by NY SAP.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In general, premiums are recognized as income when due from policyholders under the terms of the insurance contract. Investment income is recognized as income when earned. The earnings on certain investments are dependent upon market conditions, which could result in prepayments and changes in amounts to be earned due to changing interest rates or equity markets. Other income (loss) primarily includes management fees relating to Separate Account contracts.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Benefits and Expenses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Expenses, including policy acquisition costs and Federal income tax, are charged to operations as incurred. Amounts received as payment for and amounts representing return of policyholder balances relating to deposit-type contracts are not reported as income or benefits but are recorded directly to the liability for deposit-type contracts.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holds investments denominated in foreign currencies, which are carried at the foreign exchange spot rate at the end of the year. Any increases or decreases in the carrying amount of the Company’s investments denominated in foreign currencies due to changes in exchange rates between years are recorded as a change in General Account net unrealized capital gains (losses) which are credited or charged directly to surplus.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 Operations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Separate Accounts are established in conformity with insurance laws and are generally not chargeable with liabilities that arise from any other business of the Company. Separate Account assets are subject to General Account claims only to the extent that the value of such assets exceeds the Separate Account liabilities. Investments (generally stated at estimated fair value) and liabilities of the Separate Accounts are reported separately as assets and liabilities. Investment income and realized and unrealized capital gains (losses) on the investments accrue directly to contract holders and accordingly, are not reflected in the Company’s Statutory Statements of Operations and Changes in Capital and Surplus and Cash Flow.</w:t>
      </w:r>
    </w:p>
    <w:p>
      <w:pPr>
        <w:spacing w:after="0" w:line="8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Certain other Separate Accounts guarantee levels of returns or benefits. These Separate Accounts could therefore contain assets in excess of reserves as described in SSAP No. 56, Separate Accounts. The surplus generated by the Separate Accounts that contain guaranteed levels of return or benefit is recognized as net income on the Company’s Annual Statutory Statements of Operations and Changes in Capital and Surplus. At December 31, 2023 and 2022, and 2021, there was no seed money invested in the various Separate Accounts.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2021 and 2022, the Company, Brighthouse Insurance, and Brighthouse Reinsurance Company of Delaware (“BRCD), joined in filing a consolidated federal income tax return (“consolidated return”). In connection with the filing of a consolidated return, the Company, Brighthouse Insurance, and BRCD entered into a tax sharing agreement (and related supplements) which provides that members shall receive reimbursement to the extent that their tax attributes result in a reduction of the tax liability of the consolidated group.</w:t>
      </w:r>
    </w:p>
    <w:p>
      <w:pPr>
        <w:spacing w:after="0" w:line="7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Brighthouse and certain of its subsidiaries, including the Company (collectively the “Consolidating Companies”), intend to file a consolidated return for the years ended December 31, 2023 and future years. In furtherance thereof, such parties intend to join a new tax sharing agreement, pursuant to which federal taxes are computed on a modified separate return basis with benefits for losses.</w:t>
      </w:r>
    </w:p>
    <w:p>
      <w:pPr>
        <w:sectPr>
          <w:pgSz w:w="11900" w:h="16838" w:orient="portrait"/>
          <w:cols w:equalWidth="0" w:num="1">
            <w:col w:w="9019"/>
          </w:cols>
          <w:pgMar w:left="1440" w:top="1373" w:right="1440" w:bottom="1440"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9019"/>
          </w:cols>
          <w:pgMar w:left="1440" w:top="1373" w:right="1440" w:bottom="1440" w:gutter="0" w:footer="0" w:header="0"/>
          <w:type w:val="continuous"/>
        </w:sectPr>
      </w:pPr>
    </w:p>
    <w:bookmarkStart w:id="130" w:name="page131"/>
    <w:bookmarkEnd w:id="13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future tax consequences of temporary differences between statutory financial reporting and tax basis of assets and liabilities are measured at the financial reporting dates and are recorded as DTA and liabilities, subject to certain limitations. Changes in DTA and deferred income tax liabilities (“DTL”), including changes attributable to changes in tax rates and changes in tax status, if any, are recognized as a separate component of gains and losses in unassigned surplus (deficit).</w:t>
      </w:r>
    </w:p>
    <w:p>
      <w:pPr>
        <w:spacing w:after="0" w:line="75"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DTA are limited to: (i) an amount expected to be realized within the applicable period that is no greater than the applicable percentage of statutory capital and surplus as required to be shown on the statutory balance sheet for the current reporting period’s statement, adjusted to exclude any net DTA plus; (ii) the amount of remaining gross DTA that can be offset against existing gross DTL. Any remaining DTA are nonadmitted.</w:t>
      </w:r>
    </w:p>
    <w:p>
      <w:pPr>
        <w:spacing w:after="0" w:line="72"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The realization of DTA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DTA will not be realized. Significant judgment is required in determining whether valuation allowances should be established, as well as the amount of such allowances. When making such determination, the Company considers many factors, including:</w:t>
      </w:r>
    </w:p>
    <w:p>
      <w:pPr>
        <w:spacing w:after="0" w:line="79" w:lineRule="exact"/>
        <w:rPr>
          <w:sz w:val="20"/>
          <w:szCs w:val="20"/>
          <w:color w:val="auto"/>
        </w:rPr>
      </w:pPr>
    </w:p>
    <w:p>
      <w:pPr>
        <w:ind w:left="680" w:hanging="208"/>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frequency, and amount of cumulative financial reporting income and losses in recent years;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in which the DTA was generated;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carryforwards can be utilized in the various taxing jurisdictions;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planning strategies.</w:t>
      </w:r>
    </w:p>
    <w:p>
      <w:pPr>
        <w:spacing w:after="0" w:line="117"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The Company may be required to change its provision for income taxes in certain circumstances. Examples of such circumstances include when estimates used in determining valuation allowances on DTA significantly change or when receipt of new information indicates the need for an adjustment in valuation allowances. Additionally, future events, such as changes in tax laws, tax regulations, or interpretations of such laws or regulations, could have an impact on the provision for income taxes and the effective tax rate. Any such changes could significantly affect the amounts reported in the financial statements in the year these changes occur.</w:t>
      </w:r>
    </w:p>
    <w:p>
      <w:pPr>
        <w:spacing w:after="0" w:line="7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by the appropriate taxing authorities before any part of the benefit can be recorded in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classifies interest and penalties as a component of income tax expense.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A transaction between related parties involving the exchange of assets or liabilities is classified as either an economic transaction or a non-economic transaction. An economic transaction is defined as an arm’s-length transaction which results in the transfer of risks and rewards of ownership and represents a consummated act thereof, i.e., “permanence.” Non-economic transactions between the Company and a related party insurance entity are recorded at the lower of existing book values or estimated fair values at the date of the transaction. Non-economic transactions between the Company and related parties that are not insurance entities are recorded at the estimated fair value at the date of the transaction; however, to the extent that the transaction results in a gain, an offsetting unrealized capital loss and liability is recorded to defer any impact on surplus. Economic transactions between the Company and other related parties are recorded at estimated fair value at the date of the transaction. To the extent that the related parties are affiliates under control of the Company, the</w:t>
      </w:r>
    </w:p>
    <w:p>
      <w:pPr>
        <w:sectPr>
          <w:pgSz w:w="11900" w:h="16838" w:orient="portrait"/>
          <w:cols w:equalWidth="0" w:num="1">
            <w:col w:w="9019"/>
          </w:cols>
          <w:pgMar w:left="1440" w:top="1373" w:right="1440" w:bottom="1440" w:gutter="0" w:footer="0" w:header="0"/>
        </w:sectPr>
      </w:pPr>
    </w:p>
    <w:p>
      <w:pPr>
        <w:spacing w:after="0" w:line="38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9019"/>
          </w:cols>
          <w:pgMar w:left="1440" w:top="1373" w:right="1440" w:bottom="1440" w:gutter="0" w:footer="0" w:header="0"/>
          <w:type w:val="continuous"/>
        </w:sectPr>
      </w:pPr>
    </w:p>
    <w:bookmarkStart w:id="131" w:name="page132"/>
    <w:bookmarkEnd w:id="131"/>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spacing w:after="0" w:line="266" w:lineRule="auto"/>
        <w:rPr>
          <w:sz w:val="20"/>
          <w:szCs w:val="20"/>
          <w:color w:val="auto"/>
        </w:rPr>
      </w:pPr>
      <w:r>
        <w:rPr>
          <w:rFonts w:ascii="Times New Roman" w:cs="Times New Roman" w:eastAsia="Times New Roman" w:hAnsi="Times New Roman"/>
          <w:sz w:val="18"/>
          <w:szCs w:val="18"/>
          <w:color w:val="auto"/>
        </w:rPr>
        <w:t>Company defers the effects of such transactions that result in gains or increases in surplus by recording an offsetting unrealized capital loss and liability. A transaction involving services between related parties is recorded at the amount charged and is generally subject to regulatory approval.</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Fair Value Information</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All Financial Instruments</w:t>
      </w:r>
    </w:p>
    <w:p>
      <w:pPr>
        <w:spacing w:after="0" w:line="121" w:lineRule="exact"/>
        <w:rPr>
          <w:sz w:val="20"/>
          <w:szCs w:val="20"/>
          <w:color w:val="auto"/>
        </w:rPr>
      </w:pPr>
    </w:p>
    <w:p>
      <w:pPr>
        <w:ind w:left="480" w:right="839"/>
        <w:spacing w:after="0" w:line="282" w:lineRule="auto"/>
        <w:rPr>
          <w:sz w:val="20"/>
          <w:szCs w:val="20"/>
          <w:color w:val="auto"/>
        </w:rPr>
      </w:pPr>
      <w:r>
        <w:rPr>
          <w:rFonts w:ascii="Times New Roman" w:cs="Times New Roman" w:eastAsia="Times New Roman" w:hAnsi="Times New Roman"/>
          <w:sz w:val="18"/>
          <w:szCs w:val="18"/>
          <w:color w:val="auto"/>
        </w:rPr>
        <w:t>Information related to the aggregate fair value of financial instruments is shown below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Admitted Value</w:t>
            </w:r>
          </w:p>
        </w:tc>
        <w:tc>
          <w:tcPr>
            <w:tcW w:w="80" w:type="dxa"/>
            <w:vAlign w:val="bottom"/>
          </w:tcPr>
          <w:p>
            <w:pPr>
              <w:spacing w:after="0"/>
              <w:rPr>
                <w:sz w:val="16"/>
                <w:szCs w:val="16"/>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4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1,528</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9"/>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invested assets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due and accrued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7,375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10,699</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2"/>
              </w:rPr>
              <w:t>11,248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9,073</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1,120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contracts included in: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 for deposit-type contracts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39"/>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Borrowed Money (including interest thereon)</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for collateral received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9019"/>
          </w:cols>
          <w:pgMar w:left="1440" w:top="1373" w:right="1440" w:bottom="1440" w:gutter="0" w:footer="0" w:header="0"/>
          <w:type w:val="continuous"/>
        </w:sectPr>
      </w:pPr>
    </w:p>
    <w:bookmarkStart w:id="132" w:name="page133"/>
    <w:bookmarkEnd w:id="13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Admitted Value</w:t>
            </w:r>
          </w:p>
        </w:tc>
        <w:tc>
          <w:tcPr>
            <w:tcW w:w="80" w:type="dxa"/>
            <w:vAlign w:val="bottom"/>
          </w:tcPr>
          <w:p>
            <w:pPr>
              <w:spacing w:after="0"/>
              <w:rPr>
                <w:sz w:val="16"/>
                <w:szCs w:val="16"/>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1,520</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1,403</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9"/>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invested assets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due and accrued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7,492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7,971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9,957</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10,659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8,147</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1,121</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contracts included in: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 for deposit-type contracts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39"/>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Borrowed Money (including interest thereon)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for collateral received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Account liabilities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0" w:right="739" w:hanging="288"/>
        <w:spacing w:after="0" w:line="228" w:lineRule="auto"/>
        <w:tabs>
          <w:tab w:leader="none" w:pos="400"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Classification of derivatives is based on each derivative’s positive (asset) or negative (liability) book/adjusted carrying value, which equals the net admitted assets and liabilities.</w:t>
      </w:r>
    </w:p>
    <w:p>
      <w:pPr>
        <w:spacing w:after="0" w:line="87" w:lineRule="exact"/>
        <w:rPr>
          <w:sz w:val="20"/>
          <w:szCs w:val="20"/>
          <w:color w:val="auto"/>
        </w:rPr>
      </w:pPr>
    </w:p>
    <w:p>
      <w:pPr>
        <w:jc w:val="both"/>
        <w:ind w:left="120" w:right="659" w:firstLine="360"/>
        <w:spacing w:after="0" w:line="256" w:lineRule="auto"/>
        <w:rPr>
          <w:sz w:val="20"/>
          <w:szCs w:val="20"/>
          <w:color w:val="auto"/>
        </w:rPr>
      </w:pPr>
      <w:r>
        <w:rPr>
          <w:rFonts w:ascii="Times New Roman" w:cs="Times New Roman" w:eastAsia="Times New Roman" w:hAnsi="Times New Roman"/>
          <w:sz w:val="18"/>
          <w:szCs w:val="18"/>
          <w:color w:val="auto"/>
        </w:rPr>
        <w:t>When developing estimated fair values, the Company considers three broad valuation techniques: (i) the market approach, (ii) the income approach, and (iii) 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 The Company defines</w:t>
      </w:r>
    </w:p>
    <w:p>
      <w:pPr>
        <w:spacing w:after="0" w:line="27" w:lineRule="exact"/>
        <w:rPr>
          <w:sz w:val="20"/>
          <w:szCs w:val="20"/>
          <w:color w:val="auto"/>
        </w:rPr>
      </w:pPr>
    </w:p>
    <w:p>
      <w:pPr>
        <w:ind w:left="800" w:right="739" w:hanging="688"/>
        <w:spacing w:after="0" w:line="260"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markets based on average trading volume for equity securities. The size of the bid/ask spread is used as an indicator of market activity for fixed maturity securities.</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Quoted prices in markets that are not active or inputs that are observable either directly or indirectly.</w:t>
      </w:r>
    </w:p>
    <w:p>
      <w:pPr>
        <w:spacing w:after="0" w:line="27" w:lineRule="exact"/>
        <w:rPr>
          <w:sz w:val="20"/>
          <w:szCs w:val="20"/>
          <w:color w:val="auto"/>
        </w:rPr>
      </w:pPr>
    </w:p>
    <w:p>
      <w:pPr>
        <w:jc w:val="both"/>
        <w:ind w:left="800" w:right="739" w:hanging="688"/>
        <w:spacing w:after="0" w:line="253" w:lineRule="auto"/>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are significant to the</w:t>
      </w:r>
    </w:p>
    <w:p>
      <w:pPr>
        <w:spacing w:after="0" w:line="27" w:lineRule="exact"/>
        <w:rPr>
          <w:sz w:val="20"/>
          <w:szCs w:val="20"/>
          <w:color w:val="auto"/>
        </w:rPr>
      </w:pPr>
    </w:p>
    <w:p>
      <w:pPr>
        <w:jc w:val="both"/>
        <w:ind w:left="800" w:right="739" w:hanging="688"/>
        <w:spacing w:after="0" w:line="255"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estimated fair value of the assets or liabilities. Unobservable inputs reflect the reporting entity’s own assumptions about the assumptions that market participants would use in pricing the asset or liability.</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Estimated Fair Value</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defines estimated fair value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ectPr>
          <w:pgSz w:w="11900" w:h="16838" w:orient="portrait"/>
          <w:cols w:equalWidth="0" w:num="1">
            <w:col w:w="9019"/>
          </w:cols>
          <w:pgMar w:left="1440" w:top="1373" w:right="1440" w:bottom="717"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9019"/>
          </w:cols>
          <w:pgMar w:left="1440" w:top="1373" w:right="1440" w:bottom="717" w:gutter="0" w:footer="0" w:header="0"/>
          <w:type w:val="continuous"/>
        </w:sectPr>
      </w:pPr>
    </w:p>
    <w:bookmarkStart w:id="133" w:name="page134"/>
    <w:bookmarkEnd w:id="13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In general, the estimated fair value of investments classified within Level 1 are based on quoted prices in active markets that are readily and regularly obtainable. These investments are the most liquid of the Company’s securities holdings and valuation of these securities does not involve management’s judgment. Investments classified within Level 3 use many of the same valuation technique and inputs as described in the Level 2 discussions. However, if key inputs are unobservable, or if the investments are less liquid and there is very limited trading activity, the investments are generally classified as Level 3. The use of independent non-binding broker quotations to value investments generally indicates there is a lack of liquidity or the general lack of transparency in the process to develop the valuation estimates generally causing such investments to be classified in Level 3.</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Bonds, Preferred Stock, Cash, Cash Equivalents and Short-term Investments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 Level 1 assets, the estimated fair value is determined using quoted prices in active markets that are readily and regularly obtainable. Additionally, as the estimated fair value for cash approximates carrying value, due to the nature of cash, it is classified as Level 1.</w:t>
      </w:r>
    </w:p>
    <w:p>
      <w:pPr>
        <w:spacing w:after="0" w:line="8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Level 2 assets, estimated fair values are determined using an income approach. The estimated fair value is determined using third-party commercial pricing services, with the primary inputs being quoted prices in markets that are not active, benchmark yields, spreads off benchmark yields, new issuances, issuer rating, trades of identical or comparable securities, and duration for Level 2 assets. Privately-placed securities are valued using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estimated fair value for preferred stock is determined using third-party commercial pricing services, with the primary input being quoted prices in markets that are not active. Generally, these investments are classified in Level 2 or Level 3. Preferred stock value using significant observable inputs are classified in Level 2 and those valued using significant unobservable inputs are classified in Level 3.</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For mortgage loans, estimated fair value is primarily determined by estimating expected future cash flows and discounting them using current interest rates for similar mortgage loans with similar credit risk, or is determined from pricing for similar mortgage loans. The estimated fair values for impaired mortgage loans are principally obtained by estimating the fair value of the underlying collateral using market standard appraisal and valuation methods. Mortgage loans valued using significant unobservable inputs are classified in Level 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OTC-bilateral derivatives classified as Level 2 assets or liabilities, estimated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derivatives are inputs that are observable in the market or can be derived principally from, or corroborated by, observable market data.</w:t>
      </w:r>
    </w:p>
    <w:p>
      <w:pPr>
        <w:spacing w:after="0" w:line="5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Most inputs for OTC-bilateral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the net change in capital and surplus.</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derivatives, and any potential credit adjustment is based on the net exposure by counterparty after taking into account the effects of netting agreements and collateral arrangements. The Company values its OTC-bilateral derivatives</w:t>
      </w:r>
    </w:p>
    <w:p>
      <w:pPr>
        <w:sectPr>
          <w:pgSz w:w="11900" w:h="16838" w:orient="portrait"/>
          <w:cols w:equalWidth="0" w:num="1">
            <w:col w:w="9019"/>
          </w:cols>
          <w:pgMar w:left="1440" w:top="1373" w:right="1440" w:bottom="1440"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9019"/>
          </w:cols>
          <w:pgMar w:left="1440" w:top="1373" w:right="1440" w:bottom="1440" w:gutter="0" w:footer="0" w:header="0"/>
          <w:type w:val="continuous"/>
        </w:sectPr>
      </w:pPr>
    </w:p>
    <w:bookmarkStart w:id="134" w:name="page135"/>
    <w:bookmarkEnd w:id="13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54" w:lineRule="auto"/>
        <w:rPr>
          <w:sz w:val="20"/>
          <w:szCs w:val="20"/>
          <w:color w:val="auto"/>
        </w:rPr>
      </w:pPr>
      <w:r>
        <w:rPr>
          <w:rFonts w:ascii="Times New Roman" w:cs="Times New Roman" w:eastAsia="Times New Roman" w:hAnsi="Times New Roman"/>
          <w:sz w:val="18"/>
          <w:szCs w:val="18"/>
          <w:color w:val="auto"/>
        </w:rPr>
        <w:t>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estimated fair value of other invested assets is determined using the methodologies as described in the above sections titled “Bonds, Preferred Stock, Cash, Cash Equivalents and Short-term Investments”, based on the nature of the investment. Excluded from the disclosure are those invested assets that are not considered to be financial instruments subject to this disclosure including investments accounted for under the equity method.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Due and Accrued</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Due to the short-term nature of investment income due and accrued, the Company believes there is minimal risk of material changes in interest rates or the credit of the issuer such that estimated fair value approximates carrying value. These amounts are generally classified in Level 2.</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 Level 1 assets, the estimated fair value is determined using quoted prices in active markets that are readily and regularly obtainable. Additionally, as the estimated fair value for cash equivalents carrying value, due to the nature of cash, it is classified as Level 1.</w:t>
      </w:r>
    </w:p>
    <w:p>
      <w:pPr>
        <w:spacing w:after="0" w:line="68"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For Separate Account assets classified as Level 2 assets, estimated fair values are determined using either a market or income approach. The estimated fair value is determined using third-party commercial pricing services, with the primary input being quoted securitization market price determined principally by independent pricing services using observable inputs or quoted prices or reported net asset value (“NAV”) provided by the fund managers.</w:t>
      </w:r>
    </w:p>
    <w:p>
      <w:pPr>
        <w:spacing w:after="0" w:line="7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8" w:lineRule="exact"/>
        <w:rPr>
          <w:sz w:val="20"/>
          <w:szCs w:val="20"/>
          <w:color w:val="auto"/>
        </w:rPr>
      </w:pPr>
    </w:p>
    <w:p>
      <w:pPr>
        <w:ind w:left="120" w:right="10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Contracts Included in Reserves for Life and Health Insurance and Annuities and Liability for Deposit-Type Contracts</w:t>
      </w:r>
    </w:p>
    <w:p>
      <w:pPr>
        <w:spacing w:after="0" w:line="5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fair value of investment contracts included in reserves for life and health insurance and annuities and in the liability for deposit-type contracts is estimated by discounting best estimate future cash flows based on assumptions that market participants would use in pricing such liabilities, with consideration of the Company’s non-performance risk (own-credit risk) not reflected in the fair value calculation. The assumptions used in estimating these fair values are based in part on unobservable inputs classified in Level 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Borrowed Money</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estimated fair value for borrowed money (including interest thereon) approximates carrying value due to the short-term maturities of these instruments. The amounts are classified in Level 2.</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9019"/>
          </w:cols>
          <w:pgMar w:left="1440" w:top="1373" w:right="1440" w:bottom="1440" w:gutter="0" w:footer="0" w:header="0"/>
          <w:type w:val="continuous"/>
        </w:sectPr>
      </w:pPr>
    </w:p>
    <w:bookmarkStart w:id="135" w:name="page136"/>
    <w:bookmarkEnd w:id="13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Payable for Collateral Received</w:t>
      </w:r>
    </w:p>
    <w:p>
      <w:pPr>
        <w:spacing w:after="0" w:line="121"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estimated fair value of amounts payable for collateral received approximates carrying value as these obligations are short-term in nature. These amounts are generally classified in Level 2.</w:t>
      </w:r>
    </w:p>
    <w:p>
      <w:pPr>
        <w:spacing w:after="0" w:line="158" w:lineRule="exact"/>
        <w:rPr>
          <w:sz w:val="20"/>
          <w:szCs w:val="20"/>
          <w:color w:val="auto"/>
        </w:rPr>
      </w:pPr>
    </w:p>
    <w:p>
      <w:pPr>
        <w:ind w:left="120" w:right="2339"/>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and Reported at Estimated Fair Value at Reporting Date </w:t>
      </w:r>
      <w:r>
        <w:rPr>
          <w:rFonts w:ascii="Times New Roman" w:cs="Times New Roman" w:eastAsia="Times New Roman" w:hAnsi="Times New Roman"/>
          <w:sz w:val="18"/>
          <w:szCs w:val="18"/>
          <w:i w:val="1"/>
          <w:iCs w:val="1"/>
          <w:color w:val="auto"/>
        </w:rPr>
        <w:t>Hierarchy Table</w:t>
      </w: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financial assets and liabilities measured and reported at estimated fair value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4540" w:type="dxa"/>
            <w:vAlign w:val="bottom"/>
            <w:tcBorders>
              <w:bottom w:val="single" w:sz="8" w:color="F0FFFF"/>
            </w:tcBorders>
            <w:shd w:val="clear" w:color="auto" w:fill="F0FFFF"/>
          </w:tcPr>
          <w:p>
            <w:pPr>
              <w:spacing w:after="0"/>
              <w:rPr>
                <w:sz w:val="24"/>
                <w:szCs w:val="24"/>
                <w:color w:val="auto"/>
              </w:rPr>
            </w:pPr>
          </w:p>
        </w:tc>
        <w:tc>
          <w:tcPr>
            <w:tcW w:w="3120" w:type="dxa"/>
            <w:vAlign w:val="bottom"/>
            <w:tcBorders>
              <w:bottom w:val="single" w:sz="8" w:color="auto"/>
            </w:tcBorders>
            <w:gridSpan w:val="1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540" w:type="dxa"/>
            <w:vAlign w:val="bottom"/>
            <w:tcBorders>
              <w:top w:val="single" w:sz="8" w:color="F0FFFF"/>
            </w:tcBorders>
          </w:tcPr>
          <w:p>
            <w:pPr>
              <w:spacing w:after="0"/>
              <w:rPr>
                <w:sz w:val="21"/>
                <w:szCs w:val="21"/>
                <w:color w:val="auto"/>
              </w:rPr>
            </w:pPr>
          </w:p>
        </w:tc>
        <w:tc>
          <w:tcPr>
            <w:tcW w:w="260" w:type="dxa"/>
            <w:vAlign w:val="bottom"/>
            <w:tcBorders>
              <w:top w:val="single" w:sz="8" w:color="F0FFFF"/>
              <w:bottom w:val="single" w:sz="8" w:color="auto"/>
            </w:tcBorders>
          </w:tcPr>
          <w:p>
            <w:pPr>
              <w:spacing w:after="0"/>
              <w:rPr>
                <w:sz w:val="21"/>
                <w:szCs w:val="21"/>
                <w:color w:val="auto"/>
              </w:rPr>
            </w:pPr>
          </w:p>
        </w:tc>
        <w:tc>
          <w:tcPr>
            <w:tcW w:w="700" w:type="dxa"/>
            <w:vAlign w:val="bottom"/>
            <w:tcBorders>
              <w:top w:val="single" w:sz="8" w:color="F0FFFF"/>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top w:val="single" w:sz="8" w:color="F0FFFF"/>
            </w:tcBorders>
          </w:tcPr>
          <w:p>
            <w:pPr>
              <w:spacing w:after="0"/>
              <w:rPr>
                <w:sz w:val="21"/>
                <w:szCs w:val="21"/>
                <w:color w:val="auto"/>
              </w:rPr>
            </w:pPr>
          </w:p>
        </w:tc>
        <w:tc>
          <w:tcPr>
            <w:tcW w:w="220" w:type="dxa"/>
            <w:vAlign w:val="bottom"/>
            <w:tcBorders>
              <w:top w:val="single" w:sz="8" w:color="F0FFFF"/>
              <w:bottom w:val="single" w:sz="8" w:color="auto"/>
            </w:tcBorders>
          </w:tcPr>
          <w:p>
            <w:pPr>
              <w:spacing w:after="0"/>
              <w:rPr>
                <w:sz w:val="21"/>
                <w:szCs w:val="21"/>
                <w:color w:val="auto"/>
              </w:rPr>
            </w:pPr>
          </w:p>
        </w:tc>
        <w:tc>
          <w:tcPr>
            <w:tcW w:w="820" w:type="dxa"/>
            <w:vAlign w:val="bottom"/>
            <w:tcBorders>
              <w:top w:val="single" w:sz="8" w:color="F0FFFF"/>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F0FFFF"/>
            </w:tcBorders>
          </w:tcPr>
          <w:p>
            <w:pPr>
              <w:spacing w:after="0"/>
              <w:rPr>
                <w:sz w:val="21"/>
                <w:szCs w:val="21"/>
                <w:color w:val="auto"/>
              </w:rPr>
            </w:pPr>
          </w:p>
        </w:tc>
        <w:tc>
          <w:tcPr>
            <w:tcW w:w="260" w:type="dxa"/>
            <w:vAlign w:val="bottom"/>
            <w:tcBorders>
              <w:top w:val="single" w:sz="8" w:color="F0FFFF"/>
              <w:bottom w:val="single" w:sz="8" w:color="auto"/>
            </w:tcBorders>
          </w:tcPr>
          <w:p>
            <w:pPr>
              <w:spacing w:after="0"/>
              <w:rPr>
                <w:sz w:val="21"/>
                <w:szCs w:val="21"/>
                <w:color w:val="auto"/>
              </w:rPr>
            </w:pPr>
          </w:p>
        </w:tc>
        <w:tc>
          <w:tcPr>
            <w:tcW w:w="720" w:type="dxa"/>
            <w:vAlign w:val="bottom"/>
            <w:tcBorders>
              <w:top w:val="single" w:sz="8" w:color="F0FFFF"/>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F0FFFF"/>
            </w:tcBorders>
          </w:tcPr>
          <w:p>
            <w:pPr>
              <w:spacing w:after="0"/>
              <w:rPr>
                <w:sz w:val="21"/>
                <w:szCs w:val="21"/>
                <w:color w:val="auto"/>
              </w:rPr>
            </w:pPr>
          </w:p>
        </w:tc>
        <w:tc>
          <w:tcPr>
            <w:tcW w:w="40" w:type="dxa"/>
            <w:vAlign w:val="bottom"/>
            <w:tcBorders>
              <w:top w:val="single" w:sz="8" w:color="F0FFFF"/>
              <w:bottom w:val="single" w:sz="8" w:color="auto"/>
            </w:tcBorders>
          </w:tcPr>
          <w:p>
            <w:pPr>
              <w:spacing w:after="0"/>
              <w:rPr>
                <w:sz w:val="21"/>
                <w:szCs w:val="21"/>
                <w:color w:val="auto"/>
              </w:rPr>
            </w:pPr>
          </w:p>
        </w:tc>
        <w:tc>
          <w:tcPr>
            <w:tcW w:w="480" w:type="dxa"/>
            <w:vAlign w:val="bottom"/>
            <w:tcBorders>
              <w:top w:val="single" w:sz="8" w:color="F0FFFF"/>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1"/>
                <w:szCs w:val="21"/>
                <w:color w:val="auto"/>
              </w:rPr>
            </w:pP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2"/>
                <w:szCs w:val="22"/>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3"/>
                <w:szCs w:val="23"/>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assets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97"/>
        </w:trPr>
        <w:tc>
          <w:tcPr>
            <w:tcW w:w="454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 xml:space="preserve">Separate Account assets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4"/>
                <w:szCs w:val="24"/>
                <w:color w:val="auto"/>
              </w:rPr>
            </w:pPr>
          </w:p>
        </w:tc>
        <w:tc>
          <w:tcPr>
            <w:tcW w:w="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8"/>
              </w:rPr>
              <w:t>4,126</w:t>
            </w:r>
          </w:p>
        </w:tc>
        <w:tc>
          <w:tcPr>
            <w:tcW w:w="300" w:type="dxa"/>
            <w:vAlign w:val="bottom"/>
            <w:shd w:val="clear" w:color="auto" w:fill="F0FFFF"/>
          </w:tcPr>
          <w:p>
            <w:pPr>
              <w:spacing w:after="0"/>
              <w:rPr>
                <w:sz w:val="24"/>
                <w:szCs w:val="24"/>
                <w:color w:val="auto"/>
              </w:rPr>
            </w:pPr>
          </w:p>
        </w:tc>
        <w:tc>
          <w:tcPr>
            <w:tcW w:w="6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4,126</w:t>
            </w:r>
          </w:p>
        </w:tc>
        <w:tc>
          <w:tcPr>
            <w:tcW w:w="20" w:type="dxa"/>
            <w:vAlign w:val="bottom"/>
          </w:tcPr>
          <w:p>
            <w:pPr>
              <w:spacing w:after="0"/>
              <w:rPr>
                <w:sz w:val="24"/>
                <w:szCs w:val="24"/>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4,256</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4,256</w:t>
            </w:r>
          </w:p>
        </w:tc>
      </w:tr>
      <w:tr>
        <w:trPr>
          <w:trHeight w:val="21"/>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54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tcBorders>
              <w:bottom w:val="single" w:sz="8" w:color="F0FFFF"/>
            </w:tcBorders>
            <w:gridSpan w:val="2"/>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F0FFFF"/>
            </w:tcBorders>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-2373630</wp:posOffset>
            </wp:positionV>
            <wp:extent cx="5246370"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46370" cy="179705"/>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9019"/>
          </w:cols>
          <w:pgMar w:left="1440" w:top="1373" w:right="1440" w:bottom="1440" w:gutter="0" w:footer="0" w:header="0"/>
          <w:type w:val="continuous"/>
        </w:sectPr>
      </w:pPr>
    </w:p>
    <w:bookmarkStart w:id="136" w:name="page137"/>
    <w:bookmarkEnd w:id="13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4540" w:type="dxa"/>
            <w:vAlign w:val="bottom"/>
            <w:tcBorders>
              <w:bottom w:val="single" w:sz="8" w:color="F0FFFF"/>
            </w:tcBorders>
            <w:shd w:val="clear" w:color="auto" w:fill="F0FFFF"/>
          </w:tcPr>
          <w:p>
            <w:pPr>
              <w:spacing w:after="0"/>
              <w:rPr>
                <w:sz w:val="24"/>
                <w:szCs w:val="24"/>
                <w:color w:val="auto"/>
              </w:rPr>
            </w:pPr>
          </w:p>
        </w:tc>
        <w:tc>
          <w:tcPr>
            <w:tcW w:w="3120" w:type="dxa"/>
            <w:vAlign w:val="bottom"/>
            <w:tcBorders>
              <w:bottom w:val="single" w:sz="8" w:color="auto"/>
            </w:tcBorders>
            <w:gridSpan w:val="1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4540" w:type="dxa"/>
            <w:vAlign w:val="bottom"/>
            <w:tcBorders>
              <w:top w:val="single" w:sz="8" w:color="F0FFFF"/>
            </w:tcBorders>
          </w:tcPr>
          <w:p>
            <w:pPr>
              <w:spacing w:after="0"/>
              <w:rPr>
                <w:sz w:val="21"/>
                <w:szCs w:val="21"/>
                <w:color w:val="auto"/>
              </w:rPr>
            </w:pPr>
          </w:p>
        </w:tc>
        <w:tc>
          <w:tcPr>
            <w:tcW w:w="260" w:type="dxa"/>
            <w:vAlign w:val="bottom"/>
            <w:tcBorders>
              <w:top w:val="single" w:sz="8" w:color="F0FFFF"/>
              <w:bottom w:val="single" w:sz="8" w:color="auto"/>
            </w:tcBorders>
          </w:tcPr>
          <w:p>
            <w:pPr>
              <w:spacing w:after="0"/>
              <w:rPr>
                <w:sz w:val="21"/>
                <w:szCs w:val="21"/>
                <w:color w:val="auto"/>
              </w:rPr>
            </w:pPr>
          </w:p>
        </w:tc>
        <w:tc>
          <w:tcPr>
            <w:tcW w:w="700" w:type="dxa"/>
            <w:vAlign w:val="bottom"/>
            <w:tcBorders>
              <w:top w:val="single" w:sz="8" w:color="F0FFFF"/>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top w:val="single" w:sz="8" w:color="F0FFFF"/>
            </w:tcBorders>
          </w:tcPr>
          <w:p>
            <w:pPr>
              <w:spacing w:after="0"/>
              <w:rPr>
                <w:sz w:val="21"/>
                <w:szCs w:val="21"/>
                <w:color w:val="auto"/>
              </w:rPr>
            </w:pPr>
          </w:p>
        </w:tc>
        <w:tc>
          <w:tcPr>
            <w:tcW w:w="220" w:type="dxa"/>
            <w:vAlign w:val="bottom"/>
            <w:tcBorders>
              <w:top w:val="single" w:sz="8" w:color="F0FFFF"/>
              <w:bottom w:val="single" w:sz="8" w:color="auto"/>
            </w:tcBorders>
          </w:tcPr>
          <w:p>
            <w:pPr>
              <w:spacing w:after="0"/>
              <w:rPr>
                <w:sz w:val="21"/>
                <w:szCs w:val="21"/>
                <w:color w:val="auto"/>
              </w:rPr>
            </w:pPr>
          </w:p>
        </w:tc>
        <w:tc>
          <w:tcPr>
            <w:tcW w:w="820" w:type="dxa"/>
            <w:vAlign w:val="bottom"/>
            <w:tcBorders>
              <w:top w:val="single" w:sz="8" w:color="F0FFFF"/>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F0FFFF"/>
            </w:tcBorders>
          </w:tcPr>
          <w:p>
            <w:pPr>
              <w:spacing w:after="0"/>
              <w:rPr>
                <w:sz w:val="21"/>
                <w:szCs w:val="21"/>
                <w:color w:val="auto"/>
              </w:rPr>
            </w:pPr>
          </w:p>
        </w:tc>
        <w:tc>
          <w:tcPr>
            <w:tcW w:w="260" w:type="dxa"/>
            <w:vAlign w:val="bottom"/>
            <w:tcBorders>
              <w:top w:val="single" w:sz="8" w:color="F0FFFF"/>
              <w:bottom w:val="single" w:sz="8" w:color="auto"/>
            </w:tcBorders>
          </w:tcPr>
          <w:p>
            <w:pPr>
              <w:spacing w:after="0"/>
              <w:rPr>
                <w:sz w:val="21"/>
                <w:szCs w:val="21"/>
                <w:color w:val="auto"/>
              </w:rPr>
            </w:pPr>
          </w:p>
        </w:tc>
        <w:tc>
          <w:tcPr>
            <w:tcW w:w="720" w:type="dxa"/>
            <w:vAlign w:val="bottom"/>
            <w:tcBorders>
              <w:top w:val="single" w:sz="8" w:color="F0FFFF"/>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F0FFFF"/>
            </w:tcBorders>
          </w:tcPr>
          <w:p>
            <w:pPr>
              <w:spacing w:after="0"/>
              <w:rPr>
                <w:sz w:val="21"/>
                <w:szCs w:val="21"/>
                <w:color w:val="auto"/>
              </w:rPr>
            </w:pPr>
          </w:p>
        </w:tc>
        <w:tc>
          <w:tcPr>
            <w:tcW w:w="40" w:type="dxa"/>
            <w:vAlign w:val="bottom"/>
            <w:tcBorders>
              <w:top w:val="single" w:sz="8" w:color="F0FFFF"/>
              <w:bottom w:val="single" w:sz="8" w:color="auto"/>
            </w:tcBorders>
          </w:tcPr>
          <w:p>
            <w:pPr>
              <w:spacing w:after="0"/>
              <w:rPr>
                <w:sz w:val="21"/>
                <w:szCs w:val="21"/>
                <w:color w:val="auto"/>
              </w:rPr>
            </w:pPr>
          </w:p>
        </w:tc>
        <w:tc>
          <w:tcPr>
            <w:tcW w:w="480" w:type="dxa"/>
            <w:vAlign w:val="bottom"/>
            <w:tcBorders>
              <w:top w:val="single" w:sz="8" w:color="F0FFFF"/>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1"/>
                <w:szCs w:val="21"/>
                <w:color w:val="auto"/>
              </w:rPr>
            </w:pPr>
          </w:p>
        </w:tc>
      </w:tr>
      <w:tr>
        <w:trPr>
          <w:trHeight w:val="25"/>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1"/>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assets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54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tcBorders>
              <w:bottom w:val="single" w:sz="8" w:color="F0FFFF"/>
            </w:tcBorders>
            <w:gridSpan w:val="2"/>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F0FFFF"/>
            </w:tcBorders>
            <w:shd w:val="clear" w:color="auto" w:fill="F0FFFF"/>
          </w:tcPr>
          <w:p>
            <w:pPr>
              <w:spacing w:after="0"/>
              <w:rPr>
                <w:sz w:val="22"/>
                <w:szCs w:val="22"/>
                <w:color w:val="auto"/>
              </w:rPr>
            </w:pPr>
          </w:p>
        </w:tc>
        <w:tc>
          <w:tcPr>
            <w:tcW w:w="460" w:type="dxa"/>
            <w:vAlign w:val="bottom"/>
            <w:tcBorders>
              <w:bottom w:val="single" w:sz="8" w:color="F0FFFF"/>
            </w:tcBorders>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2"/>
                <w:szCs w:val="22"/>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23"/>
                <w:szCs w:val="23"/>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assets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97"/>
        </w:trPr>
        <w:tc>
          <w:tcPr>
            <w:tcW w:w="454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 xml:space="preserve">Separate Account assets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4"/>
                <w:szCs w:val="24"/>
                <w:color w:val="auto"/>
              </w:rPr>
            </w:pPr>
          </w:p>
        </w:tc>
        <w:tc>
          <w:tcPr>
            <w:tcW w:w="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8"/>
              </w:rPr>
              <w:t>3,922</w:t>
            </w:r>
          </w:p>
        </w:tc>
        <w:tc>
          <w:tcPr>
            <w:tcW w:w="300" w:type="dxa"/>
            <w:vAlign w:val="bottom"/>
            <w:shd w:val="clear" w:color="auto" w:fill="F0FFFF"/>
          </w:tcPr>
          <w:p>
            <w:pPr>
              <w:spacing w:after="0"/>
              <w:rPr>
                <w:sz w:val="24"/>
                <w:szCs w:val="24"/>
                <w:color w:val="auto"/>
              </w:rPr>
            </w:pPr>
          </w:p>
        </w:tc>
        <w:tc>
          <w:tcPr>
            <w:tcW w:w="6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3,922</w:t>
            </w:r>
          </w:p>
        </w:tc>
        <w:tc>
          <w:tcPr>
            <w:tcW w:w="20" w:type="dxa"/>
            <w:vAlign w:val="bottom"/>
          </w:tcPr>
          <w:p>
            <w:pPr>
              <w:spacing w:after="0"/>
              <w:rPr>
                <w:sz w:val="24"/>
                <w:szCs w:val="24"/>
                <w:color w:val="auto"/>
              </w:rPr>
            </w:pPr>
          </w:p>
        </w:tc>
      </w:tr>
      <w:tr>
        <w:trPr>
          <w:trHeight w:val="21"/>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4,281</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4,281</w:t>
            </w:r>
          </w:p>
        </w:tc>
      </w:tr>
      <w:tr>
        <w:trPr>
          <w:trHeight w:val="21"/>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54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2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30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26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3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Derivative liabilities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54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Interest rate</w:t>
            </w:r>
          </w:p>
        </w:tc>
        <w:tc>
          <w:tcPr>
            <w:tcW w:w="400" w:type="dxa"/>
            <w:vAlign w:val="bottom"/>
            <w:tcBorders>
              <w:bottom w:val="single" w:sz="8" w:color="F0FFFF"/>
            </w:tcBorders>
            <w:gridSpan w:val="2"/>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F0FFFF"/>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F0FFFF"/>
            </w:tcBorders>
            <w:gridSpan w:val="3"/>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F0FFFF"/>
            </w:tcBorders>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7"/>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r>
      <w:tr>
        <w:trPr>
          <w:trHeight w:val="270"/>
        </w:trPr>
        <w:tc>
          <w:tcPr>
            <w:tcW w:w="45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Equity market</w:t>
            </w: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6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5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r>
      <w:tr>
        <w:trPr>
          <w:trHeight w:val="20"/>
        </w:trPr>
        <w:tc>
          <w:tcPr>
            <w:tcW w:w="45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8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24"/>
                <w:szCs w:val="24"/>
                <w:color w:val="auto"/>
              </w:rPr>
            </w:pP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
        </w:trPr>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400" w:hanging="288"/>
        <w:spacing w:after="0"/>
        <w:tabs>
          <w:tab w:leader="none" w:pos="40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Derivative assets and derivative liabilities presented in the table above represent only those derivatives that are carried at estimated fair</w:t>
      </w:r>
    </w:p>
    <w:p>
      <w:pPr>
        <w:ind w:left="400"/>
        <w:spacing w:after="0"/>
        <w:rPr>
          <w:sz w:val="20"/>
          <w:szCs w:val="20"/>
          <w:color w:val="auto"/>
        </w:rPr>
      </w:pPr>
      <w:r>
        <w:rPr>
          <w:rFonts w:ascii="Times New Roman" w:cs="Times New Roman" w:eastAsia="Times New Roman" w:hAnsi="Times New Roman"/>
          <w:sz w:val="14"/>
          <w:szCs w:val="14"/>
          <w:color w:val="auto"/>
        </w:rPr>
        <w:t>value. Accordingly, the amounts above exclude highly effective derivatives carried at amortized cost.</w:t>
      </w:r>
    </w:p>
    <w:p>
      <w:pPr>
        <w:ind w:left="120"/>
        <w:spacing w:after="0" w:line="190" w:lineRule="auto"/>
        <w:rPr>
          <w:sz w:val="20"/>
          <w:szCs w:val="20"/>
          <w:color w:val="auto"/>
        </w:rPr>
      </w:pPr>
      <w:r>
        <w:rPr>
          <w:rFonts w:ascii="Times New Roman" w:cs="Times New Roman" w:eastAsia="Times New Roman" w:hAnsi="Times New Roman"/>
          <w:sz w:val="9"/>
          <w:szCs w:val="9"/>
          <w:color w:val="auto"/>
        </w:rPr>
        <w:t>(2)</w:t>
      </w:r>
    </w:p>
    <w:p>
      <w:pPr>
        <w:jc w:val="both"/>
        <w:ind w:left="400" w:right="739"/>
        <w:spacing w:after="0" w:line="245" w:lineRule="auto"/>
        <w:rPr>
          <w:sz w:val="20"/>
          <w:szCs w:val="20"/>
          <w:color w:val="auto"/>
        </w:rPr>
      </w:pPr>
      <w:r>
        <w:rPr>
          <w:rFonts w:ascii="Times New Roman" w:cs="Times New Roman" w:eastAsia="Times New Roman" w:hAnsi="Times New Roman"/>
          <w:sz w:val="14"/>
          <w:szCs w:val="14"/>
          <w:color w:val="auto"/>
        </w:rPr>
        <w:t>Separate Account assets are subject to General Account claims only to the extent that the value of such assets exceeds the Separate Account liabilities or for those assets that are not legally insulated. Investments (stated generally at estimated fair value) and liabilities of the Separate Accounts are reported separately as assets and liabilities. Separate Account assets as presented in the table above may differ from the amounts presented in the Statutory Statements of Admitted Assets, Liabilities and Capital and Surplus because certain of these investments are not measured at estimated fair value (such as institutional separate accounts carried at book value).</w:t>
      </w:r>
    </w:p>
    <w:p>
      <w:pPr>
        <w:spacing w:after="0" w:line="85"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See “Determination of Estimated Fair Value” above for a description of the valuation technique(s) and the inputs used in the fair value measurement for assets and liabilities measured and reported at fair value.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between Levels</w:t>
      </w:r>
    </w:p>
    <w:p>
      <w:pPr>
        <w:spacing w:after="0" w:line="121" w:lineRule="exact"/>
        <w:rPr>
          <w:sz w:val="20"/>
          <w:szCs w:val="20"/>
          <w:color w:val="auto"/>
        </w:rPr>
      </w:pPr>
    </w:p>
    <w:p>
      <w:pPr>
        <w:ind w:left="120" w:right="759" w:firstLine="360"/>
        <w:spacing w:after="0" w:line="282" w:lineRule="auto"/>
        <w:rPr>
          <w:sz w:val="20"/>
          <w:szCs w:val="20"/>
          <w:color w:val="auto"/>
        </w:rPr>
      </w:pPr>
      <w:r>
        <w:rPr>
          <w:rFonts w:ascii="Times New Roman" w:cs="Times New Roman" w:eastAsia="Times New Roman" w:hAnsi="Times New Roman"/>
          <w:sz w:val="18"/>
          <w:szCs w:val="18"/>
          <w:color w:val="auto"/>
        </w:rPr>
        <w:t>Transfers between levels are assumed to occur at the beginning of the annual period. During the years ended December 31, 2023 and 2022, there were no transfers between levels.</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9019"/>
          </w:cols>
          <w:pgMar w:left="1440" w:top="1373" w:right="1440" w:bottom="1440" w:gutter="0" w:footer="0" w:header="0"/>
          <w:type w:val="continuous"/>
        </w:sectPr>
      </w:pPr>
    </w:p>
    <w:bookmarkStart w:id="137" w:name="page138"/>
    <w:bookmarkEnd w:id="13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Bonds and Preferred Stocks by Sector</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book/adjusted carrying value, gross unrealized gains and losses and estimated fair value of bonds and preferred stocks owned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620" w:type="dxa"/>
            <w:vAlign w:val="bottom"/>
            <w:gridSpan w:val="4"/>
            <w:shd w:val="clear" w:color="auto" w:fill="F0FF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Book/</w:t>
            </w:r>
          </w:p>
        </w:tc>
        <w:tc>
          <w:tcPr>
            <w:tcW w:w="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660" w:type="dxa"/>
            <w:vAlign w:val="bottom"/>
            <w:gridSpan w:val="4"/>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600" w:type="dxa"/>
            <w:vAlign w:val="bottom"/>
            <w:gridSpan w:val="4"/>
            <w:shd w:val="clear" w:color="auto" w:fill="F0FF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Book/</w:t>
            </w:r>
          </w:p>
        </w:tc>
        <w:tc>
          <w:tcPr>
            <w:tcW w:w="4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660" w:type="dxa"/>
            <w:vAlign w:val="bottom"/>
            <w:gridSpan w:val="4"/>
            <w:vMerge w:val="restart"/>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gridSpan w:val="5"/>
            <w:shd w:val="clear" w:color="auto" w:fill="F0FF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60" w:type="dxa"/>
            <w:vAlign w:val="bottom"/>
            <w:tcBorders>
              <w:bottom w:val="single" w:sz="8" w:color="auto"/>
            </w:tcBorders>
            <w:gridSpan w:val="8"/>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gridSpan w:val="4"/>
            <w:vMerge w:val="continue"/>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gridSpan w:val="5"/>
            <w:shd w:val="clear" w:color="auto" w:fill="F0FF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60" w:type="dxa"/>
            <w:vAlign w:val="bottom"/>
            <w:tcBorders>
              <w:bottom w:val="single" w:sz="8" w:color="auto"/>
            </w:tcBorders>
            <w:gridSpan w:val="8"/>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gridSpan w:val="4"/>
            <w:vMerge w:val="continue"/>
            <w:shd w:val="clear" w:color="auto" w:fill="F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00" w:type="dxa"/>
            <w:vAlign w:val="bottom"/>
            <w:tcBorders>
              <w:top w:val="single" w:sz="8" w:color="F0FFFF"/>
            </w:tcBorders>
          </w:tcPr>
          <w:p>
            <w:pPr>
              <w:spacing w:after="0"/>
              <w:rPr>
                <w:sz w:val="18"/>
                <w:szCs w:val="18"/>
                <w:color w:val="auto"/>
              </w:rPr>
            </w:pPr>
          </w:p>
        </w:tc>
        <w:tc>
          <w:tcPr>
            <w:tcW w:w="660" w:type="dxa"/>
            <w:vAlign w:val="bottom"/>
            <w:tcBorders>
              <w:top w:val="single" w:sz="8" w:color="F0FFFF"/>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6"/>
                <w:szCs w:val="16"/>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33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Bonds</w:t>
            </w: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6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corporate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$ 100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$ 130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RMBS</w:t>
            </w: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bottom w:val="single" w:sz="8" w:color="F0FFFF"/>
            </w:tcBorders>
            <w:gridSpan w:val="5"/>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bottom w:val="single" w:sz="8" w:color="F0FFFF"/>
            </w:tcBorders>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corporate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U.S. government and agency</w:t>
            </w: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F0FFFF"/>
            </w:tcBorders>
            <w:gridSpan w:val="5"/>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F0FFFF"/>
            </w:tcBorders>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CMBS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00" w:type="dxa"/>
            <w:vAlign w:val="bottom"/>
            <w:tcBorders>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w:t>
            </w: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F0FFFF"/>
            </w:tcBorders>
            <w:gridSpan w:val="5"/>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F0FFFF"/>
            </w:tcBorders>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Foreign government</w:t>
            </w: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F0FFFF"/>
          </w:tcPr>
          <w:p>
            <w:pPr>
              <w:spacing w:after="0"/>
              <w:rPr>
                <w:sz w:val="23"/>
                <w:szCs w:val="23"/>
                <w:color w:val="auto"/>
              </w:rPr>
            </w:pPr>
          </w:p>
        </w:tc>
        <w:tc>
          <w:tcPr>
            <w:tcW w:w="4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4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5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bonds</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$ 162</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1,645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$ 206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1,520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Preferred Stocks</w:t>
            </w: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4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0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16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shd w:val="clear" w:color="auto" w:fill="F0FFFF"/>
          </w:tcPr>
          <w:p>
            <w:pPr>
              <w:spacing w:after="0"/>
              <w:rPr>
                <w:sz w:val="24"/>
                <w:szCs w:val="24"/>
                <w:color w:val="auto"/>
              </w:rPr>
            </w:pPr>
          </w:p>
        </w:tc>
        <w:tc>
          <w:tcPr>
            <w:tcW w:w="4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6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2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hold any non-income producing bonds at December 31, 2023 and 2022.</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Maturities of Bonds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book/adjusted carrying value and estimated fair value of bonds, by contractual maturity, were as follows at December 31, 2023 (in millions):</w:t>
      </w:r>
    </w:p>
    <w:p>
      <w:pPr>
        <w:spacing w:after="0" w:line="12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Book/Adjusted</w:t>
            </w:r>
          </w:p>
        </w:tc>
        <w:tc>
          <w:tcPr>
            <w:tcW w:w="60" w:type="dxa"/>
            <w:vAlign w:val="bottom"/>
          </w:tcPr>
          <w:p>
            <w:pPr>
              <w:spacing w:after="0"/>
              <w:rPr>
                <w:sz w:val="14"/>
                <w:szCs w:val="14"/>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4800" w:type="dxa"/>
            <w:vAlign w:val="bottom"/>
          </w:tcPr>
          <w:p>
            <w:pPr>
              <w:spacing w:after="0"/>
              <w:rPr>
                <w:sz w:val="16"/>
                <w:szCs w:val="16"/>
                <w:color w:val="auto"/>
              </w:rPr>
            </w:pPr>
          </w:p>
        </w:tc>
        <w:tc>
          <w:tcPr>
            <w:tcW w:w="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60" w:type="dxa"/>
            <w:vAlign w:val="bottom"/>
          </w:tcPr>
          <w:p>
            <w:pPr>
              <w:spacing w:after="0"/>
              <w:rPr>
                <w:sz w:val="16"/>
                <w:szCs w:val="16"/>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5"/>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90"/>
        </w:trPr>
        <w:tc>
          <w:tcPr>
            <w:tcW w:w="48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00" w:type="dxa"/>
            <w:vAlign w:val="bottom"/>
            <w:tcBorders>
              <w:bottom w:val="single" w:sz="8" w:color="F0FFFF"/>
            </w:tcBorders>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F0FFFF"/>
            </w:tcBorders>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3"/>
        </w:trPr>
        <w:tc>
          <w:tcPr>
            <w:tcW w:w="48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6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w:t>
            </w: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1"/>
        </w:trPr>
        <w:tc>
          <w:tcPr>
            <w:tcW w:w="4800" w:type="dxa"/>
            <w:vAlign w:val="bottom"/>
            <w:tcBorders>
              <w:bottom w:val="single" w:sz="8" w:color="F0FFFF"/>
            </w:tcBorders>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6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1,403</w:t>
            </w:r>
          </w:p>
        </w:tc>
        <w:tc>
          <w:tcPr>
            <w:tcW w:w="60" w:type="dxa"/>
            <w:vAlign w:val="bottom"/>
            <w:tcBorders>
              <w:bottom w:val="single" w:sz="8" w:color="F0FFFF"/>
            </w:tcBorders>
            <w:shd w:val="clear" w:color="auto" w:fill="F0FFFF"/>
          </w:tcPr>
          <w:p>
            <w:pPr>
              <w:spacing w:after="0"/>
              <w:rPr>
                <w:sz w:val="24"/>
                <w:szCs w:val="24"/>
                <w:color w:val="auto"/>
              </w:rPr>
            </w:pPr>
          </w:p>
        </w:tc>
        <w:tc>
          <w:tcPr>
            <w:tcW w:w="80" w:type="dxa"/>
            <w:vAlign w:val="bottom"/>
            <w:tcBorders>
              <w:bottom w:val="single" w:sz="8" w:color="F0FFFF"/>
            </w:tcBorders>
            <w:shd w:val="clear" w:color="auto" w:fill="F0FFFF"/>
          </w:tcPr>
          <w:p>
            <w:pPr>
              <w:spacing w:after="0"/>
              <w:rPr>
                <w:sz w:val="24"/>
                <w:szCs w:val="24"/>
                <w:color w:val="auto"/>
              </w:rPr>
            </w:pPr>
          </w:p>
        </w:tc>
        <w:tc>
          <w:tcPr>
            <w:tcW w:w="100" w:type="dxa"/>
            <w:vAlign w:val="bottom"/>
            <w:tcBorders>
              <w:bottom w:val="single" w:sz="8" w:color="F0FFFF"/>
            </w:tcBorders>
            <w:shd w:val="clear" w:color="auto" w:fill="F0FFFF"/>
          </w:tcPr>
          <w:p>
            <w:pPr>
              <w:spacing w:after="0"/>
              <w:rPr>
                <w:sz w:val="24"/>
                <w:szCs w:val="24"/>
                <w:color w:val="auto"/>
              </w:rPr>
            </w:pPr>
          </w:p>
        </w:tc>
        <w:tc>
          <w:tcPr>
            <w:tcW w:w="48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w w:val="93"/>
              </w:rPr>
              <w:t>1,277</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Loan-backed securities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r>
      <w:tr>
        <w:trPr>
          <w:trHeight w:val="21"/>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4"/>
        </w:trPr>
        <w:tc>
          <w:tcPr>
            <w:tcW w:w="480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1,796</w:t>
            </w:r>
          </w:p>
        </w:tc>
        <w:tc>
          <w:tcPr>
            <w:tcW w:w="240" w:type="dxa"/>
            <w:vAlign w:val="bottom"/>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1,645</w:t>
            </w:r>
          </w:p>
        </w:tc>
      </w:tr>
      <w:tr>
        <w:trPr>
          <w:trHeight w:val="20"/>
        </w:trPr>
        <w:tc>
          <w:tcPr>
            <w:tcW w:w="48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r>
    </w:tbl>
    <w:p>
      <w:pPr>
        <w:spacing w:after="0" w:line="9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Bonds not due at a single maturity date have been presented in the year of final contractual maturity. Loan-backed securities are shown separately, as they are not due at a single maturity.</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equivalents and short-term investments have original contractual maturities of one year or less.</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9019"/>
          </w:cols>
          <w:pgMar w:left="1440" w:top="1373" w:right="1440" w:bottom="1440" w:gutter="0" w:footer="0" w:header="0"/>
          <w:type w:val="continuous"/>
        </w:sectPr>
      </w:pPr>
    </w:p>
    <w:bookmarkStart w:id="138" w:name="page139"/>
    <w:bookmarkEnd w:id="138"/>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Continuous Gross Unrealized Losses for Bonds - By Sector</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estimated fair value and gross unrealized losses of bonds in an unrealized loss position, aggregated by sector and by length of time that the securities have been in a continuous gross unrealized loss position at December 31, (in millions, except number of bonds):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6"/>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r>
      <w:tr>
        <w:trPr>
          <w:trHeight w:val="218"/>
        </w:trPr>
        <w:tc>
          <w:tcPr>
            <w:tcW w:w="2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540" w:type="dxa"/>
            <w:vAlign w:val="bottom"/>
            <w:gridSpan w:val="9"/>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Equal to or Greater than</w:t>
            </w:r>
          </w:p>
        </w:tc>
        <w:tc>
          <w:tcPr>
            <w:tcW w:w="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500" w:type="dxa"/>
            <w:vAlign w:val="bottom"/>
            <w:gridSpan w:val="8"/>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Equal to or Greater than</w:t>
            </w:r>
          </w:p>
        </w:tc>
        <w:tc>
          <w:tcPr>
            <w:tcW w:w="40" w:type="dxa"/>
            <w:vAlign w:val="bottom"/>
          </w:tcPr>
          <w:p>
            <w:pPr>
              <w:spacing w:after="0"/>
              <w:rPr>
                <w:sz w:val="18"/>
                <w:szCs w:val="18"/>
                <w:color w:val="auto"/>
              </w:rPr>
            </w:pPr>
          </w:p>
        </w:tc>
      </w:tr>
      <w:tr>
        <w:trPr>
          <w:trHeight w:val="221"/>
        </w:trPr>
        <w:tc>
          <w:tcPr>
            <w:tcW w:w="2280" w:type="dxa"/>
            <w:vAlign w:val="bottom"/>
            <w:tcBorders>
              <w:bottom w:val="single" w:sz="8" w:color="F0FFFF"/>
            </w:tcBorders>
            <w:shd w:val="clear" w:color="auto" w:fill="F0FFFF"/>
          </w:tcPr>
          <w:p>
            <w:pPr>
              <w:spacing w:after="0"/>
              <w:rPr>
                <w:sz w:val="19"/>
                <w:szCs w:val="19"/>
                <w:color w:val="auto"/>
              </w:rPr>
            </w:pPr>
          </w:p>
        </w:tc>
        <w:tc>
          <w:tcPr>
            <w:tcW w:w="1420" w:type="dxa"/>
            <w:vAlign w:val="bottom"/>
            <w:tcBorders>
              <w:bottom w:val="single" w:sz="8" w:color="auto"/>
            </w:tcBorders>
            <w:gridSpan w:val="8"/>
            <w:shd w:val="clear" w:color="auto" w:fill="F0FFFF"/>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auto"/>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360" w:type="dxa"/>
            <w:vAlign w:val="bottom"/>
            <w:tcBorders>
              <w:bottom w:val="single" w:sz="8" w:color="auto"/>
            </w:tcBorders>
            <w:gridSpan w:val="7"/>
            <w:shd w:val="clear" w:color="auto" w:fill="F0FF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auto"/>
            </w:tcBorders>
            <w:shd w:val="clear" w:color="auto" w:fill="F0FFFF"/>
          </w:tcPr>
          <w:p>
            <w:pPr>
              <w:spacing w:after="0"/>
              <w:rPr>
                <w:sz w:val="19"/>
                <w:szCs w:val="19"/>
                <w:color w:val="auto"/>
              </w:rPr>
            </w:pPr>
          </w:p>
        </w:tc>
        <w:tc>
          <w:tcPr>
            <w:tcW w:w="1340" w:type="dxa"/>
            <w:vAlign w:val="bottom"/>
            <w:tcBorders>
              <w:bottom w:val="single" w:sz="8" w:color="auto"/>
            </w:tcBorders>
            <w:gridSpan w:val="7"/>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260" w:type="dxa"/>
            <w:vAlign w:val="bottom"/>
            <w:tcBorders>
              <w:bottom w:val="single" w:sz="8" w:color="auto"/>
            </w:tcBorders>
            <w:gridSpan w:val="6"/>
            <w:shd w:val="clear" w:color="auto" w:fill="F0FF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40" w:type="dxa"/>
            <w:vAlign w:val="bottom"/>
            <w:tcBorders>
              <w:bottom w:val="single" w:sz="8" w:color="auto"/>
            </w:tcBorders>
          </w:tcPr>
          <w:p>
            <w:pPr>
              <w:spacing w:after="0"/>
              <w:rPr>
                <w:sz w:val="19"/>
                <w:szCs w:val="19"/>
                <w:color w:val="auto"/>
              </w:rPr>
            </w:pPr>
          </w:p>
        </w:tc>
      </w:tr>
      <w:tr>
        <w:trPr>
          <w:trHeight w:val="218"/>
        </w:trPr>
        <w:tc>
          <w:tcPr>
            <w:tcW w:w="22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00" w:type="dxa"/>
            <w:vAlign w:val="bottom"/>
            <w:tcBorders>
              <w:top w:val="single" w:sz="8" w:color="F0FFFF"/>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600" w:type="dxa"/>
            <w:vAlign w:val="bottom"/>
            <w:tcBorders>
              <w:top w:val="single" w:sz="8" w:color="F0FFFF"/>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40" w:type="dxa"/>
            <w:vAlign w:val="bottom"/>
            <w:tcBorders>
              <w:top w:val="single" w:sz="8" w:color="F0FFFF"/>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8"/>
                <w:szCs w:val="18"/>
                <w:color w:val="auto"/>
              </w:rPr>
            </w:pPr>
          </w:p>
        </w:tc>
      </w:tr>
      <w:tr>
        <w:trPr>
          <w:trHeight w:val="162"/>
        </w:trPr>
        <w:tc>
          <w:tcPr>
            <w:tcW w:w="228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2280" w:type="dxa"/>
            <w:vAlign w:val="bottom"/>
          </w:tcPr>
          <w:p>
            <w:pPr>
              <w:spacing w:after="0"/>
              <w:rPr>
                <w:sz w:val="16"/>
                <w:szCs w:val="16"/>
                <w:color w:val="auto"/>
              </w:rPr>
            </w:pPr>
          </w:p>
        </w:tc>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7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6"/>
                <w:szCs w:val="16"/>
                <w:color w:val="auto"/>
              </w:rPr>
            </w:pPr>
          </w:p>
        </w:tc>
        <w:tc>
          <w:tcPr>
            <w:tcW w:w="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r>
      <w:tr>
        <w:trPr>
          <w:trHeight w:val="25"/>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91"/>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U.S. corporate</w:t>
            </w:r>
          </w:p>
        </w:tc>
        <w:tc>
          <w:tcPr>
            <w:tcW w:w="660" w:type="dxa"/>
            <w:vAlign w:val="bottom"/>
            <w:tcBorders>
              <w:bottom w:val="single" w:sz="8" w:color="F0FFFF"/>
            </w:tcBorders>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$ 16</w:t>
            </w:r>
          </w:p>
        </w:tc>
        <w:tc>
          <w:tcPr>
            <w:tcW w:w="360" w:type="dxa"/>
            <w:vAlign w:val="bottom"/>
            <w:tcBorders>
              <w:bottom w:val="single" w:sz="8" w:color="F0FFFF"/>
            </w:tcBorders>
            <w:gridSpan w:val="3"/>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F0FFFF"/>
            </w:tcBorders>
            <w:shd w:val="clear" w:color="auto" w:fill="F0FFFF"/>
          </w:tcPr>
          <w:p>
            <w:pPr>
              <w:spacing w:after="0"/>
              <w:rPr>
                <w:sz w:val="24"/>
                <w:szCs w:val="24"/>
                <w:color w:val="auto"/>
              </w:rPr>
            </w:pPr>
          </w:p>
        </w:tc>
        <w:tc>
          <w:tcPr>
            <w:tcW w:w="320" w:type="dxa"/>
            <w:vAlign w:val="bottom"/>
            <w:tcBorders>
              <w:bottom w:val="single" w:sz="8" w:color="F0FFFF"/>
            </w:tcBorders>
            <w:gridSpan w:val="3"/>
            <w:shd w:val="clear" w:color="auto" w:fill="F0FF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F0FFFF"/>
            </w:tcBorders>
            <w:shd w:val="clear" w:color="auto" w:fill="F0FFFF"/>
          </w:tcPr>
          <w:p>
            <w:pPr>
              <w:spacing w:after="0"/>
              <w:rPr>
                <w:sz w:val="24"/>
                <w:szCs w:val="24"/>
                <w:color w:val="auto"/>
              </w:rPr>
            </w:pPr>
          </w:p>
        </w:tc>
        <w:tc>
          <w:tcPr>
            <w:tcW w:w="240" w:type="dxa"/>
            <w:vAlign w:val="bottom"/>
            <w:tcBorders>
              <w:bottom w:val="single" w:sz="8" w:color="F0FFFF"/>
            </w:tcBorders>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$ 105</w:t>
            </w:r>
          </w:p>
        </w:tc>
        <w:tc>
          <w:tcPr>
            <w:tcW w:w="320" w:type="dxa"/>
            <w:vAlign w:val="bottom"/>
            <w:tcBorders>
              <w:bottom w:val="single" w:sz="8" w:color="F0FFFF"/>
            </w:tcBorders>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F0FFFF"/>
            </w:tcBorders>
            <w:shd w:val="clear" w:color="auto" w:fill="F0FFFF"/>
          </w:tcPr>
          <w:p>
            <w:pPr>
              <w:spacing w:after="0"/>
              <w:rPr>
                <w:sz w:val="24"/>
                <w:szCs w:val="24"/>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$ 25</w:t>
            </w:r>
          </w:p>
        </w:tc>
        <w:tc>
          <w:tcPr>
            <w:tcW w:w="40" w:type="dxa"/>
            <w:vAlign w:val="bottom"/>
          </w:tcPr>
          <w:p>
            <w:pPr>
              <w:spacing w:after="0"/>
              <w:rPr>
                <w:sz w:val="24"/>
                <w:szCs w:val="24"/>
                <w:color w:val="auto"/>
              </w:rPr>
            </w:pP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RMBS</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2"/>
                <w:szCs w:val="22"/>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Foreign corporate</w:t>
            </w:r>
          </w:p>
        </w:tc>
        <w:tc>
          <w:tcPr>
            <w:tcW w:w="660" w:type="dxa"/>
            <w:vAlign w:val="bottom"/>
            <w:tcBorders>
              <w:bottom w:val="single" w:sz="8" w:color="F0FFFF"/>
            </w:tcBorders>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CMBS</w:t>
            </w:r>
          </w:p>
        </w:tc>
        <w:tc>
          <w:tcPr>
            <w:tcW w:w="18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2"/>
                <w:szCs w:val="22"/>
                <w:color w:val="auto"/>
              </w:rPr>
            </w:pP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State and political subdivision</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2"/>
                <w:szCs w:val="22"/>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228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ABS</w:t>
            </w:r>
          </w:p>
        </w:tc>
        <w:tc>
          <w:tcPr>
            <w:tcW w:w="660" w:type="dxa"/>
            <w:vAlign w:val="bottom"/>
            <w:tcBorders>
              <w:bottom w:val="single" w:sz="8" w:color="F0FFFF"/>
            </w:tcBorders>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Borders>
              <w:bottom w:val="single" w:sz="8" w:color="F0FFFF"/>
            </w:tcBorders>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w:t>
            </w:r>
          </w:p>
        </w:tc>
        <w:tc>
          <w:tcPr>
            <w:tcW w:w="180" w:type="dxa"/>
            <w:vAlign w:val="bottom"/>
          </w:tcPr>
          <w:p>
            <w:pPr>
              <w:spacing w:after="0"/>
              <w:rPr>
                <w:sz w:val="22"/>
                <w:szCs w:val="22"/>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345"/>
        </w:trPr>
        <w:tc>
          <w:tcPr>
            <w:tcW w:w="228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 bonds</w:t>
            </w:r>
          </w:p>
        </w:tc>
        <w:tc>
          <w:tcPr>
            <w:tcW w:w="660" w:type="dxa"/>
            <w:vAlign w:val="bottom"/>
            <w:gridSpan w:val="3"/>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$ 85</w:t>
            </w:r>
          </w:p>
        </w:tc>
        <w:tc>
          <w:tcPr>
            <w:tcW w:w="360" w:type="dxa"/>
            <w:vAlign w:val="bottom"/>
            <w:gridSpan w:val="3"/>
            <w:shd w:val="clear" w:color="auto" w:fill="F0FF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120" w:type="dxa"/>
            <w:vAlign w:val="bottom"/>
            <w:shd w:val="clear" w:color="auto" w:fill="F0FFFF"/>
          </w:tcPr>
          <w:p>
            <w:pPr>
              <w:spacing w:after="0"/>
              <w:rPr>
                <w:sz w:val="24"/>
                <w:szCs w:val="24"/>
                <w:color w:val="auto"/>
              </w:rPr>
            </w:pPr>
          </w:p>
        </w:tc>
        <w:tc>
          <w:tcPr>
            <w:tcW w:w="320" w:type="dxa"/>
            <w:vAlign w:val="bottom"/>
            <w:gridSpan w:val="3"/>
            <w:shd w:val="clear" w:color="auto" w:fill="F0FFFF"/>
          </w:tcPr>
          <w:p>
            <w:pPr>
              <w:ind w:left="2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6"/>
              </w:rPr>
              <w:t>159</w:t>
            </w:r>
          </w:p>
        </w:tc>
        <w:tc>
          <w:tcPr>
            <w:tcW w:w="220" w:type="dxa"/>
            <w:vAlign w:val="bottom"/>
            <w:shd w:val="clear" w:color="auto" w:fill="F0FFFF"/>
          </w:tcPr>
          <w:p>
            <w:pPr>
              <w:spacing w:after="0"/>
              <w:rPr>
                <w:sz w:val="24"/>
                <w:szCs w:val="24"/>
                <w:color w:val="auto"/>
              </w:rPr>
            </w:pPr>
          </w:p>
        </w:tc>
        <w:tc>
          <w:tcPr>
            <w:tcW w:w="240" w:type="dxa"/>
            <w:vAlign w:val="bottom"/>
            <w:gridSpan w:val="3"/>
            <w:shd w:val="clear" w:color="auto" w:fill="F0FFFF"/>
          </w:tcPr>
          <w:p>
            <w:pPr>
              <w:ind w:left="1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w w:val="98"/>
              </w:rPr>
              <w:t>1,317</w:t>
            </w:r>
          </w:p>
        </w:tc>
        <w:tc>
          <w:tcPr>
            <w:tcW w:w="740" w:type="dxa"/>
            <w:vAlign w:val="bottom"/>
            <w:gridSpan w:val="4"/>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171</w:t>
            </w:r>
          </w:p>
        </w:tc>
        <w:tc>
          <w:tcPr>
            <w:tcW w:w="320" w:type="dxa"/>
            <w:vAlign w:val="bottom"/>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6"/>
              </w:rPr>
              <w:t>110</w:t>
            </w:r>
          </w:p>
        </w:tc>
        <w:tc>
          <w:tcPr>
            <w:tcW w:w="180" w:type="dxa"/>
            <w:vAlign w:val="bottom"/>
            <w:shd w:val="clear" w:color="auto" w:fill="F0FFFF"/>
          </w:tcPr>
          <w:p>
            <w:pPr>
              <w:spacing w:after="0"/>
              <w:rPr>
                <w:sz w:val="24"/>
                <w:szCs w:val="24"/>
                <w:color w:val="auto"/>
              </w:rPr>
            </w:pPr>
          </w:p>
        </w:tc>
        <w:tc>
          <w:tcPr>
            <w:tcW w:w="800" w:type="dxa"/>
            <w:vAlign w:val="bottom"/>
            <w:gridSpan w:val="4"/>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$ 35</w:t>
            </w:r>
          </w:p>
        </w:tc>
        <w:tc>
          <w:tcPr>
            <w:tcW w:w="40" w:type="dxa"/>
            <w:vAlign w:val="bottom"/>
          </w:tcPr>
          <w:p>
            <w:pPr>
              <w:spacing w:after="0"/>
              <w:rPr>
                <w:sz w:val="24"/>
                <w:szCs w:val="24"/>
                <w:color w:val="auto"/>
              </w:rPr>
            </w:pPr>
          </w:p>
        </w:tc>
      </w:tr>
      <w:tr>
        <w:trPr>
          <w:trHeight w:val="243"/>
        </w:trPr>
        <w:tc>
          <w:tcPr>
            <w:tcW w:w="228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Total number of bonds in an</w:t>
            </w:r>
          </w:p>
        </w:tc>
        <w:tc>
          <w:tcPr>
            <w:tcW w:w="180" w:type="dxa"/>
            <w:vAlign w:val="bottom"/>
            <w:tcBorders>
              <w:top w:val="single" w:sz="8" w:color="F0FF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20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16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140" w:type="dxa"/>
            <w:vAlign w:val="bottom"/>
            <w:tcBorders>
              <w:top w:val="single" w:sz="8" w:color="F0FF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6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14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8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200" w:type="dxa"/>
            <w:vAlign w:val="bottom"/>
            <w:tcBorders>
              <w:top w:val="single" w:sz="8" w:color="F0FF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20" w:type="dxa"/>
            <w:vAlign w:val="bottom"/>
            <w:tcBorders>
              <w:top w:val="single" w:sz="8" w:color="F0FFFF"/>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position</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Loan-backed Security Holdings - OTTI Losses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impair any loan-backed securities to estimated fair value during the years ended December 31, 2023 and 2022 because of either (i) an intent to sell the security or (ii) the inability or lack of intent to retain the security for a period of time sufficient to recover the amortized cost.</w:t>
      </w:r>
    </w:p>
    <w:p>
      <w:pPr>
        <w:spacing w:after="0" w:line="8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loan-backed securities for which an OTTI has been recognized during the year ended December 31, 2023 measured as the difference between amortized cost and estimated present value of projected future cash flows to be collected, were as follows (in whole dollars):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Book/Adjusted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Present Value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Financial</w:t>
            </w:r>
          </w:p>
        </w:tc>
      </w:t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Before Current</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 Projected</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 after</w:t>
            </w:r>
          </w:p>
        </w:tc>
        <w:tc>
          <w:tcPr>
            <w:tcW w:w="16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at Time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Where</w:t>
            </w:r>
          </w:p>
        </w:tc>
      </w:tr>
      <w:tr>
        <w:trPr>
          <w:trHeight w:val="200"/>
        </w:trPr>
        <w:tc>
          <w:tcPr>
            <w:tcW w:w="70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CUSIP</w:t>
            </w:r>
          </w:p>
        </w:tc>
        <w:tc>
          <w:tcPr>
            <w:tcW w:w="88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OTTI</w:t>
            </w:r>
          </w:p>
        </w:tc>
        <w:tc>
          <w:tcPr>
            <w:tcW w:w="140" w:type="dxa"/>
            <w:vAlign w:val="bottom"/>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OTTI</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OTTI</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OTTI</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r>
      <w:tr>
        <w:trPr>
          <w:trHeight w:val="21"/>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2020" w:type="dxa"/>
            <w:vAlign w:val="bottom"/>
            <w:tcBorders>
              <w:bottom w:val="single" w:sz="8" w:color="F0FFFF"/>
            </w:tcBorders>
            <w:gridSpan w:val="3"/>
            <w:shd w:val="clear" w:color="auto" w:fill="F0FF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12648WAE2</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97"/>
              </w:rPr>
              <w:t>2,543,559</w:t>
            </w:r>
          </w:p>
        </w:tc>
        <w:tc>
          <w:tcPr>
            <w:tcW w:w="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9"/>
              </w:rPr>
              <w:t>1,939,162</w:t>
            </w:r>
          </w:p>
        </w:tc>
        <w:tc>
          <w:tcPr>
            <w:tcW w:w="86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$604,397</w:t>
            </w:r>
          </w:p>
        </w:tc>
        <w:tc>
          <w:tcPr>
            <w:tcW w:w="280" w:type="dxa"/>
            <w:vAlign w:val="bottom"/>
            <w:tcBorders>
              <w:bottom w:val="single" w:sz="8" w:color="F0FFFF"/>
            </w:tcBorders>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7"/>
              </w:rPr>
              <w:t>1,939,162</w:t>
            </w:r>
          </w:p>
        </w:tc>
        <w:tc>
          <w:tcPr>
            <w:tcW w:w="340" w:type="dxa"/>
            <w:vAlign w:val="bottom"/>
            <w:tcBorders>
              <w:bottom w:val="single" w:sz="8" w:color="F0FFFF"/>
            </w:tcBorders>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F0FFFF"/>
            </w:tcBorders>
            <w:shd w:val="clear" w:color="auto" w:fill="F0FFFF"/>
          </w:tcPr>
          <w:p>
            <w:pPr>
              <w:jc w:val="right"/>
              <w:ind w:right="16"/>
              <w:spacing w:after="0"/>
              <w:rPr>
                <w:sz w:val="20"/>
                <w:szCs w:val="20"/>
                <w:color w:val="auto"/>
              </w:rPr>
            </w:pPr>
            <w:r>
              <w:rPr>
                <w:rFonts w:ascii="Times New Roman" w:cs="Times New Roman" w:eastAsia="Times New Roman" w:hAnsi="Times New Roman"/>
                <w:sz w:val="18"/>
                <w:szCs w:val="18"/>
                <w:color w:val="auto"/>
                <w:w w:val="97"/>
              </w:rPr>
              <w:t>1,623,877</w:t>
            </w:r>
          </w:p>
        </w:tc>
        <w:tc>
          <w:tcPr>
            <w:tcW w:w="16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9/30/2023</w:t>
            </w:r>
          </w:p>
        </w:tc>
      </w:tr>
      <w:tr>
        <w:trPr>
          <w:trHeight w:val="270"/>
        </w:trPr>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23332UEL4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119,098</w:t>
            </w:r>
          </w:p>
        </w:tc>
        <w:tc>
          <w:tcPr>
            <w:tcW w:w="14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104,473</w:t>
            </w: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9/30/2023</w:t>
            </w: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24"/>
        </w:trPr>
        <w:tc>
          <w:tcPr>
            <w:tcW w:w="700" w:type="dxa"/>
            <w:vAlign w:val="bottom"/>
            <w:shd w:val="clear" w:color="auto" w:fill="F0FFFF"/>
          </w:tcPr>
          <w:p>
            <w:pPr>
              <w:spacing w:after="0"/>
              <w:rPr>
                <w:sz w:val="24"/>
                <w:szCs w:val="24"/>
                <w:color w:val="auto"/>
              </w:rPr>
            </w:pPr>
          </w:p>
        </w:tc>
        <w:tc>
          <w:tcPr>
            <w:tcW w:w="1320" w:type="dxa"/>
            <w:vAlign w:val="bottom"/>
            <w:gridSpan w:val="2"/>
            <w:shd w:val="clear" w:color="auto" w:fill="F0FFFF"/>
          </w:tcPr>
          <w:p>
            <w:pPr>
              <w:jc w:val="center"/>
              <w:ind w:right="88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86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604,802</w:t>
            </w:r>
          </w:p>
        </w:tc>
        <w:tc>
          <w:tcPr>
            <w:tcW w:w="1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080" w:type="dxa"/>
            <w:vAlign w:val="bottom"/>
            <w:shd w:val="clear" w:color="auto" w:fill="F0FFFF"/>
          </w:tcPr>
          <w:p>
            <w:pPr>
              <w:spacing w:after="0"/>
              <w:rPr>
                <w:sz w:val="24"/>
                <w:szCs w:val="24"/>
                <w:color w:val="auto"/>
              </w:rPr>
            </w:pPr>
          </w:p>
        </w:tc>
      </w:tr>
      <w:tr>
        <w:trPr>
          <w:trHeight w:val="21"/>
        </w:trPr>
        <w:tc>
          <w:tcPr>
            <w:tcW w:w="700" w:type="dxa"/>
            <w:vAlign w:val="bottom"/>
            <w:tcBorders>
              <w:top w:val="single" w:sz="8" w:color="F0FFFF"/>
            </w:tcBorders>
            <w:shd w:val="clear" w:color="auto" w:fill="F0FFFF"/>
          </w:tcPr>
          <w:p>
            <w:pPr>
              <w:spacing w:after="0" w:line="20" w:lineRule="exact"/>
              <w:rPr>
                <w:sz w:val="1"/>
                <w:szCs w:val="1"/>
                <w:color w:val="auto"/>
              </w:rPr>
            </w:pPr>
          </w:p>
        </w:tc>
        <w:tc>
          <w:tcPr>
            <w:tcW w:w="44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7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auto"/>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80" w:type="dxa"/>
            <w:vAlign w:val="bottom"/>
            <w:tcBorders>
              <w:top w:val="single" w:sz="8" w:color="F0FFFF"/>
            </w:tcBorders>
            <w:shd w:val="clear" w:color="auto" w:fill="F0FFFF"/>
          </w:tcPr>
          <w:p>
            <w:pPr>
              <w:spacing w:after="0" w:line="20" w:lineRule="exact"/>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Evaluating Temporarily Impaired Bonds for OTTI</w:t>
      </w:r>
    </w:p>
    <w:p>
      <w:pPr>
        <w:spacing w:after="0" w:line="135"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As more fully described in Note 1, the Company performs a regular evaluation, on a security-by-security basis, of its securities holdings in accordance with its OTTI policy in order to evaluate whether such investments are other than temporarily impaired. These securities were included in the Company’s OTTI review process. With respect to loan-backed securities in the bond portfolio, the Company performs scenario analyses. The scenarios attempt to project future delinquencies and principal losses. Based upon the Company’s current evaluation of its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 than temporarily impaired. Future impairments will depend primarily on economic fundamentals,</w:t>
      </w:r>
    </w:p>
    <w:p>
      <w:pPr>
        <w:sectPr>
          <w:pgSz w:w="11900" w:h="16838" w:orient="portrait"/>
          <w:cols w:equalWidth="0" w:num="1">
            <w:col w:w="9019"/>
          </w:cols>
          <w:pgMar w:left="1440" w:top="1373" w:right="1440" w:bottom="852" w:gutter="0" w:footer="0" w:header="0"/>
        </w:sectPr>
      </w:pPr>
    </w:p>
    <w:p>
      <w:pPr>
        <w:spacing w:after="0" w:line="36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9019"/>
          </w:cols>
          <w:pgMar w:left="1440" w:top="1373" w:right="1440" w:bottom="852" w:gutter="0" w:footer="0" w:header="0"/>
          <w:type w:val="continuous"/>
        </w:sectPr>
      </w:pPr>
    </w:p>
    <w:bookmarkStart w:id="139" w:name="page140"/>
    <w:bookmarkEnd w:id="139"/>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spacing w:after="0" w:line="261" w:lineRule="auto"/>
        <w:rPr>
          <w:sz w:val="20"/>
          <w:szCs w:val="20"/>
          <w:color w:val="auto"/>
        </w:rPr>
      </w:pPr>
      <w:r>
        <w:rPr>
          <w:rFonts w:ascii="Times New Roman" w:cs="Times New Roman" w:eastAsia="Times New Roman" w:hAnsi="Times New Roman"/>
          <w:sz w:val="18"/>
          <w:szCs w:val="18"/>
          <w:color w:val="auto"/>
        </w:rPr>
        <w:t>issuer performance (including changes in estimated present value of projected future cash flows to be collected) and changes in credit ratings, collateral valuations, interest rates and credit spreads. If economic fundamentals deteriorate or if there are adverse changes in the above factors, additional impairments may be incurred in upcoming periods.</w:t>
      </w:r>
    </w:p>
    <w:p>
      <w:pPr>
        <w:spacing w:after="0" w:line="8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Gross unrealized losses on bonds decreased $44 million during the year ended December 31, 2023 to $162 million from $206 million at December 31, 2022. The decrease in gross unrealized losses for the year ended December 31, 2023 was primarily attributable to narrowing credit spreads.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NAIC Designation of 5GI</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held three securities with a NAIC designation of 5GI with both a book/adjusted carrying value and an estimated fair value of $4 million. As of December 31, 2022, the Company held one security with a NAIC designation of 5GI with both a book/adjusted carrying value and an estimated fair value of $3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Mortgage Loans by Portfolio Segment</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 December 31, (dollars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000" w:type="dxa"/>
            <w:vAlign w:val="bottom"/>
          </w:tcPr>
          <w:p>
            <w:pPr>
              <w:spacing w:after="0"/>
              <w:rPr>
                <w:sz w:val="16"/>
                <w:szCs w:val="16"/>
                <w:color w:val="auto"/>
              </w:rPr>
            </w:pPr>
          </w:p>
        </w:tc>
        <w:tc>
          <w:tcPr>
            <w:tcW w:w="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7"/>
        </w:trPr>
        <w:tc>
          <w:tcPr>
            <w:tcW w:w="6000" w:type="dxa"/>
            <w:vAlign w:val="bottom"/>
          </w:tcPr>
          <w:p>
            <w:pPr>
              <w:spacing w:after="0"/>
              <w:rPr>
                <w:sz w:val="20"/>
                <w:szCs w:val="20"/>
                <w:color w:val="auto"/>
              </w:rPr>
            </w:pPr>
          </w:p>
        </w:tc>
        <w:tc>
          <w:tcPr>
            <w:tcW w:w="12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Percent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80" w:type="dxa"/>
            <w:vAlign w:val="bottom"/>
          </w:tcPr>
          <w:p>
            <w:pPr>
              <w:spacing w:after="0"/>
              <w:rPr>
                <w:sz w:val="20"/>
                <w:szCs w:val="20"/>
                <w:color w:val="auto"/>
              </w:rPr>
            </w:pPr>
          </w:p>
        </w:tc>
        <w:tc>
          <w:tcPr>
            <w:tcW w:w="5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Percent</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$ 194</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8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gridSpan w:val="2"/>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mortgage loans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228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243</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Company had mortgage loan participations of $215 million and $236 million, respectively.</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Allowance by Portfolio Segment</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both December 31, 2023 and 2022, there were no valuation allowances on mortgage loans.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Diversification, Loan Origination and Interest Rate Changes</w:t>
      </w:r>
    </w:p>
    <w:p>
      <w:pPr>
        <w:spacing w:after="0" w:line="11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Mortgage loans are collateralized by real estate primarily located in the United States and are diversified by geographic region. States where the associated real estate was located that were 5% or more of the Company’s total mortgage loans at December 31, 2023 were as follows: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 of Total</w:t>
            </w:r>
          </w:p>
        </w:tc>
      </w:tr>
      <w:tr>
        <w:trPr>
          <w:trHeight w:val="20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Mortgage Loans</w:t>
            </w:r>
          </w:p>
        </w:tc>
      </w:tr>
      <w:tr>
        <w:trPr>
          <w:trHeight w:val="20"/>
        </w:trPr>
        <w:tc>
          <w:tcPr>
            <w:tcW w:w="30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6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24"/>
                <w:szCs w:val="24"/>
                <w:color w:val="auto"/>
              </w:rPr>
            </w:pPr>
          </w:p>
        </w:tc>
      </w:tr>
      <w:tr>
        <w:trPr>
          <w:trHeight w:val="28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4"/>
                <w:szCs w:val="24"/>
                <w:color w:val="auto"/>
              </w:rPr>
            </w:pPr>
          </w:p>
        </w:tc>
      </w:tr>
      <w:tr>
        <w:trPr>
          <w:trHeight w:val="28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24"/>
                <w:szCs w:val="24"/>
                <w:color w:val="auto"/>
              </w:rPr>
            </w:pPr>
          </w:p>
        </w:tc>
      </w:tr>
      <w:tr>
        <w:trPr>
          <w:trHeight w:val="28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24"/>
                <w:szCs w:val="24"/>
                <w:color w:val="auto"/>
              </w:rPr>
            </w:pPr>
          </w:p>
        </w:tc>
      </w:tr>
      <w:tr>
        <w:trPr>
          <w:trHeight w:val="28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w:t>
            </w:r>
          </w:p>
        </w:tc>
        <w:tc>
          <w:tcPr>
            <w:tcW w:w="3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3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Generally, the Company, as the lender, only loans up to 75% of the purchase price of the underlying real estate. From time to time, the Company may originate loans in excess of 75% of the purchase price of the underlying real estate, if underwriting risk is sufficiently within the Company’s standards. The Company did not originate mortgage loans during the year ended December 31, 2023. The maximum percentage of any one loan to the value of the underlying real estate at the time of the origination and originated during the year ended December 31, 2022 was 89%.</w:t>
      </w:r>
    </w:p>
    <w:p>
      <w:pPr>
        <w:sectPr>
          <w:pgSz w:w="11900" w:h="16838" w:orient="portrait"/>
          <w:cols w:equalWidth="0" w:num="1">
            <w:col w:w="9019"/>
          </w:cols>
          <w:pgMar w:left="1440" w:top="1373" w:right="1440" w:bottom="744" w:gutter="0" w:footer="0" w:header="0"/>
        </w:sectPr>
      </w:pPr>
    </w:p>
    <w:p>
      <w:pPr>
        <w:spacing w:after="0" w:line="36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9019"/>
          </w:cols>
          <w:pgMar w:left="1440" w:top="1373" w:right="1440" w:bottom="744" w:gutter="0" w:footer="0" w:header="0"/>
          <w:type w:val="continuous"/>
        </w:sectPr>
      </w:pPr>
    </w:p>
    <w:bookmarkStart w:id="140" w:name="page141"/>
    <w:bookmarkEnd w:id="14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did not fund mortgage loans during the year ended December 31, 2023. The maximum and minimum interest rates for commercial mortgage loans funded during 2022 were 4.15%.</w:t>
      </w:r>
    </w:p>
    <w:p>
      <w:pPr>
        <w:spacing w:after="0" w:line="54" w:lineRule="exact"/>
        <w:rPr>
          <w:sz w:val="20"/>
          <w:szCs w:val="20"/>
          <w:color w:val="auto"/>
        </w:rPr>
      </w:pPr>
    </w:p>
    <w:p>
      <w:pPr>
        <w:ind w:left="480" w:right="679"/>
        <w:spacing w:after="0" w:line="282" w:lineRule="auto"/>
        <w:rPr>
          <w:sz w:val="20"/>
          <w:szCs w:val="20"/>
          <w:color w:val="auto"/>
        </w:rPr>
      </w:pPr>
      <w:r>
        <w:rPr>
          <w:rFonts w:ascii="Times New Roman" w:cs="Times New Roman" w:eastAsia="Times New Roman" w:hAnsi="Times New Roman"/>
          <w:sz w:val="18"/>
          <w:szCs w:val="18"/>
          <w:color w:val="auto"/>
        </w:rPr>
        <w:t>The Company did not reduce interest rates on mortgage loans during the years ended December 31, 2023 and 2022.</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Quality of Commercial Mortgage Loans</w:t>
      </w:r>
    </w:p>
    <w:p>
      <w:pPr>
        <w:spacing w:after="0" w:line="119"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Information about the credit quality of commercial mortgage loans is presented below at December 31, (dollars in millions):</w:t>
      </w:r>
    </w:p>
    <w:p>
      <w:pPr>
        <w:spacing w:after="0" w:line="128"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24765</wp:posOffset>
            </wp:positionV>
            <wp:extent cx="18859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6"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4"/>
          <w:szCs w:val="14"/>
          <w:b w:val="1"/>
          <w:bCs w:val="1"/>
          <w:color w:val="auto"/>
        </w:rPr>
        <w:t>Recorded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24765</wp:posOffset>
            </wp:positionV>
            <wp:extent cx="18859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6"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4"/>
          <w:szCs w:val="14"/>
          <w:b w:val="1"/>
          <w:bCs w:val="1"/>
          <w:color w:val="auto"/>
        </w:rPr>
        <w:t>Debt Service Coverage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24765</wp:posOffset>
            </wp:positionV>
            <wp:extent cx="18859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6"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4"/>
          <w:szCs w:val="14"/>
          <w:b w:val="1"/>
          <w:bCs w:val="1"/>
          <w:color w:val="auto"/>
        </w:rPr>
        <w:t>% of</w:t>
      </w:r>
    </w:p>
    <w:p>
      <w:pPr>
        <w:spacing w:after="0" w:line="29" w:lineRule="exact"/>
        <w:rPr>
          <w:sz w:val="20"/>
          <w:szCs w:val="20"/>
          <w:color w:val="auto"/>
        </w:rPr>
      </w:pPr>
    </w:p>
    <w:p>
      <w:pPr>
        <w:jc w:val="right"/>
        <w:ind w:right="1539"/>
        <w:spacing w:after="0"/>
        <w:tabs>
          <w:tab w:leader="none" w:pos="3220" w:val="left"/>
          <w:tab w:leader="none" w:pos="2320" w:val="left"/>
          <w:tab w:leader="none" w:pos="1680" w:val="left"/>
          <w:tab w:leader="none" w:pos="1200" w:val="left"/>
        </w:tabs>
        <w:rPr>
          <w:sz w:val="20"/>
          <w:szCs w:val="20"/>
          <w:color w:val="auto"/>
        </w:rPr>
      </w:pPr>
      <w:r>
        <w:rPr>
          <w:rFonts w:ascii="Arial" w:cs="Arial" w:eastAsia="Arial" w:hAnsi="Arial"/>
          <w:sz w:val="14"/>
          <w:szCs w:val="14"/>
          <w:color w:val="auto"/>
          <w:highlight w:val="black"/>
        </w:rPr>
        <w:t xml:space="preserve">˃ </w:t>
      </w:r>
      <w:r>
        <w:rPr>
          <w:rFonts w:ascii="Times New Roman" w:cs="Times New Roman" w:eastAsia="Times New Roman" w:hAnsi="Times New Roman"/>
          <w:sz w:val="14"/>
          <w:szCs w:val="14"/>
          <w:b w:val="1"/>
          <w:bCs w:val="1"/>
          <w:color w:val="auto"/>
        </w:rPr>
        <w:t>1.20x</w:t>
      </w:r>
      <w:r>
        <w:rPr>
          <w:sz w:val="20"/>
          <w:szCs w:val="20"/>
          <w:color w:val="auto"/>
        </w:rPr>
        <w:tab/>
      </w:r>
      <w:r>
        <w:rPr>
          <w:rFonts w:ascii="Times New Roman" w:cs="Times New Roman" w:eastAsia="Times New Roman" w:hAnsi="Times New Roman"/>
          <w:sz w:val="14"/>
          <w:szCs w:val="14"/>
          <w:b w:val="1"/>
          <w:bCs w:val="1"/>
          <w:color w:val="auto"/>
        </w:rPr>
        <w:t>1.00x - 1.20x</w:t>
      </w:r>
      <w:r>
        <w:rPr>
          <w:sz w:val="20"/>
          <w:szCs w:val="20"/>
          <w:color w:val="auto"/>
        </w:rPr>
        <w:tab/>
      </w:r>
      <w:r>
        <w:rPr>
          <w:rFonts w:ascii="Arial" w:cs="Arial" w:eastAsia="Arial" w:hAnsi="Arial"/>
          <w:sz w:val="14"/>
          <w:szCs w:val="14"/>
          <w:color w:val="auto"/>
          <w:highlight w:val="black"/>
        </w:rPr>
        <w:t xml:space="preserve">˂ </w:t>
      </w:r>
      <w:r>
        <w:rPr>
          <w:rFonts w:ascii="Times New Roman" w:cs="Times New Roman" w:eastAsia="Times New Roman" w:hAnsi="Times New Roman"/>
          <w:sz w:val="14"/>
          <w:szCs w:val="14"/>
          <w:b w:val="1"/>
          <w:bCs w:val="1"/>
          <w:color w:val="auto"/>
        </w:rPr>
        <w:t>1.00x</w:t>
      </w:r>
      <w:r>
        <w:rPr>
          <w:sz w:val="20"/>
          <w:szCs w:val="20"/>
          <w:color w:val="auto"/>
        </w:rPr>
        <w:tab/>
      </w:r>
      <w:r>
        <w:rPr>
          <w:rFonts w:ascii="Times New Roman" w:cs="Times New Roman" w:eastAsia="Times New Roman" w:hAnsi="Times New Roman"/>
          <w:sz w:val="14"/>
          <w:szCs w:val="14"/>
          <w:b w:val="1"/>
          <w:bCs w:val="1"/>
          <w:color w:val="auto"/>
        </w:rPr>
        <w:t>Total</w:t>
        <w:tab/>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-95885</wp:posOffset>
            </wp:positionV>
            <wp:extent cx="186880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68805" cy="137160"/>
                    </a:xfrm>
                    <a:prstGeom prst="rect">
                      <a:avLst/>
                    </a:prstGeom>
                    <a:noFill/>
                  </pic:spPr>
                </pic:pic>
              </a:graphicData>
            </a:graphic>
          </wp:anchor>
        </w:drawing>
      </w:r>
    </w:p>
    <w:p>
      <w:pPr>
        <w:sectPr>
          <w:pgSz w:w="11900" w:h="16838" w:orient="portrait"/>
          <w:cols w:equalWidth="0" w:num="1">
            <w:col w:w="9019"/>
          </w:cols>
          <w:pgMar w:left="1440" w:top="1373" w:right="1440" w:bottom="1082" w:gutter="0" w:footer="0" w:header="0"/>
        </w:sectPr>
      </w:pPr>
    </w:p>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Loan-to-value ratios:</w:t>
      </w:r>
    </w:p>
    <w:p>
      <w:pPr>
        <w:spacing w:after="0" w:line="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Less than 65%</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65% to 75%</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76% to 80%</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Greater than 80%</w:t>
      </w:r>
    </w:p>
    <w:p>
      <w:pPr>
        <w:spacing w:after="0" w:line="1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6"/>
        </w:trPr>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Recorded Investment</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Debt Service Coverage Ratios</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0" w:type="dxa"/>
            <w:vAlign w:val="bottom"/>
            <w:gridSpan w:val="3"/>
            <w:vMerge w:val="restart"/>
          </w:tcPr>
          <w:p>
            <w:pPr>
              <w:ind w:left="40"/>
              <w:spacing w:after="0"/>
              <w:rPr>
                <w:sz w:val="20"/>
                <w:szCs w:val="20"/>
                <w:color w:val="auto"/>
              </w:rPr>
            </w:pPr>
            <w:r>
              <w:rPr>
                <w:rFonts w:ascii="Arial" w:cs="Arial" w:eastAsia="Arial" w:hAnsi="Arial"/>
                <w:sz w:val="14"/>
                <w:szCs w:val="14"/>
                <w:color w:val="auto"/>
                <w:highlight w:val="black"/>
              </w:rPr>
              <w:t xml:space="preserve">˃ </w:t>
            </w:r>
            <w:r>
              <w:rPr>
                <w:rFonts w:ascii="Times New Roman" w:cs="Times New Roman" w:eastAsia="Times New Roman" w:hAnsi="Times New Roman"/>
                <w:sz w:val="14"/>
                <w:szCs w:val="14"/>
                <w:b w:val="1"/>
                <w:bCs w:val="1"/>
                <w:color w:val="auto"/>
              </w:rPr>
              <w:t>1.20x</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4"/>
            <w:vMerge w:val="restart"/>
          </w:tcPr>
          <w:p>
            <w:pPr>
              <w:ind w:left="40"/>
              <w:spacing w:after="0"/>
              <w:rPr>
                <w:sz w:val="20"/>
                <w:szCs w:val="20"/>
                <w:color w:val="auto"/>
              </w:rPr>
            </w:pPr>
            <w:r>
              <w:rPr>
                <w:rFonts w:ascii="Arial" w:cs="Arial" w:eastAsia="Arial" w:hAnsi="Arial"/>
                <w:sz w:val="14"/>
                <w:szCs w:val="14"/>
                <w:color w:val="auto"/>
                <w:highlight w:val="black"/>
              </w:rPr>
              <w:t xml:space="preserve">˂ </w:t>
            </w:r>
            <w:r>
              <w:rPr>
                <w:rFonts w:ascii="Times New Roman" w:cs="Times New Roman" w:eastAsia="Times New Roman" w:hAnsi="Times New Roman"/>
                <w:sz w:val="14"/>
                <w:szCs w:val="14"/>
                <w:b w:val="1"/>
                <w:bCs w:val="1"/>
                <w:color w:val="auto"/>
              </w:rPr>
              <w:t>1.00x</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9"/>
        </w:trPr>
        <w:tc>
          <w:tcPr>
            <w:tcW w:w="520" w:type="dxa"/>
            <w:vAlign w:val="bottom"/>
            <w:tcBorders>
              <w:bottom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1.00x - 1.20x</w:t>
            </w:r>
          </w:p>
        </w:tc>
        <w:tc>
          <w:tcPr>
            <w:tcW w:w="60" w:type="dxa"/>
            <w:vAlign w:val="bottom"/>
          </w:tcPr>
          <w:p>
            <w:pPr>
              <w:spacing w:after="0"/>
              <w:rPr>
                <w:sz w:val="16"/>
                <w:szCs w:val="16"/>
                <w:color w:val="auto"/>
              </w:rPr>
            </w:pPr>
          </w:p>
        </w:tc>
        <w:tc>
          <w:tcPr>
            <w:tcW w:w="520" w:type="dxa"/>
            <w:vAlign w:val="bottom"/>
            <w:tcBorders>
              <w:bottom w:val="single" w:sz="8" w:color="auto"/>
            </w:tcBorders>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2">
            <w:col w:w="3820" w:space="720"/>
            <w:col w:w="4479"/>
          </w:cols>
          <w:pgMar w:left="1440" w:top="1373" w:right="1440" w:bottom="1082" w:gutter="0" w:footer="0" w:header="0"/>
          <w:type w:val="continuous"/>
        </w:sectPr>
      </w:pPr>
    </w:p>
    <w:tbl>
      <w:tblPr>
        <w:tblLayout w:type="fixed"/>
        <w:tblInd w:w="10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Loan-to-value ratios: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8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65% to 75%</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r>
      <w:tr>
        <w:trPr>
          <w:trHeight w:val="28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76% to 80%</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Quality of Agricultural Mortgage Loans</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all agricultural mortgage loans had a loan to value ratio of less than 65%.</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Age Analysis and Nonaccrual Status of Mortgage Loans</w:t>
      </w:r>
    </w:p>
    <w:p>
      <w:pPr>
        <w:spacing w:after="0" w:line="119"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has a high quality, well performing, mortgage loan portfolio, with all mortgage loans classified as current at both December 31, 2023 and 2022. The Company defines delinquent mortgage loans, consistent with industry practice, when mortgage loans are past due as follows: commercial mortgage loans - 60 days and agricultural mortgage loans - 90 days. The Company had no mortgage loans past due and no mortgage loans in nonaccrual status at either December 31, 2023 or 2022.</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Impaired Mortgage Loans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impaired mortgage loans at either December 31, 2023 or 2022.</w:t>
      </w:r>
    </w:p>
    <w:p>
      <w:pPr>
        <w:sectPr>
          <w:pgSz w:w="11900" w:h="16838" w:orient="portrait"/>
          <w:cols w:equalWidth="0" w:num="1">
            <w:col w:w="9019"/>
          </w:cols>
          <w:pgMar w:left="1440" w:top="1373" w:right="1440" w:bottom="1082"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9019"/>
          </w:cols>
          <w:pgMar w:left="1440" w:top="1373" w:right="1440" w:bottom="1082" w:gutter="0" w:footer="0" w:header="0"/>
          <w:type w:val="continuous"/>
        </w:sectPr>
      </w:pPr>
    </w:p>
    <w:bookmarkStart w:id="141" w:name="page142"/>
    <w:bookmarkEnd w:id="141"/>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Mortgage Loans Modified in a Troubled Debt Restructuring</w:t>
      </w:r>
    </w:p>
    <w:p>
      <w:pPr>
        <w:spacing w:after="0" w:line="133"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mortgage loans modified in a troubled debt restructuring during the years ended December 31, 2023 and 2022.</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35"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Investments in any counterparty that were greater than 10% of surplus included U.S. government and agency securities with a book/adjusted carrying value of $180 million and $178 million at December 31, 2023 and 2022, respectively.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Assets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restricted assets at book/adjusted carrying value at December 31, (dollars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1"/>
        </w:trPr>
        <w:tc>
          <w:tcPr>
            <w:tcW w:w="358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Pledged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Pledged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62"/>
        </w:trPr>
        <w:tc>
          <w:tcPr>
            <w:tcW w:w="358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&amp; Restricted</w:t>
            </w:r>
          </w:p>
        </w:tc>
        <w:tc>
          <w:tcPr>
            <w:tcW w:w="8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Admitted</w:t>
            </w:r>
          </w:p>
        </w:tc>
        <w:tc>
          <w:tcPr>
            <w:tcW w:w="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&amp; Restricted</w:t>
            </w:r>
          </w:p>
        </w:tc>
        <w:tc>
          <w:tcPr>
            <w:tcW w:w="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80" w:type="dxa"/>
            <w:vAlign w:val="bottom"/>
          </w:tcPr>
          <w:p>
            <w:pPr>
              <w:spacing w:after="0"/>
              <w:rPr>
                <w:sz w:val="14"/>
                <w:szCs w:val="14"/>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Admitted</w:t>
            </w:r>
          </w:p>
        </w:tc>
      </w:tr>
      <w:tr>
        <w:trPr>
          <w:trHeight w:val="190"/>
        </w:trPr>
        <w:tc>
          <w:tcPr>
            <w:tcW w:w="358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6"/>
                <w:szCs w:val="16"/>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6"/>
                <w:szCs w:val="16"/>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6"/>
                <w:szCs w:val="16"/>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3"/>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State deposits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0.0%</w:t>
            </w: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0.0%</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1"/>
                <w:szCs w:val="21"/>
                <w:color w:val="auto"/>
              </w:rPr>
            </w:pPr>
          </w:p>
        </w:tc>
      </w:tr>
      <w:tr>
        <w:trPr>
          <w:trHeight w:val="32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collateral</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0.0</w:t>
            </w:r>
          </w:p>
        </w:tc>
        <w:tc>
          <w:tcPr>
            <w:tcW w:w="2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24"/>
                <w:szCs w:val="24"/>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24"/>
                <w:szCs w:val="24"/>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400" w:right="739" w:hanging="288"/>
        <w:spacing w:after="0" w:line="232" w:lineRule="auto"/>
        <w:tabs>
          <w:tab w:leader="none" w:pos="400"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December 31, 2023, pledged &amp; restricted assets for derivatives collateral included General Account assets of $1 million, all of which supported Separate Account activities. As of December 31, 2022, there were no General Account restricted assets supporting Separate Accounts.</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Derivatives</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the notional amount, book/adjusted carrying value, estimated fair value and primary underlying risk exposure by type of derivative held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7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520" w:type="dxa"/>
            <w:vAlign w:val="bottom"/>
            <w:gridSpan w:val="3"/>
            <w:shd w:val="clear" w:color="auto" w:fill="F0FF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Book/</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520" w:type="dxa"/>
            <w:vAlign w:val="bottom"/>
            <w:gridSpan w:val="3"/>
            <w:shd w:val="clear" w:color="auto" w:fill="F0FF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Book/</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7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80" w:type="dxa"/>
            <w:vAlign w:val="bottom"/>
            <w:gridSpan w:val="4"/>
            <w:shd w:val="clear" w:color="auto" w:fill="F0FF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580" w:type="dxa"/>
            <w:vAlign w:val="bottom"/>
            <w:gridSpan w:val="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Primary Underlying</w:t>
            </w:r>
          </w:p>
        </w:tc>
        <w:tc>
          <w:tcPr>
            <w:tcW w:w="160" w:type="dxa"/>
            <w:vAlign w:val="bottom"/>
            <w:shd w:val="clear" w:color="auto" w:fill="F0FFFF"/>
          </w:tcPr>
          <w:p>
            <w:pPr>
              <w:spacing w:after="0"/>
              <w:rPr>
                <w:sz w:val="15"/>
                <w:szCs w:val="15"/>
                <w:color w:val="auto"/>
              </w:rPr>
            </w:pPr>
          </w:p>
        </w:tc>
        <w:tc>
          <w:tcPr>
            <w:tcW w:w="17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600" w:type="dxa"/>
            <w:vAlign w:val="bottom"/>
            <w:gridSpan w:val="2"/>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shd w:val="clear" w:color="auto" w:fill="F0FFFF"/>
          </w:tcPr>
          <w:p>
            <w:pPr>
              <w:spacing w:after="0"/>
              <w:rPr>
                <w:sz w:val="15"/>
                <w:szCs w:val="15"/>
                <w:color w:val="auto"/>
              </w:rPr>
            </w:pPr>
          </w:p>
        </w:tc>
        <w:tc>
          <w:tcPr>
            <w:tcW w:w="580" w:type="dxa"/>
            <w:vAlign w:val="bottom"/>
            <w:gridSpan w:val="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shd w:val="clear" w:color="auto" w:fill="F0FFFF"/>
          </w:tcPr>
          <w:p>
            <w:pPr>
              <w:spacing w:after="0"/>
              <w:rPr>
                <w:sz w:val="15"/>
                <w:szCs w:val="15"/>
                <w:color w:val="auto"/>
              </w:rPr>
            </w:pPr>
          </w:p>
        </w:tc>
        <w:tc>
          <w:tcPr>
            <w:tcW w:w="660" w:type="dxa"/>
            <w:vAlign w:val="bottom"/>
            <w:gridSpan w:val="4"/>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600" w:type="dxa"/>
            <w:vAlign w:val="bottom"/>
            <w:gridSpan w:val="2"/>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shd w:val="clear" w:color="auto" w:fill="F0FFFF"/>
          </w:tcPr>
          <w:p>
            <w:pPr>
              <w:spacing w:after="0"/>
              <w:rPr>
                <w:sz w:val="15"/>
                <w:szCs w:val="15"/>
                <w:color w:val="auto"/>
              </w:rPr>
            </w:pPr>
          </w:p>
        </w:tc>
        <w:tc>
          <w:tcPr>
            <w:tcW w:w="580" w:type="dxa"/>
            <w:vAlign w:val="bottom"/>
            <w:gridSpan w:val="4"/>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shd w:val="clear" w:color="auto" w:fill="F0FFFF"/>
          </w:tcPr>
          <w:p>
            <w:pPr>
              <w:spacing w:after="0"/>
              <w:rPr>
                <w:sz w:val="15"/>
                <w:szCs w:val="15"/>
                <w:color w:val="auto"/>
              </w:rPr>
            </w:pPr>
          </w:p>
        </w:tc>
        <w:tc>
          <w:tcPr>
            <w:tcW w:w="660" w:type="dxa"/>
            <w:vAlign w:val="bottom"/>
            <w:gridSpan w:val="4"/>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Risk Exposure</w:t>
            </w:r>
          </w:p>
        </w:tc>
        <w:tc>
          <w:tcPr>
            <w:tcW w:w="160" w:type="dxa"/>
            <w:vAlign w:val="bottom"/>
            <w:shd w:val="clear" w:color="auto" w:fill="F0FFFF"/>
          </w:tcPr>
          <w:p>
            <w:pPr>
              <w:spacing w:after="0"/>
              <w:rPr>
                <w:sz w:val="18"/>
                <w:szCs w:val="18"/>
                <w:color w:val="auto"/>
              </w:rPr>
            </w:pPr>
          </w:p>
        </w:tc>
        <w:tc>
          <w:tcPr>
            <w:tcW w:w="1880" w:type="dxa"/>
            <w:vAlign w:val="bottom"/>
            <w:gridSpan w:val="2"/>
            <w:shd w:val="clear" w:color="auto" w:fill="F0FFFF"/>
          </w:tcPr>
          <w:p>
            <w:pPr>
              <w:ind w:left="38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40" w:type="dxa"/>
            <w:vAlign w:val="bottom"/>
            <w:shd w:val="clear" w:color="auto" w:fill="F0FFFF"/>
          </w:tcPr>
          <w:p>
            <w:pPr>
              <w:spacing w:after="0"/>
              <w:rPr>
                <w:sz w:val="18"/>
                <w:szCs w:val="18"/>
                <w:color w:val="auto"/>
              </w:rPr>
            </w:pPr>
          </w:p>
        </w:tc>
        <w:tc>
          <w:tcPr>
            <w:tcW w:w="600" w:type="dxa"/>
            <w:vAlign w:val="bottom"/>
            <w:gridSpan w:val="2"/>
            <w:shd w:val="clear" w:color="auto" w:fill="F0FFFF"/>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520" w:type="dxa"/>
            <w:vAlign w:val="bottom"/>
            <w:gridSpan w:val="3"/>
            <w:shd w:val="clear" w:color="auto" w:fill="F0FF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shd w:val="clear" w:color="auto" w:fill="F0FFFF"/>
          </w:tcPr>
          <w:p>
            <w:pPr>
              <w:spacing w:after="0"/>
              <w:rPr>
                <w:sz w:val="18"/>
                <w:szCs w:val="18"/>
                <w:color w:val="auto"/>
              </w:rPr>
            </w:pPr>
          </w:p>
        </w:tc>
        <w:tc>
          <w:tcPr>
            <w:tcW w:w="660" w:type="dxa"/>
            <w:vAlign w:val="bottom"/>
            <w:gridSpan w:val="4"/>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0" w:type="dxa"/>
            <w:vAlign w:val="bottom"/>
            <w:gridSpan w:val="2"/>
            <w:shd w:val="clear" w:color="auto" w:fill="F0FFFF"/>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520" w:type="dxa"/>
            <w:vAlign w:val="bottom"/>
            <w:gridSpan w:val="3"/>
            <w:shd w:val="clear" w:color="auto" w:fill="F0FF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shd w:val="clear" w:color="auto" w:fill="F0FFFF"/>
          </w:tcPr>
          <w:p>
            <w:pPr>
              <w:spacing w:after="0"/>
              <w:rPr>
                <w:sz w:val="18"/>
                <w:szCs w:val="18"/>
                <w:color w:val="auto"/>
              </w:rPr>
            </w:pPr>
          </w:p>
        </w:tc>
        <w:tc>
          <w:tcPr>
            <w:tcW w:w="660" w:type="dxa"/>
            <w:vAlign w:val="bottom"/>
            <w:gridSpan w:val="4"/>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F0FFFF"/>
          </w:tcPr>
          <w:p>
            <w:pPr>
              <w:spacing w:after="0" w:line="20" w:lineRule="exact"/>
              <w:rPr>
                <w:sz w:val="1"/>
                <w:szCs w:val="1"/>
                <w:color w:val="auto"/>
              </w:rPr>
            </w:pPr>
          </w:p>
        </w:tc>
        <w:tc>
          <w:tcPr>
            <w:tcW w:w="1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78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46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46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2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Foreign currency exchange</w:t>
            </w:r>
          </w:p>
        </w:tc>
        <w:tc>
          <w:tcPr>
            <w:tcW w:w="2040" w:type="dxa"/>
            <w:vAlign w:val="bottom"/>
            <w:gridSpan w:val="3"/>
          </w:tcPr>
          <w:p>
            <w:pPr>
              <w:ind w:left="160"/>
              <w:spacing w:after="0" w:line="164" w:lineRule="exact"/>
              <w:rPr>
                <w:sz w:val="20"/>
                <w:szCs w:val="20"/>
                <w:color w:val="auto"/>
              </w:rPr>
            </w:pPr>
            <w:r>
              <w:rPr>
                <w:rFonts w:ascii="Times New Roman" w:cs="Times New Roman" w:eastAsia="Times New Roman" w:hAnsi="Times New Roman"/>
                <w:sz w:val="18"/>
                <w:szCs w:val="18"/>
                <w:color w:val="auto"/>
              </w:rPr>
              <w:t>Foreign currency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rate</w:t>
            </w:r>
          </w:p>
        </w:tc>
        <w:tc>
          <w:tcPr>
            <w:tcW w:w="16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080" w:type="dxa"/>
            <w:vAlign w:val="bottom"/>
            <w:tcBorders>
              <w:bottom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040" w:type="dxa"/>
            <w:vAlign w:val="bottom"/>
            <w:tcBorders>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 rate caps</w:t>
            </w: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4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40" w:type="dxa"/>
            <w:vAlign w:val="bottom"/>
            <w:tcBorders>
              <w:bottom w:val="single" w:sz="8" w:color="F0FFFF"/>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34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4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F0FFFF"/>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3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F0FFFF"/>
            </w:tcBorders>
            <w:shd w:val="clear" w:color="auto" w:fill="F0FF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Equity index</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market</w:t>
            </w:r>
          </w:p>
        </w:tc>
        <w:tc>
          <w:tcPr>
            <w:tcW w:w="16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40" w:type="dxa"/>
            <w:vAlign w:val="bottom"/>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rate of return</w:t>
            </w: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880" w:type="dxa"/>
            <w:vAlign w:val="bottom"/>
            <w:gridSpan w:val="2"/>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4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6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4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3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1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7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46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46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4"/>
                <w:szCs w:val="24"/>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-1756410</wp:posOffset>
            </wp:positionV>
            <wp:extent cx="171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Currency Exchange Rate Derivatives</w:t>
      </w:r>
    </w:p>
    <w:p>
      <w:pPr>
        <w:spacing w:after="0" w:line="11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uses foreign currency exchange rate derivatives, including foreign currency swaps to reduce the risk from fluctuations in foreign currency exchange rates associated with its assets denominated in foreign currencies.</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w:t>
      </w:r>
    </w:p>
    <w:p>
      <w:pPr>
        <w:sectPr>
          <w:pgSz w:w="11900" w:h="16838" w:orient="portrait"/>
          <w:cols w:equalWidth="0" w:num="1">
            <w:col w:w="9019"/>
          </w:cols>
          <w:pgMar w:left="1440" w:top="1373" w:right="1440" w:bottom="839"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9019"/>
          </w:cols>
          <w:pgMar w:left="1440" w:top="1373" w:right="1440" w:bottom="839" w:gutter="0" w:footer="0" w:header="0"/>
          <w:type w:val="continuous"/>
        </w:sectPr>
      </w:pPr>
    </w:p>
    <w:bookmarkStart w:id="142" w:name="page143"/>
    <w:bookmarkEnd w:id="14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Market Derivatives</w:t>
      </w:r>
    </w:p>
    <w:p>
      <w:pPr>
        <w:spacing w:after="0" w:line="133"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uses equity derivatives to reduce its exposure to equity market risk, including equity index options and total rate of return swaps.</w:t>
      </w:r>
    </w:p>
    <w:p>
      <w:pPr>
        <w:spacing w:after="0" w:line="5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Equity index options are used by the Company to hedge index-linked annuity products against adverse changes in equity markets. In an equity index option transaction, the Company enters into contracts to buy or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w:t>
      </w:r>
    </w:p>
    <w:p>
      <w:pPr>
        <w:spacing w:after="0" w:line="9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Total rate of return swaps are swaps whereby the Company agrees with another party to exchange, at specified intervals, the difference between the economic risk and reward of an asset or a market index and a floating rate, most commonly Fed Funds,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Total rate of return swaps are used by the Company to hedge index-linked annuity products against adverse changes in equity markets.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uses interest rate derivatives to reduce its exposure to changes in interest rates, including interest rate caps.</w:t>
      </w:r>
    </w:p>
    <w:p>
      <w:pPr>
        <w:spacing w:after="0" w:line="6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Interest rate caps are purchased by the Company primarily to protect against interest rate exposure arising from duration mismatches between assets and liabilities. At the outset of the contract, the Company pays a premium for the right to receive the cash payments equal to the excess of the market rate over the strike price multiplied by the notional amount, if the observed reference interest rate is above the strike level of the cap on the applicable reset date. In certain instances, the Company may lock in the economic impact of existing purchased caps by entering into offsetting written caps.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33"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designates and accounts for foreign currency swaps to hedge the foreign currency cash flow exposure of foreign currency denominated assets as cash flow hedges when they have met the effectiveness requirements of SSAP 86.</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components of each derivative’s gain or loss were included in the assessment of hedge effectiveness.</w:t>
      </w:r>
    </w:p>
    <w:p>
      <w:pPr>
        <w:spacing w:after="0" w:line="11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there were no gains (losses) related to cash flow derivatives designated as cash flow hedges that no longer qualify for hedge accounting or for which the Company removed the hedge designation.</w:t>
      </w:r>
    </w:p>
    <w:p>
      <w:pPr>
        <w:spacing w:after="0" w:line="8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In certain instances, the Company may discontinue cash flow hedge accounting because it is no longer probable that the forecasted transaction will occur by the end of the originally specified time period or within two months of the anticipated date. For the years ended December 31, 2023, 2022, and 2021 there were no gains (losses) related to such discontinued cash flow hedges.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hedged forecasted transactions for the years ended December 31, 2023, 2022, and 2021.</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Non-qualifying Derivatives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enters into the following derivatives that do not qualify for hedge accounting under SSAP 86:</w:t>
      </w:r>
    </w:p>
    <w:p>
      <w:pPr>
        <w:spacing w:after="0" w:line="27" w:lineRule="exact"/>
        <w:rPr>
          <w:sz w:val="20"/>
          <w:szCs w:val="20"/>
          <w:color w:val="auto"/>
        </w:rPr>
      </w:pPr>
    </w:p>
    <w:p>
      <w:pPr>
        <w:jc w:val="both"/>
        <w:ind w:left="120" w:right="659" w:hanging="8"/>
        <w:spacing w:after="0" w:line="255" w:lineRule="auto"/>
        <w:tabs>
          <w:tab w:leader="none" w:pos="3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caps to economically hedge its exposure to interest rates; (ii) foreign currency swaps to economically hedge its exposure to adverse movements in exchange rates; and (iii) equity index options and total rate of return swaps to hedge index-linked annuity products against adverse changes in equity markets.</w:t>
      </w:r>
    </w:p>
    <w:p>
      <w:pPr>
        <w:sectPr>
          <w:pgSz w:w="11900" w:h="16838" w:orient="portrait"/>
          <w:cols w:equalWidth="0" w:num="1">
            <w:col w:w="9019"/>
          </w:cols>
          <w:pgMar w:left="1440" w:top="1373" w:right="1440" w:bottom="1440" w:gutter="0" w:footer="0" w:header="0"/>
        </w:sectPr>
      </w:pPr>
    </w:p>
    <w:p>
      <w:pPr>
        <w:spacing w:after="0" w:line="3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9019"/>
          </w:cols>
          <w:pgMar w:left="1440" w:top="1373" w:right="1440" w:bottom="1440" w:gutter="0" w:footer="0" w:header="0"/>
          <w:type w:val="continuous"/>
        </w:sectPr>
      </w:pPr>
    </w:p>
    <w:bookmarkStart w:id="143" w:name="page144"/>
    <w:bookmarkEnd w:id="14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Derivatives for Other than Hedging Purposes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held no derivatives for other than hedging purposes during the years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Off-Balance Sheet Risk and Credit Risk</w:t>
      </w:r>
    </w:p>
    <w:p>
      <w:pPr>
        <w:spacing w:after="0" w:line="119"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notional amount of the Company’s financial instruments (derivatives that are designated as effective hedging instruments) with off-balance sheet credit risk at December 31, (in millions):</w:t>
      </w:r>
    </w:p>
    <w:p>
      <w:pPr>
        <w:spacing w:after="0" w:line="128" w:lineRule="exact"/>
        <w:rPr>
          <w:sz w:val="20"/>
          <w:szCs w:val="20"/>
          <w:color w:val="auto"/>
        </w:rPr>
      </w:pPr>
    </w:p>
    <w:p>
      <w:pPr>
        <w:ind w:left="584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Asset</w:t>
      </w:r>
      <w:r>
        <w:rPr>
          <w:sz w:val="20"/>
          <w:szCs w:val="20"/>
          <w:color w:val="auto"/>
        </w:rPr>
        <w:tab/>
      </w:r>
      <w:r>
        <w:rPr>
          <w:rFonts w:ascii="Times New Roman" w:cs="Times New Roman" w:eastAsia="Times New Roman" w:hAnsi="Times New Roman"/>
          <w:sz w:val="14"/>
          <w:szCs w:val="14"/>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5246370"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46370" cy="214630"/>
                    </a:xfrm>
                    <a:prstGeom prst="rect">
                      <a:avLst/>
                    </a:prstGeom>
                    <a:noFill/>
                  </pic:spPr>
                </pic:pic>
              </a:graphicData>
            </a:graphic>
          </wp:anchor>
        </w:drawing>
      </w:r>
    </w:p>
    <w:p>
      <w:pPr>
        <w:spacing w:after="0" w:line="116" w:lineRule="exact"/>
        <w:rPr>
          <w:sz w:val="20"/>
          <w:szCs w:val="20"/>
          <w:color w:val="auto"/>
        </w:rPr>
      </w:pPr>
    </w:p>
    <w:p>
      <w:pPr>
        <w:ind w:left="5600"/>
        <w:spacing w:after="0"/>
        <w:tabs>
          <w:tab w:leader="none" w:pos="6080" w:val="left"/>
          <w:tab w:leader="none" w:pos="6600" w:val="left"/>
          <w:tab w:leader="none" w:pos="7100" w:val="left"/>
        </w:tabs>
        <w:rPr>
          <w:sz w:val="20"/>
          <w:szCs w:val="20"/>
          <w:color w:val="auto"/>
        </w:rPr>
      </w:pPr>
      <w:r>
        <w:rPr>
          <w:rFonts w:ascii="Times New Roman" w:cs="Times New Roman" w:eastAsia="Times New Roman" w:hAnsi="Times New Roman"/>
          <w:sz w:val="14"/>
          <w:szCs w:val="14"/>
          <w:b w:val="1"/>
          <w:bCs w:val="1"/>
          <w:color w:val="auto"/>
        </w:rPr>
        <w:t>2023</w:t>
        <w:tab/>
        <w:t>2022</w:t>
        <w:tab/>
        <w:t>2023</w:t>
        <w:tab/>
        <w:t>2022</w:t>
      </w:r>
    </w:p>
    <w:p>
      <w:pPr>
        <w:spacing w:after="0" w:line="125" w:lineRule="exact"/>
        <w:rPr>
          <w:sz w:val="20"/>
          <w:szCs w:val="20"/>
          <w:color w:val="auto"/>
        </w:rPr>
      </w:pPr>
    </w:p>
    <w:p>
      <w:pPr>
        <w:ind w:left="1080"/>
        <w:spacing w:after="0"/>
        <w:tabs>
          <w:tab w:leader="none" w:pos="5580" w:val="left"/>
          <w:tab w:leader="none" w:pos="6080" w:val="left"/>
          <w:tab w:leader="none" w:pos="6580" w:val="left"/>
          <w:tab w:leader="none" w:pos="7100" w:val="left"/>
        </w:tabs>
        <w:rPr>
          <w:sz w:val="20"/>
          <w:szCs w:val="20"/>
          <w:color w:val="auto"/>
        </w:rPr>
      </w:pPr>
      <w:r>
        <w:rPr>
          <w:rFonts w:ascii="Times New Roman" w:cs="Times New Roman" w:eastAsia="Times New Roman" w:hAnsi="Times New Roman"/>
          <w:sz w:val="14"/>
          <w:szCs w:val="14"/>
          <w:color w:val="auto"/>
        </w:rPr>
        <w:t>Foreign currency swaps</w:t>
      </w:r>
      <w:r>
        <w:rPr>
          <w:sz w:val="20"/>
          <w:szCs w:val="20"/>
          <w:color w:val="auto"/>
        </w:rPr>
        <w:tab/>
      </w:r>
      <w:r>
        <w:rPr>
          <w:rFonts w:ascii="Times New Roman" w:cs="Times New Roman" w:eastAsia="Times New Roman" w:hAnsi="Times New Roman"/>
          <w:sz w:val="14"/>
          <w:szCs w:val="14"/>
          <w:color w:val="auto"/>
        </w:rPr>
        <w:t>$  52</w:t>
        <w:tab/>
        <w:t>$  55</w:t>
        <w:tab/>
        <w:t>$  —</w:t>
        <w:tab/>
        <w:t>$  —</w:t>
      </w:r>
    </w:p>
    <w:p>
      <w:pPr>
        <w:spacing w:after="0" w:line="19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2"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manages its credit risk related to derivatives by entering into transactions with creditworthy counterparties and establishing and monitoring exposure limits. The Company’s OTC derivative transactions are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set-off receivables from the counterparty against payables to the same counterparty arising out of all included transactions. All of the Company’s ISDA Master Agreements also include Credit Support Annex provisions which may require both the pledging and accepting of collateral in connection with its OTC derivatives.</w:t>
      </w:r>
    </w:p>
    <w:p>
      <w:pPr>
        <w:spacing w:after="0" w:line="84"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Off-balance sheet credit exposure is the excess of positive estimated fair value over positive book/adjusted carrying value for the Company’s highly effective hedges at the reporting date. All collateral received from counterparties to mitigate credit-related losses is deemed worthless for the purpose of calculating the Company’s off-balance sheet credit exposure. The off-balance sheet credit exposure of the Company’s swaps was $3 million and $5 million at December 31, 2023 and 2022, respectively.</w:t>
      </w:r>
    </w:p>
    <w:p>
      <w:pPr>
        <w:spacing w:after="0" w:line="7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enters into various collateral arrangements, which may require both the pledging and accepting of collateral in connection with its derivatives. The table below summarizes the collateral pledged in connection with its OTC derivatives at December 31, (in millions):</w:t>
      </w:r>
    </w:p>
    <w:p>
      <w:pPr>
        <w:spacing w:after="0" w:line="14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11430</wp:posOffset>
            </wp:positionV>
            <wp:extent cx="5397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5760" w:type="dxa"/>
            <w:vAlign w:val="bottom"/>
            <w:shd w:val="clear" w:color="auto" w:fill="F0FFFF"/>
          </w:tcPr>
          <w:p>
            <w:pPr>
              <w:spacing w:after="0"/>
              <w:rPr>
                <w:sz w:val="23"/>
                <w:szCs w:val="23"/>
                <w:color w:val="auto"/>
              </w:rPr>
            </w:pPr>
          </w:p>
        </w:tc>
        <w:tc>
          <w:tcPr>
            <w:tcW w:w="360" w:type="dxa"/>
            <w:vAlign w:val="bottom"/>
            <w:gridSpan w:val="3"/>
            <w:shd w:val="clear" w:color="auto" w:fill="F0FFFF"/>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shd w:val="clear" w:color="auto" w:fill="F0FFFF"/>
          </w:tcPr>
          <w:p>
            <w:pPr>
              <w:spacing w:after="0"/>
              <w:rPr>
                <w:sz w:val="23"/>
                <w:szCs w:val="23"/>
                <w:color w:val="auto"/>
              </w:rPr>
            </w:pPr>
          </w:p>
        </w:tc>
      </w:tr>
      <w:tr>
        <w:trPr>
          <w:trHeight w:val="233"/>
        </w:trPr>
        <w:tc>
          <w:tcPr>
            <w:tcW w:w="5760" w:type="dxa"/>
            <w:vAlign w:val="bottom"/>
            <w:tcBorders>
              <w:top w:val="single" w:sz="8" w:color="F0FFFF"/>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Initial Margin:</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F0FFFF"/>
            </w:tcBorders>
          </w:tcPr>
          <w:p>
            <w:pPr>
              <w:spacing w:after="0"/>
              <w:rPr>
                <w:sz w:val="20"/>
                <w:szCs w:val="20"/>
                <w:color w:val="auto"/>
              </w:rPr>
            </w:pPr>
          </w:p>
        </w:tc>
      </w:tr>
      <w:tr>
        <w:trPr>
          <w:trHeight w:val="50"/>
        </w:trPr>
        <w:tc>
          <w:tcPr>
            <w:tcW w:w="5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36"/>
        </w:trPr>
        <w:tc>
          <w:tcPr>
            <w:tcW w:w="5760" w:type="dxa"/>
            <w:vAlign w:val="bottom"/>
            <w:tcBorders>
              <w:bottom w:val="single" w:sz="8" w:color="F0FFFF"/>
            </w:tcBorders>
            <w:shd w:val="clear" w:color="auto" w:fill="F0FFFF"/>
          </w:tcPr>
          <w:p>
            <w:pPr>
              <w:ind w:left="1660"/>
              <w:spacing w:after="0"/>
              <w:rPr>
                <w:sz w:val="20"/>
                <w:szCs w:val="20"/>
                <w:color w:val="auto"/>
              </w:rPr>
            </w:pPr>
            <w:r>
              <w:rPr>
                <w:rFonts w:ascii="Times New Roman" w:cs="Times New Roman" w:eastAsia="Times New Roman" w:hAnsi="Times New Roman"/>
                <w:sz w:val="14"/>
                <w:szCs w:val="14"/>
                <w:color w:val="auto"/>
              </w:rPr>
              <w:t>OTC-bilateral</w:t>
            </w:r>
          </w:p>
        </w:tc>
        <w:tc>
          <w:tcPr>
            <w:tcW w:w="160" w:type="dxa"/>
            <w:vAlign w:val="bottom"/>
            <w:tcBorders>
              <w:bottom w:val="single" w:sz="8" w:color="F0FFFF"/>
            </w:tcBorders>
            <w:gridSpan w:val="2"/>
            <w:shd w:val="clear" w:color="auto" w:fill="F0FF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$ 225</w:t>
            </w:r>
          </w:p>
        </w:tc>
        <w:tc>
          <w:tcPr>
            <w:tcW w:w="1640" w:type="dxa"/>
            <w:vAlign w:val="bottom"/>
            <w:tcBorders>
              <w:bottom w:val="single" w:sz="8" w:color="F0FFFF"/>
            </w:tcBorders>
            <w:shd w:val="clear" w:color="auto" w:fill="F0FFFF"/>
          </w:tcPr>
          <w:p>
            <w:pPr>
              <w:spacing w:after="0"/>
              <w:rPr>
                <w:sz w:val="20"/>
                <w:szCs w:val="20"/>
                <w:color w:val="auto"/>
              </w:rPr>
            </w:pPr>
          </w:p>
        </w:tc>
      </w:tr>
      <w:tr>
        <w:trPr>
          <w:trHeight w:val="206"/>
        </w:trPr>
        <w:tc>
          <w:tcPr>
            <w:tcW w:w="576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Variation Margin: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50"/>
        </w:trPr>
        <w:tc>
          <w:tcPr>
            <w:tcW w:w="5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63"/>
        </w:trPr>
        <w:tc>
          <w:tcPr>
            <w:tcW w:w="5760" w:type="dxa"/>
            <w:vAlign w:val="bottom"/>
            <w:tcBorders>
              <w:bottom w:val="single" w:sz="8" w:color="F0FFFF"/>
            </w:tcBorders>
            <w:shd w:val="clear" w:color="auto" w:fill="F0FFFF"/>
          </w:tcPr>
          <w:p>
            <w:pPr>
              <w:ind w:left="1660"/>
              <w:spacing w:after="0"/>
              <w:rPr>
                <w:sz w:val="20"/>
                <w:szCs w:val="20"/>
                <w:color w:val="auto"/>
              </w:rPr>
            </w:pPr>
            <w:r>
              <w:rPr>
                <w:rFonts w:ascii="Times New Roman" w:cs="Times New Roman" w:eastAsia="Times New Roman" w:hAnsi="Times New Roman"/>
                <w:sz w:val="14"/>
                <w:szCs w:val="14"/>
                <w:color w:val="auto"/>
              </w:rPr>
              <w:t>OTC-bilateral</w:t>
            </w:r>
          </w:p>
        </w:tc>
        <w:tc>
          <w:tcPr>
            <w:tcW w:w="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F0FFFF"/>
            </w:tcBorders>
            <w:gridSpan w:val="2"/>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40" w:type="dxa"/>
            <w:vAlign w:val="bottom"/>
            <w:tcBorders>
              <w:bottom w:val="single" w:sz="8" w:color="F0FFFF"/>
            </w:tcBorders>
            <w:shd w:val="clear" w:color="auto" w:fill="F0FFFF"/>
          </w:tcPr>
          <w:p>
            <w:pPr>
              <w:spacing w:after="0"/>
              <w:rPr>
                <w:sz w:val="22"/>
                <w:szCs w:val="22"/>
                <w:color w:val="auto"/>
              </w:rPr>
            </w:pPr>
          </w:p>
        </w:tc>
      </w:tr>
      <w:tr>
        <w:trPr>
          <w:trHeight w:val="243"/>
        </w:trPr>
        <w:tc>
          <w:tcPr>
            <w:tcW w:w="576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Total OTC</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$ 282</w:t>
            </w:r>
          </w:p>
        </w:tc>
        <w:tc>
          <w:tcPr>
            <w:tcW w:w="1640" w:type="dxa"/>
            <w:vAlign w:val="bottom"/>
          </w:tcPr>
          <w:p>
            <w:pPr>
              <w:spacing w:after="0"/>
              <w:rPr>
                <w:sz w:val="21"/>
                <w:szCs w:val="21"/>
                <w:color w:val="auto"/>
              </w:rPr>
            </w:pPr>
          </w:p>
        </w:tc>
      </w:tr>
      <w:tr>
        <w:trPr>
          <w:trHeight w:val="21"/>
        </w:trPr>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2" w:lineRule="exact"/>
        <w:rPr>
          <w:sz w:val="20"/>
          <w:szCs w:val="20"/>
          <w:color w:val="auto"/>
        </w:rPr>
      </w:pPr>
    </w:p>
    <w:p>
      <w:pPr>
        <w:ind w:left="400" w:right="739" w:hanging="288"/>
        <w:spacing w:after="0" w:line="221" w:lineRule="auto"/>
        <w:tabs>
          <w:tab w:leader="none" w:pos="400" w:val="left"/>
        </w:tabs>
        <w:numPr>
          <w:ilvl w:val="0"/>
          <w:numId w:val="6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Securities pledged as collateral are reported in bonds. Subject to certain constraints, the counterparties are permitted by contract to sell or repledge this</w:t>
      </w:r>
    </w:p>
    <w:p>
      <w:pPr>
        <w:spacing w:after="0" w:line="1" w:lineRule="exact"/>
        <w:rPr>
          <w:rFonts w:ascii="Times New Roman" w:cs="Times New Roman" w:eastAsia="Times New Roman" w:hAnsi="Times New Roman"/>
          <w:sz w:val="18"/>
          <w:szCs w:val="18"/>
          <w:color w:val="auto"/>
          <w:vertAlign w:val="superscript"/>
        </w:rPr>
      </w:pPr>
    </w:p>
    <w:p>
      <w:pPr>
        <w:ind w:left="40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collateral.</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9019"/>
          </w:cols>
          <w:pgMar w:left="1440" w:top="1373" w:right="1440" w:bottom="1440" w:gutter="0" w:footer="0" w:header="0"/>
          <w:type w:val="continuous"/>
        </w:sectPr>
      </w:pPr>
    </w:p>
    <w:bookmarkStart w:id="144" w:name="page145"/>
    <w:bookmarkEnd w:id="14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collateral received by the Company in connection with its OTC derivatives as of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4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1"/>
              </w:rPr>
              <w:t>Cash</w:t>
            </w:r>
            <w:r>
              <w:rPr>
                <w:rFonts w:ascii="Times New Roman" w:cs="Times New Roman" w:eastAsia="Times New Roman" w:hAnsi="Times New Roman"/>
                <w:sz w:val="17"/>
                <w:szCs w:val="17"/>
                <w:b w:val="1"/>
                <w:bCs w:val="1"/>
                <w:color w:val="auto"/>
                <w:w w:val="91"/>
                <w:vertAlign w:val="superscript"/>
              </w:rPr>
              <w:t>(1)</w:t>
            </w: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Securities</w:t>
            </w:r>
            <w:r>
              <w:rPr>
                <w:rFonts w:ascii="Times New Roman" w:cs="Times New Roman" w:eastAsia="Times New Roman" w:hAnsi="Times New Roman"/>
                <w:sz w:val="17"/>
                <w:szCs w:val="17"/>
                <w:b w:val="1"/>
                <w:bCs w:val="1"/>
                <w:color w:val="auto"/>
                <w:w w:val="97"/>
                <w:vertAlign w:val="superscript"/>
              </w:rPr>
              <w:t>(2)</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8"/>
                <w:szCs w:val="18"/>
                <w:color w:val="auto"/>
              </w:rPr>
            </w:pPr>
          </w:p>
        </w:tc>
      </w:tr>
      <w:tr>
        <w:trPr>
          <w:trHeight w:val="21"/>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7"/>
        </w:trPr>
        <w:tc>
          <w:tcPr>
            <w:tcW w:w="4460" w:type="dxa"/>
            <w:vAlign w:val="bottom"/>
            <w:shd w:val="clear" w:color="auto" w:fill="F0FFFF"/>
          </w:tcPr>
          <w:p>
            <w:pPr>
              <w:spacing w:after="0"/>
              <w:rPr>
                <w:sz w:val="24"/>
                <w:szCs w:val="24"/>
                <w:color w:val="auto"/>
              </w:rPr>
            </w:pPr>
          </w:p>
        </w:tc>
        <w:tc>
          <w:tcPr>
            <w:tcW w:w="340" w:type="dxa"/>
            <w:vAlign w:val="bottom"/>
            <w:gridSpan w:val="4"/>
            <w:shd w:val="clear" w:color="auto" w:fill="F0FFFF"/>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shd w:val="clear" w:color="auto" w:fill="F0FFFF"/>
          </w:tcPr>
          <w:p>
            <w:pPr>
              <w:spacing w:after="0"/>
              <w:rPr>
                <w:sz w:val="24"/>
                <w:szCs w:val="24"/>
                <w:color w:val="auto"/>
              </w:rPr>
            </w:pPr>
          </w:p>
        </w:tc>
        <w:tc>
          <w:tcPr>
            <w:tcW w:w="500" w:type="dxa"/>
            <w:vAlign w:val="bottom"/>
            <w:gridSpan w:val="4"/>
            <w:shd w:val="clear" w:color="auto" w:fill="F0FFFF"/>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gridSpan w:val="5"/>
            <w:shd w:val="clear" w:color="auto" w:fill="F0FFFF"/>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gridSpan w:val="5"/>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shd w:val="clear" w:color="auto" w:fill="F0FFFF"/>
          </w:tcPr>
          <w:p>
            <w:pPr>
              <w:spacing w:after="0"/>
              <w:rPr>
                <w:sz w:val="24"/>
                <w:szCs w:val="24"/>
                <w:color w:val="auto"/>
              </w:rPr>
            </w:pPr>
          </w:p>
        </w:tc>
      </w:tr>
      <w:tr>
        <w:trPr>
          <w:trHeight w:val="233"/>
        </w:trPr>
        <w:tc>
          <w:tcPr>
            <w:tcW w:w="4460" w:type="dxa"/>
            <w:vAlign w:val="bottom"/>
            <w:tcBorders>
              <w:top w:val="single" w:sz="8" w:color="F0FFFF"/>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Initial Margin:</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F0FFFF"/>
            </w:tcBorders>
          </w:tcPr>
          <w:p>
            <w:pPr>
              <w:spacing w:after="0"/>
              <w:rPr>
                <w:sz w:val="20"/>
                <w:szCs w:val="20"/>
                <w:color w:val="auto"/>
              </w:rPr>
            </w:pPr>
          </w:p>
        </w:tc>
      </w:tr>
      <w:tr>
        <w:trPr>
          <w:trHeight w:val="50"/>
        </w:trPr>
        <w:tc>
          <w:tcPr>
            <w:tcW w:w="4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4460" w:type="dxa"/>
            <w:vAlign w:val="bottom"/>
            <w:tcBorders>
              <w:bottom w:val="single" w:sz="8" w:color="F0FFFF"/>
            </w:tcBorders>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OTC-bilateral</w:t>
            </w:r>
          </w:p>
        </w:tc>
        <w:tc>
          <w:tcPr>
            <w:tcW w:w="160" w:type="dxa"/>
            <w:vAlign w:val="bottom"/>
            <w:tcBorders>
              <w:bottom w:val="single" w:sz="8" w:color="F0FFFF"/>
            </w:tcBorders>
            <w:gridSpan w:val="3"/>
            <w:shd w:val="clear" w:color="auto" w:fill="F0FF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F0FFFF"/>
            </w:tcBorders>
            <w:gridSpan w:val="2"/>
            <w:shd w:val="clear" w:color="auto" w:fill="F0FFFF"/>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F0FFFF"/>
            </w:tcBorders>
            <w:gridSpan w:val="3"/>
            <w:shd w:val="clear" w:color="auto" w:fill="F0FF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F0FFFF"/>
            </w:tcBorders>
            <w:gridSpan w:val="3"/>
            <w:shd w:val="clear" w:color="auto" w:fill="F0FF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F0FFFF"/>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$ 151</w:t>
            </w:r>
          </w:p>
        </w:tc>
        <w:tc>
          <w:tcPr>
            <w:tcW w:w="300" w:type="dxa"/>
            <w:vAlign w:val="bottom"/>
            <w:tcBorders>
              <w:bottom w:val="single" w:sz="8" w:color="F0FFFF"/>
            </w:tcBorders>
            <w:gridSpan w:val="3"/>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F0FFFF"/>
            </w:tcBorders>
            <w:shd w:val="clear" w:color="auto" w:fill="F0FFFF"/>
          </w:tcPr>
          <w:p>
            <w:pPr>
              <w:spacing w:after="0"/>
              <w:rPr>
                <w:sz w:val="20"/>
                <w:szCs w:val="20"/>
                <w:color w:val="auto"/>
              </w:rPr>
            </w:pPr>
          </w:p>
        </w:tc>
        <w:tc>
          <w:tcPr>
            <w:tcW w:w="500" w:type="dxa"/>
            <w:vAlign w:val="bottom"/>
            <w:tcBorders>
              <w:bottom w:val="single" w:sz="8" w:color="F0FFFF"/>
            </w:tcBorders>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$ 151</w:t>
            </w:r>
          </w:p>
        </w:tc>
        <w:tc>
          <w:tcPr>
            <w:tcW w:w="940" w:type="dxa"/>
            <w:vAlign w:val="bottom"/>
            <w:tcBorders>
              <w:bottom w:val="single" w:sz="8" w:color="F0FFFF"/>
            </w:tcBorders>
            <w:shd w:val="clear" w:color="auto" w:fill="F0FFFF"/>
          </w:tcPr>
          <w:p>
            <w:pPr>
              <w:spacing w:after="0"/>
              <w:rPr>
                <w:sz w:val="20"/>
                <w:szCs w:val="20"/>
                <w:color w:val="auto"/>
              </w:rPr>
            </w:pPr>
          </w:p>
        </w:tc>
      </w:tr>
      <w:tr>
        <w:trPr>
          <w:trHeight w:val="206"/>
        </w:trPr>
        <w:tc>
          <w:tcPr>
            <w:tcW w:w="44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Variation Margin: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0"/>
        </w:trPr>
        <w:tc>
          <w:tcPr>
            <w:tcW w:w="4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63"/>
        </w:trPr>
        <w:tc>
          <w:tcPr>
            <w:tcW w:w="4460" w:type="dxa"/>
            <w:vAlign w:val="bottom"/>
            <w:tcBorders>
              <w:bottom w:val="single" w:sz="8" w:color="F0FFFF"/>
            </w:tcBorders>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OTC-bilateral</w:t>
            </w:r>
          </w:p>
        </w:tc>
        <w:tc>
          <w:tcPr>
            <w:tcW w:w="20" w:type="dxa"/>
            <w:vAlign w:val="bottom"/>
            <w:tcBorders>
              <w:bottom w:val="single" w:sz="8" w:color="F0FFFF"/>
            </w:tcBorders>
            <w:shd w:val="clear" w:color="auto" w:fill="F0FFFF"/>
          </w:tcPr>
          <w:p>
            <w:pPr>
              <w:spacing w:after="0"/>
              <w:rPr>
                <w:sz w:val="22"/>
                <w:szCs w:val="22"/>
                <w:color w:val="auto"/>
              </w:rPr>
            </w:pPr>
          </w:p>
        </w:tc>
        <w:tc>
          <w:tcPr>
            <w:tcW w:w="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ind w:left="40"/>
              <w:spacing w:after="0"/>
              <w:rPr>
                <w:sz w:val="20"/>
                <w:szCs w:val="20"/>
                <w:color w:val="auto"/>
              </w:rPr>
            </w:pPr>
            <w:r>
              <w:rPr>
                <w:rFonts w:ascii="Times New Roman" w:cs="Times New Roman" w:eastAsia="Times New Roman" w:hAnsi="Times New Roman"/>
                <w:sz w:val="14"/>
                <w:szCs w:val="14"/>
                <w:color w:val="auto"/>
                <w:w w:val="85"/>
              </w:rPr>
              <w:t>44</w:t>
            </w:r>
          </w:p>
        </w:tc>
        <w:tc>
          <w:tcPr>
            <w:tcW w:w="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5"/>
              </w:rPr>
              <w:t>194</w:t>
            </w:r>
          </w:p>
        </w:tc>
        <w:tc>
          <w:tcPr>
            <w:tcW w:w="16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gridSpan w:val="2"/>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auto"/>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gridSpan w:val="2"/>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940" w:type="dxa"/>
            <w:vAlign w:val="bottom"/>
            <w:tcBorders>
              <w:bottom w:val="single" w:sz="8" w:color="F0FFFF"/>
            </w:tcBorders>
            <w:shd w:val="clear" w:color="auto" w:fill="F0FFFF"/>
          </w:tcPr>
          <w:p>
            <w:pPr>
              <w:spacing w:after="0"/>
              <w:rPr>
                <w:sz w:val="22"/>
                <w:szCs w:val="22"/>
                <w:color w:val="auto"/>
              </w:rPr>
            </w:pPr>
          </w:p>
        </w:tc>
      </w:tr>
      <w:tr>
        <w:trPr>
          <w:trHeight w:val="243"/>
        </w:trPr>
        <w:tc>
          <w:tcPr>
            <w:tcW w:w="44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Total OTC</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44</w:t>
            </w:r>
          </w:p>
        </w:tc>
        <w:tc>
          <w:tcPr>
            <w:tcW w:w="20" w:type="dxa"/>
            <w:vAlign w:val="bottom"/>
          </w:tcPr>
          <w:p>
            <w:pPr>
              <w:spacing w:after="0"/>
              <w:rPr>
                <w:sz w:val="21"/>
                <w:szCs w:val="21"/>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194</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$ 157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47</w:t>
            </w:r>
          </w:p>
        </w:tc>
        <w:tc>
          <w:tcPr>
            <w:tcW w:w="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$ 351</w:t>
            </w:r>
          </w:p>
        </w:tc>
        <w:tc>
          <w:tcPr>
            <w:tcW w:w="94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43" w:lineRule="exact"/>
        <w:rPr>
          <w:sz w:val="20"/>
          <w:szCs w:val="20"/>
          <w:color w:val="auto"/>
        </w:rPr>
      </w:pPr>
    </w:p>
    <w:p>
      <w:pPr>
        <w:ind w:left="400" w:hanging="288"/>
        <w:spacing w:after="0"/>
        <w:tabs>
          <w:tab w:leader="none" w:pos="400"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collateral received is reported in cash, cash equivalents and short-term investments and the obligation to return the collateral is</w:t>
      </w:r>
    </w:p>
    <w:p>
      <w:pPr>
        <w:ind w:left="400"/>
        <w:spacing w:after="0"/>
        <w:rPr>
          <w:sz w:val="20"/>
          <w:szCs w:val="20"/>
          <w:color w:val="auto"/>
        </w:rPr>
      </w:pPr>
      <w:r>
        <w:rPr>
          <w:rFonts w:ascii="Times New Roman" w:cs="Times New Roman" w:eastAsia="Times New Roman" w:hAnsi="Times New Roman"/>
          <w:sz w:val="14"/>
          <w:szCs w:val="14"/>
          <w:color w:val="auto"/>
        </w:rPr>
        <w:t>reported in aggregate write-ins for liabilities as cash collateral received on derivatives.</w:t>
      </w:r>
    </w:p>
    <w:p>
      <w:pPr>
        <w:ind w:left="120"/>
        <w:spacing w:after="0" w:line="190" w:lineRule="auto"/>
        <w:rPr>
          <w:sz w:val="20"/>
          <w:szCs w:val="20"/>
          <w:color w:val="auto"/>
        </w:rPr>
      </w:pPr>
      <w:r>
        <w:rPr>
          <w:rFonts w:ascii="Times New Roman" w:cs="Times New Roman" w:eastAsia="Times New Roman" w:hAnsi="Times New Roman"/>
          <w:sz w:val="9"/>
          <w:szCs w:val="9"/>
          <w:color w:val="auto"/>
        </w:rPr>
        <w:t>(2)</w:t>
      </w:r>
    </w:p>
    <w:p>
      <w:pPr>
        <w:ind w:left="400"/>
        <w:spacing w:after="0"/>
        <w:rPr>
          <w:sz w:val="20"/>
          <w:szCs w:val="20"/>
          <w:color w:val="auto"/>
        </w:rPr>
      </w:pPr>
      <w:r>
        <w:rPr>
          <w:rFonts w:ascii="Times New Roman" w:cs="Times New Roman" w:eastAsia="Times New Roman" w:hAnsi="Times New Roman"/>
          <w:sz w:val="14"/>
          <w:szCs w:val="14"/>
          <w:color w:val="auto"/>
        </w:rPr>
        <w:t>Securities collateral received is held in separate custodial accounts and is not reflected in the financial statements.</w:t>
      </w:r>
    </w:p>
    <w:p>
      <w:pPr>
        <w:spacing w:after="0" w:line="9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Company’s collateral arrangements for its OTC derivatives generally require the counterparty in a net liability position, after considering the effect of netting agreements, to pledge collateral when the amount owed by that party reaches a minimum transfer amount. In addition, the Company’s netting agreements for derivatives contain provisions that require both the Company and the counterparty to maintain a specific investment grade credit rating from each of Moody’s Investors Service (“Moody’s”) and Standard and Poor’s Ratings Service (“S&amp;P”). If a party’s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8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Certain of the Company’s derivative contracts require premiums to be paid at a series of specified future dates over the life of the contract or at maturity. The discounted value of these future settled premiums is accounted for separately from the estimated fair value of each derivative.</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net amount of undiscounted future settled premium payments (receipts), by year, as of December 31, 2023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00" w:type="dxa"/>
            <w:vAlign w:val="bottom"/>
            <w:gridSpan w:val="5"/>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Net Undiscounted Future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120" w:type="dxa"/>
            <w:vAlign w:val="bottom"/>
          </w:tcPr>
          <w:p>
            <w:pPr>
              <w:spacing w:after="0"/>
              <w:rPr>
                <w:sz w:val="14"/>
                <w:szCs w:val="14"/>
                <w:color w:val="auto"/>
              </w:rPr>
            </w:pPr>
          </w:p>
        </w:tc>
        <w:tc>
          <w:tcPr>
            <w:tcW w:w="2500" w:type="dxa"/>
            <w:vAlign w:val="bottom"/>
            <w:gridSpan w:val="5"/>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Settled Premium</w:t>
            </w:r>
          </w:p>
        </w:tc>
        <w:tc>
          <w:tcPr>
            <w:tcW w:w="0" w:type="dxa"/>
            <w:vAlign w:val="bottom"/>
          </w:tcPr>
          <w:p>
            <w:pPr>
              <w:spacing w:after="0"/>
              <w:rPr>
                <w:sz w:val="1"/>
                <w:szCs w:val="1"/>
                <w:color w:val="auto"/>
              </w:rPr>
            </w:pPr>
          </w:p>
        </w:tc>
      </w:tr>
      <w:tr>
        <w:trPr>
          <w:trHeight w:val="138"/>
        </w:trPr>
        <w:tc>
          <w:tcPr>
            <w:tcW w:w="96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4120" w:type="dxa"/>
            <w:vAlign w:val="bottom"/>
          </w:tcPr>
          <w:p>
            <w:pPr>
              <w:spacing w:after="0"/>
              <w:rPr>
                <w:sz w:val="11"/>
                <w:szCs w:val="11"/>
                <w:color w:val="auto"/>
              </w:rPr>
            </w:pPr>
          </w:p>
        </w:tc>
        <w:tc>
          <w:tcPr>
            <w:tcW w:w="2500" w:type="dxa"/>
            <w:vAlign w:val="bottom"/>
            <w:gridSpan w:val="5"/>
          </w:tcPr>
          <w:p>
            <w:pPr>
              <w:jc w:val="center"/>
              <w:ind w:right="940"/>
              <w:spacing w:after="0" w:line="127" w:lineRule="exact"/>
              <w:rPr>
                <w:sz w:val="20"/>
                <w:szCs w:val="20"/>
                <w:color w:val="auto"/>
              </w:rPr>
            </w:pPr>
            <w:r>
              <w:rPr>
                <w:rFonts w:ascii="Times New Roman" w:cs="Times New Roman" w:eastAsia="Times New Roman" w:hAnsi="Times New Roman"/>
                <w:sz w:val="14"/>
                <w:szCs w:val="14"/>
                <w:b w:val="1"/>
                <w:bCs w:val="1"/>
                <w:color w:val="auto"/>
              </w:rPr>
              <w:t>Payments (Receipts)</w:t>
            </w: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40" w:type="dxa"/>
            <w:vAlign w:val="bottom"/>
            <w:tcBorders>
              <w:bottom w:val="single" w:sz="8" w:color="F0FFFF"/>
            </w:tcBorders>
            <w:gridSpan w:val="2"/>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2024</w:t>
            </w:r>
          </w:p>
        </w:tc>
        <w:tc>
          <w:tcPr>
            <w:tcW w:w="4120" w:type="dxa"/>
            <w:vAlign w:val="bottom"/>
            <w:tcBorders>
              <w:bottom w:val="single" w:sz="8" w:color="F0FFFF"/>
            </w:tcBorders>
            <w:shd w:val="clear" w:color="auto" w:fill="F0FFFF"/>
          </w:tcPr>
          <w:p>
            <w:pPr>
              <w:spacing w:after="0"/>
              <w:rPr>
                <w:sz w:val="22"/>
                <w:szCs w:val="22"/>
                <w:color w:val="auto"/>
              </w:rPr>
            </w:pPr>
          </w:p>
        </w:tc>
        <w:tc>
          <w:tcPr>
            <w:tcW w:w="660" w:type="dxa"/>
            <w:vAlign w:val="bottom"/>
            <w:tcBorders>
              <w:bottom w:val="single" w:sz="8" w:color="F0FFFF"/>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tcBorders>
              <w:bottom w:val="single" w:sz="8" w:color="F0FFFF"/>
            </w:tcBorders>
            <w:shd w:val="clear" w:color="auto" w:fill="F0FFFF"/>
          </w:tcPr>
          <w:p>
            <w:pPr>
              <w:spacing w:after="0"/>
              <w:rPr>
                <w:sz w:val="22"/>
                <w:szCs w:val="22"/>
                <w:color w:val="auto"/>
              </w:rPr>
            </w:pPr>
          </w:p>
        </w:tc>
        <w:tc>
          <w:tcPr>
            <w:tcW w:w="94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2025</w:t>
            </w:r>
          </w:p>
        </w:tc>
        <w:tc>
          <w:tcPr>
            <w:tcW w:w="4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F0FFFF"/>
            </w:tcBorders>
            <w:gridSpan w:val="2"/>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2026</w:t>
            </w:r>
          </w:p>
        </w:tc>
        <w:tc>
          <w:tcPr>
            <w:tcW w:w="4120" w:type="dxa"/>
            <w:vAlign w:val="bottom"/>
            <w:tcBorders>
              <w:bottom w:val="single" w:sz="8" w:color="F0FFFF"/>
            </w:tcBorders>
            <w:shd w:val="clear" w:color="auto" w:fill="F0FFFF"/>
          </w:tcPr>
          <w:p>
            <w:pPr>
              <w:spacing w:after="0"/>
              <w:rPr>
                <w:sz w:val="20"/>
                <w:szCs w:val="20"/>
                <w:color w:val="auto"/>
              </w:rPr>
            </w:pPr>
          </w:p>
        </w:tc>
        <w:tc>
          <w:tcPr>
            <w:tcW w:w="5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2027</w:t>
            </w:r>
          </w:p>
        </w:tc>
        <w:tc>
          <w:tcPr>
            <w:tcW w:w="4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760" w:type="dxa"/>
            <w:vAlign w:val="bottom"/>
            <w:tcBorders>
              <w:bottom w:val="single" w:sz="8" w:color="F0FFFF"/>
            </w:tcBorders>
            <w:gridSpan w:val="3"/>
            <w:shd w:val="clear" w:color="auto" w:fill="F0FFFF"/>
          </w:tcPr>
          <w:p>
            <w:pPr>
              <w:ind w:left="960"/>
              <w:spacing w:after="0"/>
              <w:rPr>
                <w:sz w:val="20"/>
                <w:szCs w:val="20"/>
                <w:color w:val="auto"/>
              </w:rPr>
            </w:pPr>
            <w:r>
              <w:rPr>
                <w:rFonts w:ascii="Times New Roman" w:cs="Times New Roman" w:eastAsia="Times New Roman" w:hAnsi="Times New Roman"/>
                <w:sz w:val="14"/>
                <w:szCs w:val="14"/>
                <w:color w:val="auto"/>
              </w:rPr>
              <w:t>Thereafter</w:t>
            </w:r>
          </w:p>
        </w:tc>
        <w:tc>
          <w:tcPr>
            <w:tcW w:w="5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20" w:type="dxa"/>
            <w:vAlign w:val="bottom"/>
            <w:tcBorders>
              <w:bottom w:val="single" w:sz="8" w:color="F0FFFF"/>
            </w:tcBorders>
            <w:shd w:val="clear" w:color="auto" w:fill="F0FFFF"/>
          </w:tcPr>
          <w:p>
            <w:pPr>
              <w:spacing w:after="0"/>
              <w:rPr>
                <w:sz w:val="22"/>
                <w:szCs w:val="22"/>
                <w:color w:val="auto"/>
              </w:rPr>
            </w:pPr>
          </w:p>
        </w:tc>
        <w:tc>
          <w:tcPr>
            <w:tcW w:w="94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60" w:type="dxa"/>
            <w:vAlign w:val="bottom"/>
            <w:tcBorders>
              <w:top w:val="single" w:sz="8" w:color="F0FFFF"/>
            </w:tcBorders>
            <w:gridSpan w:val="3"/>
          </w:tcPr>
          <w:p>
            <w:pPr>
              <w:ind w:left="96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top w:val="single" w:sz="8" w:color="F0FF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20" w:type="dxa"/>
            <w:vAlign w:val="bottom"/>
            <w:tcBorders>
              <w:top w:val="single" w:sz="8" w:color="F0FFFF"/>
            </w:tcBorders>
          </w:tcPr>
          <w:p>
            <w:pPr>
              <w:spacing w:after="0"/>
              <w:rPr>
                <w:sz w:val="21"/>
                <w:szCs w:val="21"/>
                <w:color w:val="auto"/>
              </w:rPr>
            </w:pPr>
          </w:p>
        </w:tc>
        <w:tc>
          <w:tcPr>
            <w:tcW w:w="940" w:type="dxa"/>
            <w:vAlign w:val="bottom"/>
            <w:tcBorders>
              <w:top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the Company’s derivatives with future settled premiums and the estimated fair value impact thereof as of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6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undiscounted future premium payments (receipts)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derivative net assets (liabilities), including discounted future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164</w:t>
            </w: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derivative net assets (liabilities), excluding discounted future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247</w:t>
            </w: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9019"/>
          </w:cols>
          <w:pgMar w:left="1440" w:top="1373" w:right="1440" w:bottom="1440" w:gutter="0" w:footer="0" w:header="0"/>
          <w:type w:val="continuous"/>
        </w:sectPr>
      </w:pPr>
    </w:p>
    <w:bookmarkStart w:id="145" w:name="page146"/>
    <w:bookmarkEnd w:id="14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income for the years ended December 31, were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80" w:type="dxa"/>
            <w:vAlign w:val="bottom"/>
          </w:tcPr>
          <w:p>
            <w:pPr>
              <w:spacing w:after="0"/>
              <w:rPr>
                <w:sz w:val="23"/>
                <w:szCs w:val="23"/>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$ 69</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8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3"/>
              </w:rPr>
              <w:t>(89)</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318"/>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investment income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83"/>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investment expenses</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r>
      <w:tr>
        <w:trPr>
          <w:trHeight w:val="31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before IMR amortization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IMR amortization</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30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 $ 33</w:t>
            </w:r>
          </w:p>
        </w:tc>
        <w:tc>
          <w:tcPr>
            <w:tcW w:w="8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$ 73</w:t>
            </w:r>
          </w:p>
        </w:tc>
      </w:tr>
      <w:tr>
        <w:trPr>
          <w:trHeight w:val="20"/>
        </w:trPr>
        <w:tc>
          <w:tcPr>
            <w:tcW w:w="7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Realized Capital Gains (Losses), Net of Federal Income Tax and Interest Maintenance Reserve Transfer</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Net realized capital gains (losses) on investments and derivatives for the years ended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before Federal income tax</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309</w:t>
            </w:r>
          </w:p>
        </w:tc>
      </w:tr>
      <w:tr>
        <w:trPr>
          <w:trHeight w:val="297"/>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Federal income tax expense (benefit)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before IMR transfer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(310)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309</w:t>
            </w:r>
          </w:p>
        </w:tc>
      </w:t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IMR transfer, net of Federal income tax expense (benefit) of less than $1 million, $1 million and less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$(1) million, respectively</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net of Federal income tax and IMR transfer</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534</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(308)</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Proceeds from Sales and Disposals and Realized Capital Gains (Losses) on Bonds</w:t>
      </w:r>
    </w:p>
    <w:p>
      <w:pPr>
        <w:spacing w:after="0" w:line="135"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Proceeds from sales or disposals of bonds and the related gross realized capital gains (losses) on bonds determined on a specific identification basis were as follows for the years ended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6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and disposals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141</w:t>
            </w:r>
          </w:p>
        </w:tc>
      </w:tr>
      <w:tr>
        <w:trPr>
          <w:trHeight w:val="28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capital gains on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8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capital losses on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OTTI losses - bonds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Prepayment Penalty and Acceleration Fees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had securities sold, redeemed or otherwise disposed of as a result of a callable feature. The number of securities sold, disposed or otherwise redeemed and the aggregate amount of investment income generated as a result of a prepayment penalty and/or acceleration fee were as follows for the years ended December 31, (in millions, except number of securities):</w:t>
      </w:r>
    </w:p>
    <w:p>
      <w:pPr>
        <w:sectPr>
          <w:pgSz w:w="11900" w:h="16838" w:orient="portrait"/>
          <w:cols w:equalWidth="0" w:num="1">
            <w:col w:w="9019"/>
          </w:cols>
          <w:pgMar w:left="1440" w:top="1373" w:right="1440" w:bottom="960" w:gutter="0" w:footer="0" w:header="0"/>
        </w:sect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9019"/>
          </w:cols>
          <w:pgMar w:left="1440" w:top="1373" w:right="1440" w:bottom="960" w:gutter="0" w:footer="0" w:header="0"/>
          <w:type w:val="continuous"/>
        </w:sectPr>
      </w:pPr>
    </w:p>
    <w:bookmarkStart w:id="146" w:name="page147"/>
    <w:bookmarkEnd w:id="14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6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Number of CUSIPs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Aggregate Amount of Investment Income</w:t>
            </w:r>
            <w:r>
              <w:rPr>
                <w:rFonts w:ascii="Times New Roman" w:cs="Times New Roman" w:eastAsia="Times New Roman" w:hAnsi="Times New Roman"/>
                <w:sz w:val="23"/>
                <w:szCs w:val="23"/>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w:t>
            </w:r>
          </w:p>
        </w:tc>
      </w:tr>
    </w:tbl>
    <w:p>
      <w:pPr>
        <w:spacing w:after="0" w:line="65" w:lineRule="exact"/>
        <w:rPr>
          <w:sz w:val="20"/>
          <w:szCs w:val="20"/>
          <w:color w:val="auto"/>
        </w:rPr>
      </w:pPr>
    </w:p>
    <w:p>
      <w:pPr>
        <w:ind w:left="400" w:hanging="288"/>
        <w:spacing w:after="0"/>
        <w:tabs>
          <w:tab w:leader="none" w:pos="400" w:val="left"/>
        </w:tabs>
        <w:numPr>
          <w:ilvl w:val="0"/>
          <w:numId w:val="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Aggregate Amount of Investment Income for the year ended December 31, 2023 was less than $1 million.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Due and Accrued</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gross, nonadmitted amounts for interest income due and accrued as of December 31, 2023 were as follows (in millions):</w:t>
      </w:r>
    </w:p>
    <w:p>
      <w:pPr>
        <w:spacing w:after="0" w:line="6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 Due and Accrued: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11"/>
        </w:trPr>
        <w:tc>
          <w:tcPr>
            <w:tcW w:w="11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8"/>
              </w:rPr>
              <w:t>1</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0"/>
        </w:trPr>
        <w:tc>
          <w:tcPr>
            <w:tcW w:w="60" w:type="dxa"/>
            <w:vAlign w:val="bottom"/>
          </w:tcPr>
          <w:p>
            <w:pPr>
              <w:spacing w:after="0"/>
              <w:rPr>
                <w:sz w:val="24"/>
                <w:szCs w:val="24"/>
                <w:color w:val="auto"/>
              </w:rPr>
            </w:pPr>
          </w:p>
        </w:tc>
        <w:tc>
          <w:tcPr>
            <w:tcW w:w="4080" w:type="dxa"/>
            <w:vAlign w:val="bottom"/>
            <w:gridSpan w:val="2"/>
            <w:shd w:val="clear" w:color="auto" w:fill="F0FFFF"/>
          </w:tcPr>
          <w:p>
            <w:pPr>
              <w:ind w:left="980"/>
              <w:spacing w:after="0"/>
              <w:rPr>
                <w:sz w:val="20"/>
                <w:szCs w:val="20"/>
                <w:color w:val="auto"/>
              </w:rPr>
            </w:pPr>
            <w:r>
              <w:rPr>
                <w:rFonts w:ascii="Times New Roman" w:cs="Times New Roman" w:eastAsia="Times New Roman" w:hAnsi="Times New Roman"/>
                <w:sz w:val="18"/>
                <w:szCs w:val="18"/>
                <w:color w:val="auto"/>
              </w:rPr>
              <w:t>2 Nonadmitted</w:t>
            </w:r>
          </w:p>
        </w:tc>
        <w:tc>
          <w:tcPr>
            <w:tcW w:w="14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0" w:type="dxa"/>
            <w:vAlign w:val="bottom"/>
          </w:tcPr>
          <w:p>
            <w:pPr>
              <w:spacing w:after="0"/>
              <w:rPr>
                <w:sz w:val="24"/>
                <w:szCs w:val="24"/>
                <w:color w:val="auto"/>
              </w:rPr>
            </w:pPr>
          </w:p>
        </w:tc>
        <w:tc>
          <w:tcPr>
            <w:tcW w:w="1080" w:type="dxa"/>
            <w:vAlign w:val="bottom"/>
            <w:tcBorders>
              <w:top w:val="single" w:sz="8" w:color="F0FFFF"/>
            </w:tcBorders>
          </w:tcPr>
          <w:p>
            <w:pPr>
              <w:ind w:left="980"/>
              <w:spacing w:after="0"/>
              <w:rPr>
                <w:sz w:val="20"/>
                <w:szCs w:val="20"/>
                <w:color w:val="auto"/>
              </w:rPr>
            </w:pPr>
            <w:r>
              <w:rPr>
                <w:rFonts w:ascii="Times New Roman" w:cs="Times New Roman" w:eastAsia="Times New Roman" w:hAnsi="Times New Roman"/>
                <w:sz w:val="18"/>
                <w:szCs w:val="18"/>
                <w:color w:val="auto"/>
                <w:w w:val="88"/>
              </w:rPr>
              <w:t>3</w:t>
            </w:r>
          </w:p>
        </w:tc>
        <w:tc>
          <w:tcPr>
            <w:tcW w:w="3000" w:type="dxa"/>
            <w:vAlign w:val="bottom"/>
            <w:tcBorders>
              <w:top w:val="single" w:sz="8" w:color="F0FFFF"/>
            </w:tcBorders>
          </w:tcPr>
          <w:p>
            <w:pPr>
              <w:ind w:left="40"/>
              <w:spacing w:after="0"/>
              <w:rPr>
                <w:sz w:val="20"/>
                <w:szCs w:val="20"/>
                <w:color w:val="auto"/>
              </w:rPr>
            </w:pPr>
            <w:r>
              <w:rPr>
                <w:rFonts w:ascii="Times New Roman" w:cs="Times New Roman" w:eastAsia="Times New Roman" w:hAnsi="Times New Roman"/>
                <w:sz w:val="18"/>
                <w:szCs w:val="18"/>
                <w:color w:val="auto"/>
              </w:rPr>
              <w:t>Admitted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top w:val="single" w:sz="8" w:color="F0FFFF"/>
            </w:tcBorders>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the Company had aggregate deferred interest of $0.</w:t>
      </w:r>
    </w:p>
    <w:p>
      <w:pPr>
        <w:spacing w:after="0" w:line="13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cumulative amounts of paid-in-kind (“PIK”) interest included in the current principal balance of $3 million.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Related Party Information</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w:t>
      </w:r>
    </w:p>
    <w:p>
      <w:pPr>
        <w:spacing w:after="0" w:line="135"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is a party to service agreements with its affiliates, including, but not limited to, Brighthouse Services, LLC, that provide for a broad range of services to be rendered and facilities and equipment to be provided. Services, facilities and equipment are requested by the recipient as deemed necessary for its operations. These agreements involve cost allocation arrangements, under which the recipient pays the provider for all expenses, direct and indirect, reasonably and equitably determined to be attributable to the services, facilities and equipment provided. There are also a number of other service arrangements with affiliates pursuant to which the provider, at the request of the recipient, renders specified services for a stated fee. Income and expenses under these agreements are reflected in other income (loss) and insurance expenses and taxes (other than Federal income and capital gains taxes), respectively, on the Statutory Statements of Operations and Changes in Capital and Surplus.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Selling and Distribution Agreements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Company has entered into marketing and selling agreements with several affiliates (“Distributors”), in which the Distributors agree to sell, on the Company’s behalf, insurance products through authorized retailers. The Company agrees to compensate the Distributors for the sale and servicing of such insurance products in accordance with the terms of the agreements.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Reinsurance Agreements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reinsurance agreements with its parent, Brighthouse Insurance.</w:t>
      </w:r>
    </w:p>
    <w:p>
      <w:pPr>
        <w:spacing w:after="0" w:line="117"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Information regarding the significant effects of ceded related party reinsurance included in the Statutory Statements of Operations and Changes in Capital and Surplus are as follows for the years ended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6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(4,640)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(251)</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(351)</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(489)</w:t>
            </w:r>
          </w:p>
        </w:tc>
      </w:tr>
      <w:tr>
        <w:trPr>
          <w:trHeight w:val="28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(1,131)</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9019"/>
          </w:cols>
          <w:pgMar w:left="1440" w:top="1373" w:right="1440" w:bottom="1440" w:gutter="0" w:footer="0" w:header="0"/>
          <w:type w:val="continuous"/>
        </w:sectPr>
      </w:pPr>
    </w:p>
    <w:bookmarkStart w:id="147" w:name="page148"/>
    <w:bookmarkEnd w:id="14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Information regarding the significant effects of ceded related party reinsurance included in the Statutory Statements of Admitted Assets, Liabilities and Capital and Surplus are as follows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55"/>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w:t>
            </w:r>
          </w:p>
        </w:tc>
      </w:tr>
    </w:tbl>
    <w:p>
      <w:pPr>
        <w:spacing w:after="0" w:line="144"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Information regarding the significant effects of ceded related party deferred gains on reinsurance, net of income tax, which are recognized as an adjustment to surplus are as follows at December 31,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$ 138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8"/>
              </w:rPr>
              <w:t>$ 144</w:t>
            </w: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deferred gain on reinsurance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gains on reinsurance</w:t>
            </w:r>
          </w:p>
        </w:tc>
        <w:tc>
          <w:tcPr>
            <w:tcW w:w="4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283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138</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has reinsurance agreements with Brighthouse Insurance to cede 100% of certain variable annuities and 100% of the living and death benefit guarantees issued in connection with variable annuities. Financial impacts recorded by the Company as a result of this agreement are as follows at December 31, (in millions):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6"/>
                <w:szCs w:val="16"/>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6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638</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$ 933</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$ 567</w:t>
            </w: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$ 126</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$ 206</w:t>
            </w:r>
          </w:p>
        </w:tc>
      </w:tr>
      <w:tr>
        <w:trPr>
          <w:trHeight w:val="28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332</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$ 291</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$ 351</w:t>
            </w: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339</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$ 301</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$ 449</w:t>
            </w:r>
          </w:p>
        </w:tc>
      </w:tr>
    </w:tbl>
    <w:p>
      <w:pPr>
        <w:spacing w:after="0" w:line="144"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On October 1, 2023, the Company entered into a reinsurance agreement with Brighthouse Insurance to cede 90% of certain index-linked annuity policies. Financial impacts recorded by the Company as a result of this agreement are as follows at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6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r>
        <w:trPr>
          <w:trHeight w:val="28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(4,371)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has entered into a Limited Liability Company Agreement (the “Agreement”) with Brighthouse Investment Advisers, LLC (“Brighthouse Advisers”) and several other affiliates that are also members of Brighthouse Advisers. Among other things, the Agreement sets forth provisions for the allocation of income and losses to the members of Brighthouse Advisers, including the Company.</w:t>
      </w:r>
    </w:p>
    <w:p>
      <w:pPr>
        <w:spacing w:after="0" w:line="72"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has receivables and payables with affiliates for services necessary to conduct its business. Amounts admitted are expected to be settled within 90 days. Receivables from affiliates, included in other assets, totaled $3 million both at December 31, 2023 and 2022, respectively. Payables to affiliates, included in other liabilities, totaled $117 million and $57 million at December 31, 2023 and 2022, respectively.</w:t>
      </w:r>
    </w:p>
    <w:p>
      <w:pPr>
        <w:spacing w:after="0" w:line="72"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Effective October 1, 2023, the Company entered into a reinsurance agreement with Brighthouse Insurance to cede 90% of Shield annuity policies written by the Company. In connection with this reinsurance agreement, the Company novated derivative assets and liabilities to Brighthouse Insurance with an estimated fair value of $194 million, accrued investment income (expense) of ($15) million, deferred premium receivable of $90 million and deferred premium payable of ($177) million. The Company recognized net realized capital gains and a corresponding decrease in net unrealized capital gains (losses) of $198 million related to the novation. The Company received cash of $92 million to settle this novation.</w:t>
      </w:r>
    </w:p>
    <w:p>
      <w:pPr>
        <w:sectPr>
          <w:pgSz w:w="11900" w:h="16838" w:orient="portrait"/>
          <w:cols w:equalWidth="0" w:num="1">
            <w:col w:w="9019"/>
          </w:cols>
          <w:pgMar w:left="1440" w:top="1373" w:right="1440" w:bottom="866" w:gutter="0" w:footer="0" w:header="0"/>
        </w:sect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9019"/>
          </w:cols>
          <w:pgMar w:left="1440" w:top="1373" w:right="1440" w:bottom="866" w:gutter="0" w:footer="0" w:header="0"/>
          <w:type w:val="continuous"/>
        </w:sectPr>
      </w:pPr>
    </w:p>
    <w:bookmarkStart w:id="148" w:name="page149"/>
    <w:bookmarkEnd w:id="148"/>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Effective June 15, 2022, BLICNY Property Ventures, LLC, was formed as a wholly-owned subsidiary of the Company. In December 2022, the Company contributed invested assets with a book/adjusted carrying value of $6 million to BLICNY Property Ventures, LLC.</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Premium and Annuity Considerations Deferred and Uncollected</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Premium and annuity considerations deferred and uncollected at December 31, were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3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5080" w:type="dxa"/>
            <w:vAlign w:val="bottom"/>
          </w:tcPr>
          <w:p>
            <w:pPr>
              <w:spacing w:after="0"/>
              <w:rPr>
                <w:sz w:val="20"/>
                <w:szCs w:val="20"/>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 of Loading</w:t>
            </w:r>
          </w:p>
        </w:tc>
        <w:tc>
          <w:tcPr>
            <w:tcW w:w="80" w:type="dxa"/>
            <w:vAlign w:val="bottom"/>
          </w:tcPr>
          <w:p>
            <w:pPr>
              <w:spacing w:after="0"/>
              <w:rPr>
                <w:sz w:val="20"/>
                <w:szCs w:val="20"/>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0"/>
                <w:szCs w:val="20"/>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 of Loading</w:t>
            </w:r>
          </w:p>
        </w:tc>
        <w:tc>
          <w:tcPr>
            <w:tcW w:w="20" w:type="dxa"/>
            <w:vAlign w:val="bottom"/>
          </w:tcPr>
          <w:p>
            <w:pPr>
              <w:spacing w:after="0"/>
              <w:rPr>
                <w:sz w:val="20"/>
                <w:szCs w:val="20"/>
                <w:color w:val="auto"/>
              </w:rPr>
            </w:pPr>
          </w:p>
        </w:tc>
      </w:tr>
      <w:tr>
        <w:trPr>
          <w:trHeight w:val="24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renewal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w:t>
            </w:r>
          </w:p>
        </w:tc>
        <w:tc>
          <w:tcPr>
            <w:tcW w:w="40" w:type="dxa"/>
            <w:vAlign w:val="bottom"/>
          </w:tcPr>
          <w:p>
            <w:pPr>
              <w:spacing w:after="0"/>
              <w:rPr>
                <w:sz w:val="21"/>
                <w:szCs w:val="21"/>
                <w:color w:val="auto"/>
              </w:rPr>
            </w:pPr>
          </w:p>
        </w:tc>
        <w:tc>
          <w:tcPr>
            <w:tcW w:w="10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  2</w:t>
            </w: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2</w:t>
            </w:r>
          </w:p>
        </w:tc>
        <w:tc>
          <w:tcPr>
            <w:tcW w:w="10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  2</w:t>
            </w:r>
          </w:p>
        </w:tc>
        <w:tc>
          <w:tcPr>
            <w:tcW w:w="20" w:type="dxa"/>
            <w:vAlign w:val="bottom"/>
          </w:tcPr>
          <w:p>
            <w:pPr>
              <w:spacing w:after="0"/>
              <w:rPr>
                <w:sz w:val="21"/>
                <w:szCs w:val="21"/>
                <w:color w:val="auto"/>
              </w:rPr>
            </w:pPr>
          </w:p>
        </w:tc>
      </w:tr>
      <w:tr>
        <w:trPr>
          <w:trHeight w:val="21"/>
        </w:trPr>
        <w:tc>
          <w:tcPr>
            <w:tcW w:w="3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Reinsurance and Other Insurance Transactions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The Company participates in reinsurance activities in order to limit losses, minimize exposure to significant risks and provide additional capacity for future growth.</w:t>
      </w:r>
    </w:p>
    <w:p>
      <w:pPr>
        <w:spacing w:after="0" w:line="68"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its individual life insurance products, the Company has historically reinsured the mortality risk primarily on an excess of retention basis or on a quota share basis. The Company currently retains up to $100,000 per life and reinsures 100% of amounts in excess of the amount the Company retains. In addition to reinsuring mortality risk as described above, the Company reinsures other risks, as well as specific coverages. Placement of reinsurance is done primarily on an automatic basis and also on a facultative basis for risks with specified characteristics. The Company evaluates its reinsurance programs routinely and may increase or decrease its retention at any time.</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For annuities, the Company currently reinsures to Brighthouse Insurance 100% of certain variable annuity risks or 100% of the living and death benefit guarantees issued in connection with variable annuities. Under the benefit guarantee reinsurance agreements, the Company pays a reinsurance premium generally based on fees associated with the guarantees collected from policyholders, and receives reimbursement for benefits paid or accrued in excess of account values, subject to certain limitations. In addition, the Company currently reinsures to Brighthouse Insurance 90% of certain index-linked annuity policies.</w:t>
      </w:r>
    </w:p>
    <w:p>
      <w:pPr>
        <w:spacing w:after="0" w:line="79"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The Company reinsures its business through a diversified group of highly rated reinsurers. The Company analyzes recent trends in arbitration and litigation outcomes in disputes, if any, and monitors ratings and the financial strength of its reinsurers. In addition, the reinsurance recoverable balance due from each reinsurer and the recoverability of such balance is evaluated as part of this overall monitoring process. The Company generally secures large reinsurance recoverable balances with various forms of collateral, including secured trusts, funds withheld accounts and irrevocable letters of credit. No single unrelated reinsurer has a material obligation to the Company nor is the Company’s business substantially dependent upon any reinsurance agreement. The Company is contingently liable with respect to ceded reinsurance should any reinsurer be unable to meet its obligations under these agreements.</w:t>
      </w:r>
    </w:p>
    <w:p>
      <w:pPr>
        <w:spacing w:after="0" w:line="80"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financial statements include the impact of reinsurance. Information regarding the significant effects of related and unrelated ceded reinsurance included in the Statutory Statements of Operations and Changes in Capital and Surplus was as follows for the years ended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6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annuity considerations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(4,636)</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(265)</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 on reinsurance ceded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(351)</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(491)</w:t>
            </w:r>
          </w:p>
        </w:tc>
      </w:tr>
      <w:tr>
        <w:trPr>
          <w:trHeight w:val="28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to reserves, deposit funds and other policy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(1,100)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9019"/>
          </w:cols>
          <w:pgMar w:left="1440" w:top="1373" w:right="1440" w:bottom="1440" w:gutter="0" w:footer="0" w:header="0"/>
          <w:type w:val="continuous"/>
        </w:sectPr>
      </w:pPr>
    </w:p>
    <w:bookmarkStart w:id="149" w:name="page150"/>
    <w:bookmarkEnd w:id="149"/>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financial statements include the impact of reinsurance. Information regarding the significant effects of related and unrelated ceded reinsurance included in the Statutory Statements of Admitted Assets, Liabilities and Capital and Surplus was as follows at December 31,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r>
      <w:tr>
        <w:trPr>
          <w:trHeight w:val="26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life insurance, annuities and deposit-type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(3,035)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(1,920)</w:t>
            </w:r>
          </w:p>
        </w:tc>
      </w:tr>
      <w:tr>
        <w:trPr>
          <w:trHeight w:val="28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Funds held under reinsurance treaties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r>
    </w:tbl>
    <w:p>
      <w:pPr>
        <w:spacing w:after="0" w:line="144"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Company has ceded reinsurance to related and unrelated companies that are unauthorized, or not accredited to write reinsurance agreements in the domiciliary state of the Company. The unauthorized reinsurance liability is calculated to record a liability for reserve credits taken that are not fully collateralized by each unauthorized reinsurance company. The unauthorized companies provide collateral to the Company to support the ceded liabilities. The collateral provided includes but is not limited to letters of credit (“LOCs”) and trust agreements. The unauthorized liability balance for the Company was less than $1 million at December 31, 2023. The unauthorized liability balance for the Company was $1 million at December 31, 2022. LOCs that are provided for reinsurance agreements with unrelated companies totaled less than $1 million at both December 31, 2023 and 2022. Assets held in trust for reinsurance agreements with Brighthouse Insurance totaled $2,458 million and $1,166 million at December 31, 2023 and 2022, respectively.</w:t>
      </w:r>
    </w:p>
    <w:p>
      <w:pPr>
        <w:spacing w:after="0" w:line="86"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Company has entered into reinsurance agreements to cede in-force business to reinsurers. These agreements may result in deferred gains on reinsurance, net of income tax, which are recorded in unassigned surplus (deficit). The change in deferred gains on reinsurance is recognized as an adjustment to surplus and is reflected in change in surplus as a result of reinsurance. The rollforward of deferred gains on reinsurance agreements is as follows at December 31, (in millions):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$ 420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8"/>
              </w:rPr>
              <w:t>$ 436</w:t>
            </w: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deferred gain on reinsurance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gains on reinsurance</w:t>
            </w:r>
          </w:p>
        </w:tc>
        <w:tc>
          <w:tcPr>
            <w:tcW w:w="4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554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420</w:t>
            </w:r>
          </w:p>
        </w:tc>
      </w:tr>
      <w:tr>
        <w:trPr>
          <w:trHeight w:val="21"/>
        </w:trPr>
        <w:tc>
          <w:tcPr>
            <w:tcW w:w="7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Reserves for Life Contracts and Deposit-Type Contracts</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Company waives deduction of deferred fractional premiums upon death of the insured and returns any portion of the final premium beyond the date of death. Reserves amounting to less than $1 million at December 31, 2023, are held for surrender values in excess of the legally computed reserves. Surrender values are not promised in excess of the legally computed reserves at December 31, 2022.</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method employed in the valuation of substandard policies is identical to the method employed in the valuation of standard policies; a mean reserve method is used, but for substandard policies, the mean reserves are based on appropriate multiples of standard rates of mortality.</w:t>
      </w:r>
    </w:p>
    <w:p>
      <w:pPr>
        <w:spacing w:after="0" w:line="68"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Company had $54 million and $84 million, respectively, of insurance in-force for which the gross premiums are less than the net premiums according to the standard valuation set by the NYDFS. Direct reserves to cover the above insurance totaled $1 million and less than $1 million at December 31, 2023 and 2022, respectively.</w:t>
      </w:r>
    </w:p>
    <w:p>
      <w:pPr>
        <w:spacing w:after="0" w:line="7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tabular interest has been determined by formula as described in the NAIC instructions for all traditional product types. For universal life, variable universal life, and flexible premium annuity products, accrued interest credited to the fund balances was used in the calculations of tabular interest.</w:t>
      </w:r>
    </w:p>
    <w:p>
      <w:pPr>
        <w:spacing w:after="0" w:line="68"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tabular interest, tabular less actual reserve released, and tabular cost have been determined by formula as described by the NAIC instructions.</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For the determination of tabular interest on funds not involving life contingencies for each valuation rate of interest, the tabular interest is calculated as one hundredth of the product of such valuation rate of interest times the mean of the amount of funds subject to such valuation rate of interest held at the beginning and end of the valuation period.</w:t>
      </w:r>
    </w:p>
    <w:p>
      <w:pPr>
        <w:sectPr>
          <w:pgSz w:w="11900" w:h="16838" w:orient="portrait"/>
          <w:cols w:equalWidth="0" w:num="1">
            <w:col w:w="9019"/>
          </w:cols>
          <w:pgMar w:left="1440" w:top="1373" w:right="1440" w:bottom="866" w:gutter="0" w:footer="0" w:header="0"/>
        </w:sect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9019"/>
          </w:cols>
          <w:pgMar w:left="1440" w:top="1373" w:right="1440" w:bottom="866" w:gutter="0" w:footer="0" w:header="0"/>
          <w:type w:val="continuous"/>
        </w:sectPr>
      </w:pPr>
    </w:p>
    <w:bookmarkStart w:id="150" w:name="page151"/>
    <w:bookmarkEnd w:id="15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general nature of other reserve changes are items that include reserves established as a result of asset adequacy analysis, reserves for secondary guarantees on universal life policies and General Account reserves held for variable annuity guaranteed minimum death benefits and for variable annuity guaranteed living benefits.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details for other changes at December 31, 2023 are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2"/>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Item</w:t>
            </w:r>
          </w:p>
        </w:tc>
        <w:tc>
          <w:tcPr>
            <w:tcW w:w="50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1"/>
                <w:szCs w:val="21"/>
                <w:color w:val="auto"/>
              </w:rPr>
            </w:pPr>
          </w:p>
        </w:tc>
        <w:tc>
          <w:tcPr>
            <w:tcW w:w="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80" w:type="dxa"/>
            <w:vAlign w:val="bottom"/>
          </w:tcPr>
          <w:p>
            <w:pPr>
              <w:spacing w:after="0"/>
              <w:rPr>
                <w:sz w:val="21"/>
                <w:szCs w:val="21"/>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20" w:type="dxa"/>
            <w:vAlign w:val="bottom"/>
          </w:tcPr>
          <w:p>
            <w:pPr>
              <w:spacing w:after="0"/>
              <w:rPr>
                <w:sz w:val="21"/>
                <w:szCs w:val="21"/>
                <w:color w:val="auto"/>
              </w:rPr>
            </w:pPr>
          </w:p>
        </w:tc>
      </w:tr>
      <w:tr>
        <w:trPr>
          <w:trHeight w:val="26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 213 Stocastic Excess over Standard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Annuity Reserves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4"/>
                <w:szCs w:val="24"/>
                <w:color w:val="auto"/>
              </w:rPr>
            </w:pPr>
          </w:p>
        </w:tc>
      </w:tr>
      <w:tr>
        <w:trPr>
          <w:trHeight w:val="29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24"/>
                <w:szCs w:val="24"/>
                <w:color w:val="auto"/>
              </w:rPr>
            </w:pPr>
          </w:p>
        </w:tc>
      </w:tr>
      <w:tr>
        <w:trPr>
          <w:trHeight w:val="20"/>
        </w:trPr>
        <w:tc>
          <w:tcPr>
            <w:tcW w:w="5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24"/>
                <w:szCs w:val="24"/>
                <w:color w:val="auto"/>
              </w:rPr>
            </w:pPr>
          </w:p>
        </w:tc>
      </w:tr>
      <w:tr>
        <w:trPr>
          <w:trHeight w:val="21"/>
        </w:trPr>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1719"/>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Note 8 - Analysis of Actuarial Reserves and Deposit Liabilities by Withdrawal Characteristics </w:t>
      </w:r>
      <w:r>
        <w:rPr>
          <w:rFonts w:ascii="Times New Roman" w:cs="Times New Roman" w:eastAsia="Times New Roman" w:hAnsi="Times New Roman"/>
          <w:sz w:val="18"/>
          <w:szCs w:val="18"/>
          <w:b w:val="1"/>
          <w:bCs w:val="1"/>
          <w:i w:val="1"/>
          <w:iCs w:val="1"/>
          <w:color w:val="auto"/>
        </w:rPr>
        <w:t>Annuities</w:t>
      </w:r>
    </w:p>
    <w:p>
      <w:pPr>
        <w:spacing w:after="0" w:line="2"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Withdrawal characteristics of annuity actuarial reserves, deposit-type contracts and other liabilities without life or disability contingencies at December 31, were as follows (dollars in millions):</w:t>
      </w:r>
    </w:p>
    <w:p>
      <w:pPr>
        <w:sectPr>
          <w:pgSz w:w="11900" w:h="16838" w:orient="portrait"/>
          <w:cols w:equalWidth="0" w:num="1">
            <w:col w:w="9019"/>
          </w:cols>
          <w:pgMar w:left="1440" w:top="1373" w:right="1440" w:bottom="771" w:gutter="0" w:footer="0" w:header="0"/>
        </w:sectPr>
      </w:pP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Individual Annuities: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Subject to discretionary withdrawal: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25203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 with</w:t>
            </w:r>
          </w:p>
        </w:tc>
        <w:tc>
          <w:tcPr>
            <w:tcW w:w="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5"/>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80" w:type="dxa"/>
            <w:vAlign w:val="bottom"/>
          </w:tcPr>
          <w:p>
            <w:pPr>
              <w:spacing w:after="0"/>
              <w:rPr>
                <w:sz w:val="16"/>
                <w:szCs w:val="16"/>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274" w:lineRule="exact"/>
        <w:rPr>
          <w:sz w:val="20"/>
          <w:szCs w:val="20"/>
          <w:color w:val="auto"/>
        </w:rPr>
      </w:pPr>
    </w:p>
    <w:p>
      <w:pPr>
        <w:sectPr>
          <w:pgSz w:w="11900" w:h="16838" w:orient="portrait"/>
          <w:cols w:equalWidth="0" w:num="2">
            <w:col w:w="3720" w:space="720"/>
            <w:col w:w="4579"/>
          </w:cols>
          <w:pgMar w:left="1440" w:top="1373" w:right="1440" w:bottom="771" w:gutter="0" w:footer="0" w:header="0"/>
          <w:type w:val="continuous"/>
        </w:sectPr>
      </w:pPr>
    </w:p>
    <w:tbl>
      <w:tblPr>
        <w:tblLayout w:type="fixed"/>
        <w:tblInd w:w="120" w:type="dxa"/>
        <w:tblCellMar>
          <w:top w:w="0" w:type="dxa"/>
          <w:left w:w="0" w:type="dxa"/>
          <w:bottom w:w="0" w:type="dxa"/>
          <w:right w:w="0" w:type="dxa"/>
        </w:tblCellMar>
      </w:tblP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With market value adjustment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8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05"/>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At book value less current surrender charge of 5% or more</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2,855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At fair value</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4,087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4,087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with market value adjustment or at fair value</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4,087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7,281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At book value without adjustment</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2,620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93"/>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 subject to discretionary withdrawal:</w:t>
            </w: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(gross)</w:t>
            </w: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4,090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10,097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Reinsurance ceded</w:t>
            </w: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(318)</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(318)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8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4,090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9,779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400" w:right="739" w:hanging="288"/>
        <w:spacing w:after="0" w:line="234" w:lineRule="auto"/>
        <w:tabs>
          <w:tab w:leader="none" w:pos="400" w:val="left"/>
        </w:tabs>
        <w:numPr>
          <w:ilvl w:val="0"/>
          <w:numId w:val="7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noted in the table above, the Company had individual annuity reserves of $153 million in the General Account and $2,702 million in the Separate Account subject to discretionary withdrawals and carried at book value subject to a surrender charge of 5% or more as of December 31, 2023. These amounts include General Account reserves of $57 million and Separate Account reserves of $931 million for which the surrender charge will be below 5% for the first time in the year subsequent to December 31,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6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60" w:type="dxa"/>
            <w:vAlign w:val="bottom"/>
          </w:tcPr>
          <w:p>
            <w:pPr>
              <w:spacing w:after="0"/>
              <w:rPr>
                <w:sz w:val="16"/>
                <w:szCs w:val="16"/>
                <w:color w:val="auto"/>
              </w:rPr>
            </w:pPr>
          </w:p>
        </w:tc>
        <w:tc>
          <w:tcPr>
            <w:tcW w:w="14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8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Subject to discretionary withdrawal:</w:t>
            </w: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396</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396</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less current surrender charge of 5% or</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with market value adjustment or at fair value</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without adjustment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 subject to discretionary withdrawal:</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w:t>
            </w: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3,678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771" w:gutter="0" w:footer="0" w:header="0"/>
          <w:type w:val="continuous"/>
        </w:sect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9019"/>
          </w:cols>
          <w:pgMar w:left="1440" w:top="1373" w:right="1440" w:bottom="771" w:gutter="0" w:footer="0" w:header="0"/>
          <w:type w:val="continuous"/>
        </w:sectPr>
      </w:pPr>
    </w:p>
    <w:bookmarkStart w:id="151" w:name="page152"/>
    <w:bookmarkEnd w:id="151"/>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530225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4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6"/>
                <w:szCs w:val="16"/>
                <w:color w:val="auto"/>
              </w:rPr>
            </w:pPr>
          </w:p>
        </w:tc>
        <w:tc>
          <w:tcPr>
            <w:tcW w:w="120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4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$ 3,678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$ 8,683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Deposit-Type Contracts:</w:t>
            </w: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3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6"/>
                <w:szCs w:val="16"/>
                <w:color w:val="auto"/>
              </w:rPr>
            </w:pPr>
          </w:p>
        </w:tc>
        <w:tc>
          <w:tcPr>
            <w:tcW w:w="1420" w:type="dxa"/>
            <w:vAlign w:val="bottom"/>
            <w:gridSpan w:val="10"/>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80" w:type="dxa"/>
            <w:vAlign w:val="bottom"/>
          </w:tcPr>
          <w:p>
            <w:pPr>
              <w:spacing w:after="0"/>
              <w:rPr>
                <w:sz w:val="16"/>
                <w:szCs w:val="16"/>
                <w:color w:val="auto"/>
              </w:rPr>
            </w:pPr>
          </w:p>
        </w:tc>
        <w:tc>
          <w:tcPr>
            <w:tcW w:w="1680" w:type="dxa"/>
            <w:vAlign w:val="bottom"/>
            <w:gridSpan w:val="1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Nonguaranteed   Total</w:t>
            </w:r>
          </w:p>
        </w:tc>
        <w:tc>
          <w:tcPr>
            <w:tcW w:w="120" w:type="dxa"/>
            <w:vAlign w:val="bottom"/>
          </w:tcPr>
          <w:p>
            <w:pPr>
              <w:spacing w:after="0"/>
              <w:rPr>
                <w:sz w:val="16"/>
                <w:szCs w:val="16"/>
                <w:color w:val="auto"/>
              </w:rPr>
            </w:pPr>
          </w:p>
        </w:tc>
        <w:tc>
          <w:tcPr>
            <w:tcW w:w="5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 to discretionary withdrawal:</w:t>
            </w: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 book value less current surrender charge of 5% or</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5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right w:val="single" w:sz="8" w:color="auto"/>
            </w:tcBorders>
            <w:gridSpan w:val="4"/>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with market value adjustment or at fair value</w:t>
            </w: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without adjustment</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6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 subject to discretionary withdrawal:</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15</w:t>
            </w:r>
          </w:p>
        </w:tc>
        <w:tc>
          <w:tcPr>
            <w:tcW w:w="60" w:type="dxa"/>
            <w:vAlign w:val="bottom"/>
          </w:tcPr>
          <w:p>
            <w:pPr>
              <w:spacing w:after="0"/>
              <w:rPr>
                <w:sz w:val="24"/>
                <w:szCs w:val="24"/>
                <w:color w:val="auto"/>
              </w:rPr>
            </w:pPr>
          </w:p>
        </w:tc>
        <w:tc>
          <w:tcPr>
            <w:tcW w:w="6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20</w:t>
            </w:r>
          </w:p>
        </w:tc>
        <w:tc>
          <w:tcPr>
            <w:tcW w:w="60" w:type="dxa"/>
            <w:vAlign w:val="bottom"/>
          </w:tcPr>
          <w:p>
            <w:pPr>
              <w:spacing w:after="0"/>
              <w:rPr>
                <w:sz w:val="24"/>
                <w:szCs w:val="24"/>
                <w:color w:val="auto"/>
              </w:rPr>
            </w:pPr>
          </w:p>
        </w:tc>
        <w:tc>
          <w:tcPr>
            <w:tcW w:w="7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60" w:type="dxa"/>
            <w:vAlign w:val="bottom"/>
            <w:tcBorders>
              <w:right w:val="single" w:sz="8" w:color="auto"/>
            </w:tcBorders>
            <w:gridSpan w:val="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auto"/>
            </w:tcBorders>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9019"/>
          </w:cols>
          <w:pgMar w:left="1440" w:top="1373" w:right="1440" w:bottom="1440" w:gutter="0" w:footer="0" w:header="0"/>
          <w:type w:val="continuous"/>
        </w:sectPr>
      </w:pPr>
    </w:p>
    <w:bookmarkStart w:id="152" w:name="page153"/>
    <w:bookmarkEnd w:id="15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Annuities: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 with</w:t>
            </w:r>
          </w:p>
        </w:tc>
        <w:tc>
          <w:tcPr>
            <w:tcW w:w="80" w:type="dxa"/>
            <w:vAlign w:val="bottom"/>
          </w:tcPr>
          <w:p>
            <w:pPr>
              <w:spacing w:after="0"/>
              <w:rPr>
                <w:sz w:val="16"/>
                <w:szCs w:val="16"/>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94"/>
        </w:trPr>
        <w:tc>
          <w:tcPr>
            <w:tcW w:w="4100" w:type="dxa"/>
            <w:vAlign w:val="bottom"/>
          </w:tcPr>
          <w:p>
            <w:pPr>
              <w:spacing w:after="0"/>
              <w:rPr>
                <w:sz w:val="16"/>
                <w:szCs w:val="16"/>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8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Nonguaranteed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 to discretionary withdrawal:</w:t>
            </w:r>
          </w:p>
        </w:tc>
        <w:tc>
          <w:tcPr>
            <w:tcW w:w="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less current surrender charge of 5% 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with market value adjustment or at fair value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book value without adjustment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 subject to discretionary withdrawal: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amounts in the tables above reflect prescribed or permitted practices that depart from NAIC SAP, see Note 1, “Summary of Significant Accounting Policies” for additional information.</w:t>
      </w:r>
    </w:p>
    <w:p>
      <w:pPr>
        <w:spacing w:after="0" w:line="54"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Annuity actuarial reserves, deposit-type contract funds and other liabilities without life or disability contingencies at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7120" w:type="dxa"/>
            <w:vAlign w:val="bottom"/>
          </w:tcPr>
          <w:p>
            <w:pPr>
              <w:spacing w:after="0"/>
              <w:rPr>
                <w:sz w:val="16"/>
                <w:szCs w:val="16"/>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Account:</w:t>
            </w:r>
          </w:p>
        </w:tc>
        <w:tc>
          <w:tcPr>
            <w:tcW w:w="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84"/>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Annuities (excluding supplementary contracts with life contingencies)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743</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8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Supplementary contracts with life contingencies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97"/>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Deposit-type contracts</w:t>
            </w:r>
          </w:p>
        </w:tc>
        <w:tc>
          <w:tcPr>
            <w:tcW w:w="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gridSpan w:val="2"/>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Separate Account:</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49" w:lineRule="exact"/>
        <w:rPr>
          <w:sz w:val="20"/>
          <w:szCs w:val="20"/>
          <w:color w:val="auto"/>
        </w:rPr>
      </w:pPr>
    </w:p>
    <w:p>
      <w:pPr>
        <w:sectPr>
          <w:pgSz w:w="11900" w:h="16838" w:orient="portrait"/>
          <w:cols w:equalWidth="0" w:num="1">
            <w:col w:w="9019"/>
          </w:cols>
          <w:pgMar w:left="1440" w:top="1373" w:right="1440" w:bottom="1440" w:gutter="0" w:footer="0" w:header="0"/>
        </w:sectPr>
      </w:pPr>
    </w:p>
    <w:p>
      <w:pPr>
        <w:ind w:left="300"/>
        <w:spacing w:after="0"/>
        <w:rPr>
          <w:sz w:val="20"/>
          <w:szCs w:val="20"/>
          <w:color w:val="auto"/>
        </w:rPr>
      </w:pPr>
      <w:r>
        <w:rPr>
          <w:rFonts w:ascii="Times New Roman" w:cs="Times New Roman" w:eastAsia="Times New Roman" w:hAnsi="Times New Roman"/>
          <w:sz w:val="18"/>
          <w:szCs w:val="18"/>
          <w:color w:val="auto"/>
        </w:rPr>
        <w:t>Annuities (excluding supplementary contracts)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Supplementary contracts with life contingencies</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deposit-type contracts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7,562</w:t>
            </w:r>
          </w:p>
        </w:tc>
      </w:tr>
      <w:tr>
        <w:trPr>
          <w:trHeight w:val="283"/>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9,794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8,698</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720"/>
            <w:col w:w="1739"/>
          </w:cols>
          <w:pgMar w:left="1440" w:top="13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9019"/>
          </w:cols>
          <w:pgMar w:left="1440" w:top="1373" w:right="1440" w:bottom="1440" w:gutter="0" w:footer="0" w:header="0"/>
          <w:type w:val="continuous"/>
        </w:sectPr>
      </w:pPr>
    </w:p>
    <w:bookmarkStart w:id="153" w:name="page154"/>
    <w:bookmarkEnd w:id="15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Withdrawal characteristics of life actuarial reserves were as follows at December 31, were as follows (dollars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37"/>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300" w:type="dxa"/>
            <w:vAlign w:val="bottom"/>
            <w:tcBorders>
              <w:bottom w:val="single" w:sz="8" w:color="auto"/>
            </w:tcBorders>
            <w:gridSpan w:val="13"/>
          </w:tcPr>
          <w:p>
            <w:pPr>
              <w:ind w:left="80"/>
              <w:spacing w:after="0"/>
              <w:rPr>
                <w:sz w:val="20"/>
                <w:szCs w:val="20"/>
                <w:color w:val="auto"/>
              </w:rPr>
            </w:pPr>
            <w:r>
              <w:rPr>
                <w:rFonts w:ascii="Times New Roman" w:cs="Times New Roman" w:eastAsia="Times New Roman" w:hAnsi="Times New Roman"/>
                <w:sz w:val="14"/>
                <w:szCs w:val="14"/>
                <w:b w:val="1"/>
                <w:bCs w:val="1"/>
                <w:color w:val="auto"/>
              </w:rPr>
              <w:t>Separate Account - Nonguaranteed</w:t>
            </w:r>
          </w:p>
        </w:tc>
      </w:tr>
      <w:tr>
        <w:trPr>
          <w:trHeight w:val="235"/>
        </w:trPr>
        <w:tc>
          <w:tcPr>
            <w:tcW w:w="3620" w:type="dxa"/>
            <w:vAlign w:val="bottom"/>
          </w:tcPr>
          <w:p>
            <w:pPr>
              <w:spacing w:after="0"/>
              <w:rPr>
                <w:sz w:val="20"/>
                <w:szCs w:val="20"/>
                <w:color w:val="auto"/>
              </w:rPr>
            </w:pPr>
          </w:p>
        </w:tc>
        <w:tc>
          <w:tcPr>
            <w:tcW w:w="170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Account Value Cash Value</w:t>
            </w:r>
          </w:p>
        </w:tc>
        <w:tc>
          <w:tcPr>
            <w:tcW w:w="60" w:type="dxa"/>
            <w:vAlign w:val="bottom"/>
          </w:tcPr>
          <w:p>
            <w:pPr>
              <w:spacing w:after="0"/>
              <w:rPr>
                <w:sz w:val="20"/>
                <w:szCs w:val="20"/>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0" w:type="dxa"/>
            <w:vAlign w:val="bottom"/>
          </w:tcPr>
          <w:p>
            <w:pPr>
              <w:spacing w:after="0"/>
              <w:rPr>
                <w:sz w:val="20"/>
                <w:szCs w:val="20"/>
                <w:color w:val="auto"/>
              </w:rPr>
            </w:pPr>
          </w:p>
        </w:tc>
        <w:tc>
          <w:tcPr>
            <w:tcW w:w="230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Account Value Cash Value Reserve</w:t>
            </w: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Subject to discretionary withdrawal:</w:t>
            </w:r>
          </w:p>
        </w:tc>
        <w:tc>
          <w:tcPr>
            <w:tcW w:w="2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 cash value</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 with secondary guarantees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 with secondary guarantees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cash value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universal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without cash value</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1,064</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Accidental death benefits</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active lives</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disabled lives</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XXX</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XXX</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direct + assumed)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(Net)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9019"/>
          </w:cols>
          <w:pgMar w:left="1440" w:top="1373" w:right="1440" w:bottom="1440" w:gutter="0" w:footer="0" w:header="0"/>
          <w:type w:val="continuous"/>
        </w:sectPr>
      </w:pPr>
    </w:p>
    <w:bookmarkStart w:id="154" w:name="page155"/>
    <w:bookmarkEnd w:id="154"/>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300" w:type="dxa"/>
            <w:vAlign w:val="bottom"/>
            <w:tcBorders>
              <w:bottom w:val="single" w:sz="8" w:color="auto"/>
            </w:tcBorders>
            <w:gridSpan w:val="16"/>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Separate Account - Nonguaranteed</w:t>
            </w:r>
          </w:p>
        </w:tc>
        <w:tc>
          <w:tcPr>
            <w:tcW w:w="0" w:type="dxa"/>
            <w:vAlign w:val="bottom"/>
          </w:tcPr>
          <w:p>
            <w:pPr>
              <w:spacing w:after="0"/>
              <w:rPr>
                <w:sz w:val="1"/>
                <w:szCs w:val="1"/>
                <w:color w:val="auto"/>
              </w:rPr>
            </w:pPr>
          </w:p>
        </w:tc>
      </w:tr>
      <w:tr>
        <w:trPr>
          <w:trHeight w:val="235"/>
        </w:trPr>
        <w:tc>
          <w:tcPr>
            <w:tcW w:w="3620" w:type="dxa"/>
            <w:vAlign w:val="bottom"/>
          </w:tcPr>
          <w:p>
            <w:pPr>
              <w:spacing w:after="0"/>
              <w:rPr>
                <w:sz w:val="20"/>
                <w:szCs w:val="20"/>
                <w:color w:val="auto"/>
              </w:rPr>
            </w:pPr>
          </w:p>
        </w:tc>
        <w:tc>
          <w:tcPr>
            <w:tcW w:w="170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Account Value Cash Value</w:t>
            </w:r>
          </w:p>
        </w:tc>
        <w:tc>
          <w:tcPr>
            <w:tcW w:w="60" w:type="dxa"/>
            <w:vAlign w:val="bottom"/>
          </w:tcPr>
          <w:p>
            <w:pPr>
              <w:spacing w:after="0"/>
              <w:rPr>
                <w:sz w:val="20"/>
                <w:szCs w:val="20"/>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0" w:type="dxa"/>
            <w:vAlign w:val="bottom"/>
          </w:tcPr>
          <w:p>
            <w:pPr>
              <w:spacing w:after="0"/>
              <w:rPr>
                <w:sz w:val="20"/>
                <w:szCs w:val="20"/>
                <w:color w:val="auto"/>
              </w:rPr>
            </w:pPr>
          </w:p>
        </w:tc>
        <w:tc>
          <w:tcPr>
            <w:tcW w:w="17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Account Value Cash Value</w:t>
            </w:r>
          </w:p>
        </w:tc>
        <w:tc>
          <w:tcPr>
            <w:tcW w:w="54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Subject to discretionary withdrawal:</w:t>
            </w:r>
          </w:p>
        </w:tc>
        <w:tc>
          <w:tcPr>
            <w:tcW w:w="2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 cash value</w:t>
            </w: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Universal life with secondary guarantees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universal life with secondary guarantees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Indexed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cash value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Variable universal life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Term policies without cash value</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1,079</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Accidental death benefits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active lives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Disability - disabled lives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XXX</w:t>
            </w:r>
          </w:p>
        </w:tc>
        <w:tc>
          <w:tcPr>
            <w:tcW w:w="80" w:type="dxa"/>
            <w:vAlign w:val="bottom"/>
          </w:tcPr>
          <w:p>
            <w:pPr>
              <w:spacing w:after="0"/>
              <w:rPr>
                <w:sz w:val="24"/>
                <w:szCs w:val="24"/>
                <w:color w:val="auto"/>
              </w:rPr>
            </w:pPr>
          </w:p>
        </w:tc>
        <w:tc>
          <w:tcPr>
            <w:tcW w:w="7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XXX</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direct + assumed)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ceded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(Net)</w:t>
            </w: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Life actuarial reserves at December 31, were as follows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w w:val="97"/>
              </w:rPr>
              <w:t>millions):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Account:</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4"/>
                <w:szCs w:val="24"/>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Accidental death benefits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Active lives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Disability - disabled lives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Separate Account: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 and health contracts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reserves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24"/>
                <w:szCs w:val="24"/>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9019"/>
          </w:cols>
          <w:pgMar w:left="1440" w:top="1373" w:right="1440" w:bottom="1440" w:gutter="0" w:footer="0" w:header="0"/>
          <w:type w:val="continuous"/>
        </w:sectPr>
      </w:pPr>
    </w:p>
    <w:bookmarkStart w:id="155" w:name="page156"/>
    <w:bookmarkEnd w:id="15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Separate Accounts</w:t>
      </w:r>
    </w:p>
    <w:p>
      <w:pPr>
        <w:spacing w:after="0" w:line="121"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The Company utilizes Separate Accounts to support and record segregated assets and liabilities related to variable and certain index-linked annuities. Separate Account assets and liabilities for variable annuities represent segregated funds which are administered for clients. Investment risks associated with market value changes are generally borne by the policyholders, except to the extent of the minimum guarantees made by the Company with respect to variable annuities. The assets related to variable annuities are carried at estimated fair value. For index-linked annuities where investment risks are shared between policyholders and the Company, assets are generally carried at amortized cost.</w:t>
      </w:r>
    </w:p>
    <w:p>
      <w:pPr>
        <w:spacing w:after="0" w:line="8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Company’s Separate Account assets that are legally insulated from the General Account claims were $4,126 million and $3,922 million, respectively. The assets consist of certain mutual funds. The liabilities consist of reserves established to meet withdrawal and future benefit payment contractual provisions.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Separate Accounts at December 31, was as follows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2860" w:type="dxa"/>
            <w:vAlign w:val="bottom"/>
            <w:tcBorders>
              <w:bottom w:val="single" w:sz="8" w:color="auto"/>
            </w:tcBorders>
            <w:gridSpan w:val="16"/>
          </w:tcPr>
          <w:p>
            <w:pPr>
              <w:jc w:val="center"/>
              <w:spacing w:after="0"/>
              <w:rPr>
                <w:sz w:val="20"/>
                <w:szCs w:val="20"/>
                <w:color w:val="auto"/>
              </w:rPr>
            </w:pPr>
            <w:r>
              <w:rPr>
                <w:rFonts w:ascii="Times New Roman" w:cs="Times New Roman" w:eastAsia="Times New Roman" w:hAnsi="Times New Roman"/>
                <w:sz w:val="14"/>
                <w:szCs w:val="14"/>
                <w:b w:val="1"/>
                <w:bCs w:val="1"/>
                <w:color w:val="auto"/>
              </w:rPr>
              <w:t>Nonindexed Guarantee Less than/Equal to 4%</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Premiums, considerations or deposits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917</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Reserves at December 31</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 accounts with assets at: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Amortized cost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 withdrawal characteristics: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charge of 5% or more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2,702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2,279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2,512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fair value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charge less than 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2,199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1,399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2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3,678</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3,361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9019"/>
          </w:cols>
          <w:pgMar w:left="1440" w:top="1373" w:right="1440" w:bottom="1440" w:gutter="0" w:footer="0" w:header="0"/>
          <w:type w:val="continuous"/>
        </w:sectPr>
      </w:pPr>
    </w:p>
    <w:bookmarkStart w:id="156" w:name="page157"/>
    <w:bookmarkEnd w:id="15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16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Nonguaranteed Separate Accounts</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Premiums, considerations or deposits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Reserves at December 31</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For accounts with assets at: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4,090</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3,887</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Amortized cost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4,090</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3,887</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 withdrawal characteristics: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market value adjustment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 charge of 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 more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fair value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4,087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book value without market value adjustment and with current surrender charge less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than 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4,087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3,884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5,134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4,090</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3,887</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Reconciliation of net transfers to/from Separate Accounts of the Company for the years ended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6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Separate Accounts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$ 893</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1,033</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1,133</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Transfers from Separate Accounts</w:t>
            </w:r>
          </w:p>
        </w:tc>
        <w:tc>
          <w:tcPr>
            <w:tcW w:w="4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30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Separate Accounts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Reconciling difference</w:t>
            </w:r>
          </w:p>
        </w:tc>
        <w:tc>
          <w:tcPr>
            <w:tcW w:w="4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Transfers as reported in the statements of operations of the General Account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270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0"/>
        </w:trPr>
        <w:tc>
          <w:tcPr>
            <w:tcW w:w="6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9019"/>
          </w:cols>
          <w:pgMar w:left="1440" w:top="1373" w:right="1440" w:bottom="1440" w:gutter="0" w:footer="0" w:header="0"/>
          <w:type w:val="continuous"/>
        </w:sectPr>
      </w:pPr>
    </w:p>
    <w:bookmarkStart w:id="157" w:name="page158"/>
    <w:bookmarkEnd w:id="15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Federal Income Tax</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Federal income tax return will be consolidated with the following entities: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Holdings LLC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Securities LLC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Services LLC</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Assignment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Life Insurance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Brighthouse Reinsurance Company of Delaware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New England Life Insurance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Federal income tax expense has been calculated in accordance with the provisions of the Code.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DTA and DTL consisted of the following, at December 31,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4940" w:type="dxa"/>
            <w:vAlign w:val="bottom"/>
          </w:tcPr>
          <w:p>
            <w:pPr>
              <w:spacing w:after="0"/>
              <w:rPr>
                <w:sz w:val="20"/>
                <w:szCs w:val="20"/>
                <w:color w:val="auto"/>
              </w:rPr>
            </w:pPr>
          </w:p>
        </w:tc>
        <w:tc>
          <w:tcPr>
            <w:tcW w:w="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60" w:type="dxa"/>
            <w:vAlign w:val="bottom"/>
          </w:tcPr>
          <w:p>
            <w:pPr>
              <w:spacing w:after="0"/>
              <w:rPr>
                <w:sz w:val="20"/>
                <w:szCs w:val="20"/>
                <w:color w:val="auto"/>
              </w:rPr>
            </w:pPr>
          </w:p>
        </w:tc>
        <w:tc>
          <w:tcPr>
            <w:tcW w:w="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gridSpan w:val="2"/>
          </w:tcPr>
          <w:p>
            <w:pPr>
              <w:spacing w:after="0"/>
              <w:rPr>
                <w:sz w:val="20"/>
                <w:szCs w:val="20"/>
                <w:color w:val="auto"/>
              </w:rPr>
            </w:pPr>
          </w:p>
        </w:tc>
      </w:tr>
      <w:tr>
        <w:trPr>
          <w:trHeight w:val="26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Gross DTA</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w:t>
            </w:r>
          </w:p>
        </w:tc>
        <w:tc>
          <w:tcPr>
            <w:tcW w:w="120" w:type="dxa"/>
            <w:vAlign w:val="bottom"/>
          </w:tcPr>
          <w:p>
            <w:pPr>
              <w:spacing w:after="0"/>
              <w:rPr>
                <w:sz w:val="23"/>
                <w:szCs w:val="23"/>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$ 209</w:t>
            </w:r>
          </w:p>
        </w:tc>
        <w:tc>
          <w:tcPr>
            <w:tcW w:w="6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$ 298</w:t>
            </w:r>
          </w:p>
        </w:tc>
        <w:tc>
          <w:tcPr>
            <w:tcW w:w="40" w:type="dxa"/>
            <w:vAlign w:val="bottom"/>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302</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Statutory valuation allowance adjustments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297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301</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DTA nonadmitted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214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218</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Subtotal net admitted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DTL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admitted DTA/(Net DTL)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gridSpan w:val="2"/>
          </w:tcPr>
          <w:p>
            <w:pPr>
              <w:spacing w:after="0"/>
              <w:rPr>
                <w:sz w:val="20"/>
                <w:szCs w:val="20"/>
                <w:color w:val="auto"/>
              </w:rPr>
            </w:pPr>
          </w:p>
        </w:tc>
      </w:tr>
      <w:tr>
        <w:trPr>
          <w:trHeight w:val="268"/>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Gross DTA</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(95)</w:t>
            </w:r>
          </w:p>
        </w:tc>
        <w:tc>
          <w:tcPr>
            <w:tcW w:w="40" w:type="dxa"/>
            <w:vAlign w:val="bottom"/>
          </w:tcPr>
          <w:p>
            <w:pPr>
              <w:spacing w:after="0"/>
              <w:rPr>
                <w:sz w:val="23"/>
                <w:szCs w:val="23"/>
                <w:color w:val="auto"/>
              </w:rPr>
            </w:pPr>
          </w:p>
        </w:tc>
        <w:tc>
          <w:tcPr>
            <w:tcW w:w="2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(93)</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Statutory valuation allowance adjustments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(94)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DTA nonadmitted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Subtotal net admitted DTA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4"/>
                <w:szCs w:val="24"/>
                <w:color w:val="auto"/>
              </w:rPr>
            </w:pP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DTL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admitted DTA/(Net DTL)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9019"/>
          </w:cols>
          <w:pgMar w:left="1440" w:top="1373" w:right="1440" w:bottom="1440" w:gutter="0" w:footer="0" w:header="0"/>
          <w:type w:val="continuous"/>
        </w:sectPr>
      </w:pPr>
    </w:p>
    <w:bookmarkStart w:id="158" w:name="page159"/>
    <w:bookmarkEnd w:id="158"/>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120" w:right="660" w:firstLine="360"/>
        <w:spacing w:after="0" w:line="282" w:lineRule="auto"/>
        <w:rPr>
          <w:sz w:val="20"/>
          <w:szCs w:val="20"/>
          <w:color w:val="auto"/>
        </w:rPr>
      </w:pPr>
      <w:r>
        <w:rPr>
          <w:rFonts w:ascii="Times New Roman" w:cs="Times New Roman" w:eastAsia="Times New Roman" w:hAnsi="Times New Roman"/>
          <w:sz w:val="18"/>
          <w:szCs w:val="18"/>
          <w:color w:val="auto"/>
        </w:rPr>
        <w:t>The amount of each result or component of the calculation for SSAP No. 101, Income Taxes (“SSAP 101”), at December 31, (dollars in millions):</w:t>
      </w:r>
    </w:p>
    <w:p>
      <w:pPr>
        <w:sectPr>
          <w:pgSz w:w="11900" w:h="16838" w:orient="portrait"/>
          <w:cols w:equalWidth="0" w:num="1">
            <w:col w:w="9020"/>
          </w:cols>
          <w:pgMar w:left="1440" w:top="1373" w:right="1439" w:bottom="9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right="720" w:hanging="179"/>
        <w:spacing w:after="0" w:line="237" w:lineRule="auto"/>
        <w:rPr>
          <w:sz w:val="20"/>
          <w:szCs w:val="20"/>
          <w:color w:val="auto"/>
        </w:rPr>
      </w:pPr>
      <w:r>
        <w:rPr>
          <w:rFonts w:ascii="Times New Roman" w:cs="Times New Roman" w:eastAsia="Times New Roman" w:hAnsi="Times New Roman"/>
          <w:sz w:val="18"/>
          <w:szCs w:val="18"/>
          <w:color w:val="auto"/>
        </w:rPr>
        <w:t>Federal income taxes paid in prior years recoverable through loss carrybacks</w:t>
      </w:r>
    </w:p>
    <w:p>
      <w:pPr>
        <w:spacing w:after="0" w:line="64" w:lineRule="exact"/>
        <w:rPr>
          <w:sz w:val="20"/>
          <w:szCs w:val="20"/>
          <w:color w:val="auto"/>
        </w:rPr>
      </w:pPr>
    </w:p>
    <w:p>
      <w:pPr>
        <w:ind w:left="300" w:hanging="179"/>
        <w:spacing w:after="0" w:line="236" w:lineRule="auto"/>
        <w:rPr>
          <w:sz w:val="20"/>
          <w:szCs w:val="20"/>
          <w:color w:val="auto"/>
        </w:rPr>
      </w:pPr>
      <w:r>
        <w:rPr>
          <w:rFonts w:ascii="Times New Roman" w:cs="Times New Roman" w:eastAsia="Times New Roman" w:hAnsi="Times New Roman"/>
          <w:sz w:val="17"/>
          <w:szCs w:val="17"/>
          <w:color w:val="auto"/>
        </w:rPr>
        <w:t>Adjusted gross DTA expected to be realized (excluding the amount of DTA from above) after application of the threshold limitation (the lesser of 1</w:t>
      </w:r>
    </w:p>
    <w:p>
      <w:pPr>
        <w:ind w:left="300"/>
        <w:spacing w:after="0"/>
        <w:rPr>
          <w:sz w:val="20"/>
          <w:szCs w:val="20"/>
          <w:color w:val="auto"/>
        </w:rPr>
      </w:pPr>
      <w:r>
        <w:rPr>
          <w:rFonts w:ascii="Times New Roman" w:cs="Times New Roman" w:eastAsia="Times New Roman" w:hAnsi="Times New Roman"/>
          <w:sz w:val="18"/>
          <w:szCs w:val="18"/>
          <w:color w:val="auto"/>
        </w:rPr>
        <w:t>and 2 below)</w:t>
      </w:r>
    </w:p>
    <w:p>
      <w:pPr>
        <w:spacing w:after="0" w:line="57" w:lineRule="exact"/>
        <w:rPr>
          <w:sz w:val="20"/>
          <w:szCs w:val="20"/>
          <w:color w:val="auto"/>
        </w:rPr>
      </w:pPr>
    </w:p>
    <w:p>
      <w:pPr>
        <w:ind w:left="300" w:right="340" w:hanging="179"/>
        <w:spacing w:after="0" w:line="237" w:lineRule="auto"/>
        <w:rPr>
          <w:sz w:val="20"/>
          <w:szCs w:val="20"/>
          <w:color w:val="auto"/>
        </w:rPr>
      </w:pPr>
      <w:r>
        <w:rPr>
          <w:rFonts w:ascii="Times New Roman" w:cs="Times New Roman" w:eastAsia="Times New Roman" w:hAnsi="Times New Roman"/>
          <w:sz w:val="18"/>
          <w:szCs w:val="18"/>
          <w:color w:val="auto"/>
        </w:rPr>
        <w:t>1.  Adjusted gross DTA expected to be realized following the balance sheet date</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Adjusted gross DTA allowed per limitation threshold</w:t>
      </w:r>
    </w:p>
    <w:p>
      <w:pPr>
        <w:spacing w:after="0" w:line="77" w:lineRule="exact"/>
        <w:rPr>
          <w:sz w:val="20"/>
          <w:szCs w:val="20"/>
          <w:color w:val="auto"/>
        </w:rPr>
      </w:pPr>
    </w:p>
    <w:p>
      <w:pPr>
        <w:ind w:left="300" w:right="80" w:hanging="179"/>
        <w:spacing w:after="0" w:line="237" w:lineRule="auto"/>
        <w:rPr>
          <w:sz w:val="20"/>
          <w:szCs w:val="20"/>
          <w:color w:val="auto"/>
        </w:rPr>
      </w:pPr>
      <w:r>
        <w:rPr>
          <w:rFonts w:ascii="Times New Roman" w:cs="Times New Roman" w:eastAsia="Times New Roman" w:hAnsi="Times New Roman"/>
          <w:sz w:val="18"/>
          <w:szCs w:val="18"/>
          <w:color w:val="auto"/>
        </w:rPr>
        <w:t>Adjusted gross DTA (excluding the amount of DTA from above) offset by gross DTL</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DTA admitted as the result of application of SSAP 101 total</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36"/>
        </w:trPr>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Ordinary Capital</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0"/>
                <w:szCs w:val="20"/>
                <w:color w:val="auto"/>
              </w:rPr>
            </w:pPr>
          </w:p>
        </w:tc>
        <w:tc>
          <w:tcPr>
            <w:tcW w:w="164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Ordinary Capital  Total</w:t>
            </w:r>
          </w:p>
        </w:tc>
      </w:tr>
      <w:tr>
        <w:trPr>
          <w:trHeight w:val="20"/>
        </w:trPr>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4"/>
        </w:trPr>
        <w:tc>
          <w:tcPr>
            <w:tcW w:w="8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266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  —  $  —  $  —   $  —  $  —</w:t>
            </w:r>
          </w:p>
        </w:tc>
      </w:tr>
      <w:tr>
        <w:trPr>
          <w:trHeight w:val="648"/>
        </w:trPr>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73"/>
        </w:trPr>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XXX</w:t>
            </w:r>
          </w:p>
        </w:tc>
        <w:tc>
          <w:tcPr>
            <w:tcW w:w="1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87"/>
              </w:rPr>
              <w:t>XXX</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4"/>
                <w:szCs w:val="24"/>
                <w:color w:val="auto"/>
              </w:rPr>
            </w:pP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XXX</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XXX</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86"/>
        </w:trPr>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$ 106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$ 106</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83</w:t>
            </w:r>
          </w:p>
        </w:tc>
      </w:tr>
      <w:tr>
        <w:trPr>
          <w:trHeight w:val="20"/>
        </w:trPr>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ectPr>
          <w:pgSz w:w="11900" w:h="16838" w:orient="portrait"/>
          <w:cols w:equalWidth="0" w:num="2">
            <w:col w:w="5540" w:space="120"/>
            <w:col w:w="3360"/>
          </w:cols>
          <w:pgMar w:left="1440" w:top="1373" w:right="1439" w:bottom="920" w:gutter="0" w:footer="0" w:header="0"/>
          <w:type w:val="continuous"/>
        </w:sectPr>
      </w:pPr>
    </w:p>
    <w:tbl>
      <w:tblPr>
        <w:tblLayout w:type="fixed"/>
        <w:tblInd w:w="12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36"/>
        </w:trPr>
        <w:tc>
          <w:tcPr>
            <w:tcW w:w="6840" w:type="dxa"/>
            <w:vAlign w:val="bottom"/>
          </w:tcPr>
          <w:p>
            <w:pPr>
              <w:spacing w:after="0"/>
              <w:rPr>
                <w:sz w:val="20"/>
                <w:szCs w:val="20"/>
                <w:color w:val="auto"/>
              </w:rPr>
            </w:pPr>
          </w:p>
        </w:tc>
        <w:tc>
          <w:tcPr>
            <w:tcW w:w="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60" w:type="dxa"/>
            <w:vAlign w:val="bottom"/>
          </w:tcPr>
          <w:p>
            <w:pPr>
              <w:spacing w:after="0"/>
              <w:rPr>
                <w:sz w:val="20"/>
                <w:szCs w:val="20"/>
                <w:color w:val="auto"/>
              </w:rPr>
            </w:pPr>
          </w:p>
        </w:tc>
        <w:tc>
          <w:tcPr>
            <w:tcW w:w="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0"/>
                <w:szCs w:val="20"/>
                <w:color w:val="auto"/>
              </w:rPr>
            </w:pPr>
          </w:p>
        </w:tc>
      </w:tr>
      <w:tr>
        <w:trPr>
          <w:trHeight w:val="26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taxes paid in prior years recoverable through loss carrybacks</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 expected to be realized (excluding the amount of DTA from above) after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the threshold limitation (the lesser of 1 and 2 below)</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1.   Adjusted gross DTA expected to be realized following the balance sheet date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2.   Adjusted gross DTA allowed per limitation threshold</w:t>
            </w:r>
          </w:p>
        </w:tc>
        <w:tc>
          <w:tcPr>
            <w:tcW w:w="1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XXX</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9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DTA (excluding the amount of DTA from above) offset by gross DTL</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DTA admitted as the result of application of SSAP 101 total</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14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r>
      <w:tr>
        <w:trPr>
          <w:trHeight w:val="26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RBC percentage used to determine recovery period and threshold limitation amount</w:t>
            </w:r>
          </w:p>
        </w:tc>
        <w:tc>
          <w:tcPr>
            <w:tcW w:w="11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3999%</w:t>
            </w:r>
          </w:p>
        </w:tc>
        <w:tc>
          <w:tcPr>
            <w:tcW w:w="60" w:type="dxa"/>
            <w:vAlign w:val="bottom"/>
          </w:tcPr>
          <w:p>
            <w:pPr>
              <w:spacing w:after="0"/>
              <w:rPr>
                <w:sz w:val="23"/>
                <w:szCs w:val="23"/>
                <w:color w:val="auto"/>
              </w:rPr>
            </w:pPr>
          </w:p>
        </w:tc>
        <w:tc>
          <w:tcPr>
            <w:tcW w:w="11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Amount of total adjusted capital used to determine recovery period and threshold</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w:t>
            </w: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$ 831</w:t>
            </w: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$ 252</w:t>
            </w:r>
          </w:p>
        </w:tc>
      </w:tr>
    </w:tbl>
    <w:p>
      <w:pPr>
        <w:spacing w:after="0" w:line="144" w:lineRule="exact"/>
        <w:rPr>
          <w:sz w:val="20"/>
          <w:szCs w:val="20"/>
          <w:color w:val="auto"/>
        </w:rPr>
      </w:pPr>
    </w:p>
    <w:p>
      <w:pPr>
        <w:ind w:left="480" w:right="980"/>
        <w:spacing w:after="0" w:line="282" w:lineRule="auto"/>
        <w:rPr>
          <w:sz w:val="20"/>
          <w:szCs w:val="20"/>
          <w:color w:val="auto"/>
        </w:rPr>
      </w:pPr>
      <w:r>
        <w:rPr>
          <w:rFonts w:ascii="Times New Roman" w:cs="Times New Roman" w:eastAsia="Times New Roman" w:hAnsi="Times New Roman"/>
          <w:sz w:val="18"/>
          <w:szCs w:val="18"/>
          <w:color w:val="auto"/>
        </w:rPr>
        <w:t>Management believes the Company will be able to utilize the DTA in the future without any tax planning strategies.</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tax planning strategies do not include the use of reinsurance.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DTL were recognized as of December 31, 2023 and December 31, 2022.</w:t>
      </w:r>
    </w:p>
    <w:p>
      <w:pPr>
        <w:spacing w:after="0" w:line="117" w:lineRule="exact"/>
        <w:rPr>
          <w:sz w:val="20"/>
          <w:szCs w:val="20"/>
          <w:color w:val="auto"/>
        </w:rPr>
      </w:pPr>
    </w:p>
    <w:p>
      <w:pPr>
        <w:ind w:left="120" w:right="660" w:firstLine="360"/>
        <w:spacing w:after="0" w:line="282" w:lineRule="auto"/>
        <w:rPr>
          <w:sz w:val="20"/>
          <w:szCs w:val="20"/>
          <w:color w:val="auto"/>
        </w:rPr>
      </w:pPr>
      <w:r>
        <w:rPr>
          <w:rFonts w:ascii="Times New Roman" w:cs="Times New Roman" w:eastAsia="Times New Roman" w:hAnsi="Times New Roman"/>
          <w:sz w:val="18"/>
          <w:szCs w:val="18"/>
          <w:color w:val="auto"/>
        </w:rPr>
        <w:t>Current income tax incurred (benefit) for the years ended December 31, consisted of the following major components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7080" w:type="dxa"/>
            <w:vAlign w:val="bottom"/>
          </w:tcPr>
          <w:p>
            <w:pPr>
              <w:spacing w:after="0"/>
              <w:rPr>
                <w:sz w:val="16"/>
                <w:szCs w:val="16"/>
                <w:color w:val="auto"/>
              </w:rPr>
            </w:pPr>
          </w:p>
        </w:tc>
        <w:tc>
          <w:tcPr>
            <w:tcW w:w="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1. Current Income Tax</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 Federal</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$ 93</w:t>
            </w:r>
          </w:p>
        </w:tc>
        <w:tc>
          <w:tcPr>
            <w:tcW w:w="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w:t>
            </w: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 Foreign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317"/>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 Subtotal (1a + 1b)</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 Federal income tax on net capital gains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 Utilization of capital loss carry-forwards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30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 Federal and foreign income taxes incurred (1c +1d +1e + 1f)</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$ 91</w:t>
            </w:r>
          </w:p>
        </w:tc>
        <w:tc>
          <w:tcPr>
            <w:tcW w:w="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1373" w:right="1439" w:bottom="920" w:gutter="0" w:footer="0" w:header="0"/>
          <w:type w:val="continuous"/>
        </w:sect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9020"/>
          </w:cols>
          <w:pgMar w:left="1440" w:top="1373" w:right="1439" w:bottom="920" w:gutter="0" w:footer="0" w:header="0"/>
          <w:type w:val="continuous"/>
        </w:sectPr>
      </w:pPr>
    </w:p>
    <w:bookmarkStart w:id="159" w:name="page160"/>
    <w:bookmarkEnd w:id="159"/>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480" w:right="899"/>
        <w:spacing w:after="0" w:line="282" w:lineRule="auto"/>
        <w:rPr>
          <w:sz w:val="20"/>
          <w:szCs w:val="20"/>
          <w:color w:val="auto"/>
        </w:rPr>
      </w:pPr>
      <w:r>
        <w:rPr>
          <w:rFonts w:ascii="Times New Roman" w:cs="Times New Roman" w:eastAsia="Times New Roman" w:hAnsi="Times New Roman"/>
          <w:sz w:val="18"/>
          <w:szCs w:val="18"/>
          <w:color w:val="auto"/>
        </w:rPr>
        <w:t>The changes in the main components of deferred income tax amounts at December 31, were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900" w:type="dxa"/>
            <w:vAlign w:val="bottom"/>
          </w:tcPr>
          <w:p>
            <w:pPr>
              <w:spacing w:after="0"/>
              <w:rPr>
                <w:sz w:val="16"/>
                <w:szCs w:val="16"/>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6"/>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2. Deferred Tax Assets</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(a) Ordinary:</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 Discounting of unpaid losses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 Unearned premium reserve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 Policyholder reserves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2"/>
              </w:rPr>
              <w:t>(101)</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 Investments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 Deferred acquisition costs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56"/>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 Policyholder dividends accrual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 Fixed assets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 Compensation and benefits accrual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 Pension accrual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 Receivables - nonadmitted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 Net operating loss carryforward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 Tax credit carryforwards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6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(13)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(99) Subtotal (sum of 2a1 through 2a13)</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 Statutory valuation allowance adjustment</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 Nonadmitted</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2"/>
              </w:rPr>
              <w:t>(117)</w:t>
            </w: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(d) Admitted ordinary deferred tax assets (2a99 -2b -2c)</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(e) Capital: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 Investments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 Net capital loss carry-forward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(99) Subtotal (2e1+2e2+2e3+2e4)</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(f) Statutory valuation allowance adjustment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(g) Nonadmitted</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(h) Admitted capital DTA (2e99-2f-2g)</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(i) Admitted deferred tax assets (2d+2h)</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106</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 Deferred Tax Liabilities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69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(a) Ordinary:</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 Investments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 Fixed assets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 Deferred and uncollected premiums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 Policyholder reserves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94"/>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(99) Subtotal (3a1+3a2+3a3+3a4+3a5)</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(b) Capital: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 Investments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 Real estate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 Other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4"/>
        </w:trPr>
        <w:tc>
          <w:tcPr>
            <w:tcW w:w="6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(99) Subtotal (3b1+3b2+3b3)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1"/>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(c) Deferred tax liabilities (3a99+3b99)</w:t>
            </w: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4. Net deferred tax assets/liabilities (2i -3c)</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Change in nonadmitted deferred tax assets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w w:val="92"/>
              </w:rPr>
              <w:t>(115)</w:t>
            </w:r>
          </w:p>
        </w:tc>
        <w:tc>
          <w:tcPr>
            <w:tcW w:w="0" w:type="dxa"/>
            <w:vAlign w:val="bottom"/>
          </w:tcPr>
          <w:p>
            <w:pPr>
              <w:spacing w:after="0"/>
              <w:rPr>
                <w:sz w:val="1"/>
                <w:szCs w:val="1"/>
                <w:color w:val="auto"/>
              </w:rPr>
            </w:pPr>
          </w:p>
        </w:tc>
      </w:tr>
      <w:tr>
        <w:trPr>
          <w:trHeight w:val="267"/>
        </w:trPr>
        <w:tc>
          <w:tcPr>
            <w:tcW w:w="69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Tax effect of unrealized gains (losses)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Change in net deferred tax assets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2"/>
              </w:rPr>
              <w:t>(139)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73" w:right="1440" w:bottom="0" w:gutter="0" w:footer="0" w:header="0"/>
        </w:sectPr>
      </w:pPr>
    </w:p>
    <w:bookmarkStart w:id="160" w:name="page161"/>
    <w:bookmarkEnd w:id="160"/>
    <w:p>
      <w:pPr>
        <w:ind w:left="412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330835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200" w:lineRule="exact"/>
        <w:rPr>
          <w:sz w:val="20"/>
          <w:szCs w:val="20"/>
          <w:color w:val="auto"/>
        </w:rPr>
      </w:pPr>
    </w:p>
    <w:p>
      <w:pPr>
        <w:spacing w:after="0" w:line="203" w:lineRule="exact"/>
        <w:rPr>
          <w:sz w:val="20"/>
          <w:szCs w:val="20"/>
          <w:color w:val="auto"/>
        </w:rPr>
      </w:pPr>
    </w:p>
    <w:p>
      <w:pPr>
        <w:jc w:val="right"/>
        <w:ind w:right="639"/>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2022</w:t>
        <w:tab/>
        <w:t>2021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24765</wp:posOffset>
            </wp:positionV>
            <wp:extent cx="8572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1" w:lineRule="exact"/>
        <w:rPr>
          <w:sz w:val="20"/>
          <w:szCs w:val="20"/>
          <w:color w:val="auto"/>
        </w:rPr>
      </w:pPr>
    </w:p>
    <w:p>
      <w:pPr>
        <w:ind w:left="260" w:hanging="148"/>
        <w:spacing w:after="0"/>
        <w:tabs>
          <w:tab w:leader="none" w:pos="2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Assets</w:t>
      </w:r>
    </w:p>
    <w:p>
      <w:pPr>
        <w:spacing w:after="0" w:line="95"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Ordinary:</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(1)</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Discounting of unpaid losses</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 Unearned premium reserve</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(3)</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reserves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(4)</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(5)</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(6)</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dividends accrual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(7) Fixed assets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(8)</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benefits accrual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 Pension accrual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(10) Receivables -nonadmitted</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(11) Net operating loss carryforward</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(12) Tax credit carryforwards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(13) Other</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90"/>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(99) Subtotal (sum of 2a1 through 2a13)</w:t>
            </w:r>
          </w:p>
        </w:tc>
        <w:tc>
          <w:tcPr>
            <w:tcW w:w="18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298</w:t>
            </w:r>
          </w:p>
        </w:tc>
        <w:tc>
          <w:tcPr>
            <w:tcW w:w="1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Statutory valuation allowance adjustment</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Nonadmitted</w:t>
            </w:r>
          </w:p>
        </w:tc>
        <w:tc>
          <w:tcPr>
            <w:tcW w:w="18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214</w:t>
            </w:r>
          </w:p>
        </w:tc>
        <w:tc>
          <w:tcPr>
            <w:tcW w:w="1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Admitted ordinary deferred tax assets (2a99 -2b -2c)</w:t>
            </w: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 Capital: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(1)</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(2)</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capital loss carry-forward</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 Real estate</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(4) Other</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(99) Subtotal (2e1+2e2+2e3+2e4)</w:t>
            </w:r>
          </w:p>
        </w:tc>
        <w:tc>
          <w:tcPr>
            <w:tcW w:w="18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 Statutory valuation allowance adjustment</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 Nonadmitted</w:t>
            </w: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 Admitted capital deferred tax assets (2e99-2f-2g)</w:t>
            </w: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 Admitted deferred tax assets (2d+2h)</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3. Deferred Tax Liabilities</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5080" w:type="dxa"/>
            <w:vAlign w:val="bottom"/>
            <w:gridSpan w:val="2"/>
            <w:vMerge w:val="continue"/>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Ordinary:</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(1)</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56"/>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 Fixed assets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(3)</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and uncollected premiums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(4)</w:t>
            </w: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reserves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(5) Other</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0"/>
        </w:trPr>
        <w:tc>
          <w:tcPr>
            <w:tcW w:w="5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(99) Subtotal (3a1+3a2+3a3+3a4+3a5)</w:t>
            </w:r>
          </w:p>
        </w:tc>
        <w:tc>
          <w:tcPr>
            <w:tcW w:w="1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Capital:</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Investments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 Real estate</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 Other</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(99) Subtotal (3b1+3b2+3b3)</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Deferred tax liabilities (3a99+3b99)</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 Net deferred tax assets/liabilities (2i -3c)</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Change in nonadmitted deferred tax assets</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116</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5080" w:type="dxa"/>
            <w:vAlign w:val="bottom"/>
            <w:gridSpan w:val="2"/>
            <w:vMerge w:val="continue"/>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effect of unrealized gains (losses)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net deferred tax assets</w:t>
            </w: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8" w:right="1440" w:bottom="0" w:gutter="0" w:footer="0" w:header="0"/>
        </w:sect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9019"/>
          </w:cols>
          <w:pgMar w:left="1440" w:top="108" w:right="1440" w:bottom="0" w:gutter="0" w:footer="0" w:header="0"/>
          <w:type w:val="continuous"/>
        </w:sectPr>
      </w:pPr>
    </w:p>
    <w:bookmarkStart w:id="161" w:name="page162"/>
    <w:bookmarkEnd w:id="161"/>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net operating loss carryforwards of the following at December 31, 2023 (in millions):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95"/>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 expiration</w:t>
            </w:r>
          </w:p>
        </w:tc>
        <w:tc>
          <w:tcPr>
            <w:tcW w:w="180" w:type="dxa"/>
            <w:vAlign w:val="bottom"/>
          </w:tcPr>
          <w:p>
            <w:pPr>
              <w:spacing w:after="0"/>
              <w:rPr>
                <w:sz w:val="16"/>
                <w:szCs w:val="16"/>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Operating Loss Carryforwards</w:t>
            </w:r>
          </w:p>
        </w:tc>
      </w:tr>
      <w:tr>
        <w:trPr>
          <w:trHeight w:val="25"/>
        </w:trPr>
        <w:tc>
          <w:tcPr>
            <w:tcW w:w="226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r>
      <w:tr>
        <w:trPr>
          <w:trHeight w:val="234"/>
        </w:trPr>
        <w:tc>
          <w:tcPr>
            <w:tcW w:w="2260" w:type="dxa"/>
            <w:vAlign w:val="bottom"/>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480" w:type="dxa"/>
            <w:vAlign w:val="bottom"/>
            <w:gridSpan w:val="2"/>
            <w:shd w:val="clear" w:color="auto" w:fill="F0FFFF"/>
          </w:tcPr>
          <w:p>
            <w:pPr>
              <w:jc w:val="right"/>
              <w:ind w:right="828"/>
              <w:spacing w:after="0"/>
              <w:rPr>
                <w:sz w:val="20"/>
                <w:szCs w:val="20"/>
                <w:color w:val="auto"/>
              </w:rPr>
            </w:pPr>
            <w:r>
              <w:rPr>
                <w:rFonts w:ascii="Times New Roman" w:cs="Times New Roman" w:eastAsia="Times New Roman" w:hAnsi="Times New Roman"/>
                <w:sz w:val="18"/>
                <w:szCs w:val="18"/>
                <w:color w:val="auto"/>
              </w:rPr>
              <w:t>$ 474</w:t>
            </w:r>
          </w:p>
        </w:tc>
      </w:tr>
      <w:tr>
        <w:trPr>
          <w:trHeight w:val="49"/>
        </w:trPr>
        <w:tc>
          <w:tcPr>
            <w:tcW w:w="2260" w:type="dxa"/>
            <w:vAlign w:val="bottom"/>
            <w:shd w:val="clear" w:color="auto" w:fill="F0FFFF"/>
          </w:tcPr>
          <w:p>
            <w:pPr>
              <w:spacing w:after="0"/>
              <w:rPr>
                <w:sz w:val="4"/>
                <w:szCs w:val="4"/>
                <w:color w:val="auto"/>
              </w:rPr>
            </w:pPr>
          </w:p>
        </w:tc>
        <w:tc>
          <w:tcPr>
            <w:tcW w:w="180" w:type="dxa"/>
            <w:vAlign w:val="bottom"/>
            <w:shd w:val="clear" w:color="auto" w:fill="F0FFFF"/>
          </w:tcPr>
          <w:p>
            <w:pPr>
              <w:spacing w:after="0"/>
              <w:rPr>
                <w:sz w:val="4"/>
                <w:szCs w:val="4"/>
                <w:color w:val="auto"/>
              </w:rPr>
            </w:pPr>
          </w:p>
        </w:tc>
        <w:tc>
          <w:tcPr>
            <w:tcW w:w="2300" w:type="dxa"/>
            <w:vAlign w:val="bottom"/>
            <w:shd w:val="clear" w:color="auto" w:fill="F0FFFF"/>
          </w:tcPr>
          <w:p>
            <w:pPr>
              <w:spacing w:after="0"/>
              <w:rPr>
                <w:sz w:val="4"/>
                <w:szCs w:val="4"/>
                <w:color w:val="auto"/>
              </w:rPr>
            </w:pPr>
          </w:p>
        </w:tc>
      </w:tr>
    </w:tbl>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capital loss carryforwards at December 31, 2023.</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tax credit carryforwards of the following at December 31, 2023 (in millions):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95"/>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 Expiration</w:t>
            </w:r>
          </w:p>
        </w:tc>
        <w:tc>
          <w:tcPr>
            <w:tcW w:w="180" w:type="dxa"/>
            <w:vAlign w:val="bottom"/>
          </w:tcPr>
          <w:p>
            <w:pPr>
              <w:spacing w:after="0"/>
              <w:rPr>
                <w:sz w:val="16"/>
                <w:szCs w:val="16"/>
                <w:color w:val="auto"/>
              </w:rPr>
            </w:pPr>
          </w:p>
        </w:tc>
        <w:tc>
          <w:tcPr>
            <w:tcW w:w="23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Tax Credit Carryforwards</w:t>
            </w:r>
          </w:p>
        </w:tc>
      </w:tr>
      <w:tr>
        <w:trPr>
          <w:trHeight w:val="26"/>
        </w:trPr>
        <w:tc>
          <w:tcPr>
            <w:tcW w:w="2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260" w:type="dxa"/>
            <w:vAlign w:val="bottom"/>
            <w:tcBorders>
              <w:bottom w:val="single" w:sz="8" w:color="F0FFFF"/>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2027-2031</w:t>
            </w:r>
          </w:p>
        </w:tc>
        <w:tc>
          <w:tcPr>
            <w:tcW w:w="1340" w:type="dxa"/>
            <w:vAlign w:val="bottom"/>
            <w:tcBorders>
              <w:bottom w:val="single" w:sz="8" w:color="F0FFFF"/>
            </w:tcBorders>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Borders>
              <w:bottom w:val="single" w:sz="8" w:color="F0FFFF"/>
            </w:tcBorders>
            <w:shd w:val="clear" w:color="auto" w:fill="F0FFFF"/>
          </w:tcPr>
          <w:p>
            <w:pPr>
              <w:spacing w:after="0"/>
              <w:rPr>
                <w:sz w:val="21"/>
                <w:szCs w:val="21"/>
                <w:color w:val="auto"/>
              </w:rPr>
            </w:pPr>
          </w:p>
        </w:tc>
      </w:tr>
      <w:tr>
        <w:trPr>
          <w:trHeight w:val="270"/>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2032-2033</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3"/>
                <w:szCs w:val="23"/>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24"/>
        </w:trPr>
        <w:tc>
          <w:tcPr>
            <w:tcW w:w="2260" w:type="dxa"/>
            <w:vAlign w:val="bottom"/>
            <w:shd w:val="clear" w:color="auto" w:fill="F0FFFF"/>
          </w:tcPr>
          <w:p>
            <w:pPr>
              <w:spacing w:after="0"/>
              <w:rPr>
                <w:sz w:val="24"/>
                <w:szCs w:val="24"/>
                <w:color w:val="auto"/>
              </w:rPr>
            </w:pPr>
          </w:p>
        </w:tc>
        <w:tc>
          <w:tcPr>
            <w:tcW w:w="134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shd w:val="clear" w:color="auto" w:fill="F0FFFF"/>
          </w:tcPr>
          <w:p>
            <w:pPr>
              <w:spacing w:after="0"/>
              <w:rPr>
                <w:sz w:val="24"/>
                <w:szCs w:val="24"/>
                <w:color w:val="auto"/>
              </w:rPr>
            </w:pPr>
          </w:p>
        </w:tc>
      </w:tr>
      <w:tr>
        <w:trPr>
          <w:trHeight w:val="21"/>
        </w:trPr>
        <w:tc>
          <w:tcPr>
            <w:tcW w:w="22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r>
    </w:tbl>
    <w:p>
      <w:pPr>
        <w:spacing w:after="0" w:line="90" w:lineRule="exact"/>
        <w:rPr>
          <w:sz w:val="20"/>
          <w:szCs w:val="20"/>
          <w:color w:val="auto"/>
        </w:rPr>
      </w:pPr>
    </w:p>
    <w:p>
      <w:pPr>
        <w:jc w:val="both"/>
        <w:ind w:left="120" w:right="720"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Federal income taxes available at December 31, 2023 for recoupment in the event of future net losses.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no deposits at December 31, 2023 under Section 6603 of the Code.</w:t>
      </w:r>
    </w:p>
    <w:p>
      <w:pPr>
        <w:spacing w:after="0" w:line="117" w:lineRule="exact"/>
        <w:rPr>
          <w:sz w:val="20"/>
          <w:szCs w:val="20"/>
          <w:color w:val="auto"/>
        </w:rPr>
      </w:pPr>
    </w:p>
    <w:p>
      <w:pPr>
        <w:jc w:val="both"/>
        <w:ind w:left="120" w:right="720" w:firstLine="360"/>
        <w:spacing w:after="0" w:line="261" w:lineRule="auto"/>
        <w:rPr>
          <w:sz w:val="20"/>
          <w:szCs w:val="20"/>
          <w:color w:val="auto"/>
        </w:rPr>
      </w:pPr>
      <w:r>
        <w:rPr>
          <w:rFonts w:ascii="Times New Roman" w:cs="Times New Roman" w:eastAsia="Times New Roman" w:hAnsi="Times New Roman"/>
          <w:sz w:val="18"/>
          <w:szCs w:val="18"/>
          <w:color w:val="auto"/>
        </w:rPr>
        <w:t>The provision for Federal income taxes incurred is different from that which would be obtained by applying the statutory Federal income tax rate to net gain from operations after dividends to policyholders and before Federal income tax. The significant items causing the difference for the years ended December 31, were as follows (in millions):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00" w:type="dxa"/>
            <w:vAlign w:val="bottom"/>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from operations after dividends to policyholders and before Federal income tax @ 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3"/>
                <w:szCs w:val="23"/>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gains (losses) @ 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52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Separate Account dividend received deduction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nonadmitted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 exempt income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Prior years adjustments and accruals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Interest maintenance reserve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Reinsurance Ceding Commission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Prior period adjustment in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statutory income taxes (benefit)</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w:t>
            </w:r>
          </w:p>
        </w:tc>
      </w:tr>
      <w:tr>
        <w:trPr>
          <w:trHeight w:val="20"/>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foreign income taxes incurred including tax on realized capital gains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$ 28</w:t>
            </w:r>
          </w:p>
        </w:tc>
      </w:tr>
      <w:tr>
        <w:trPr>
          <w:trHeight w:val="28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DTA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2"/>
              </w:rPr>
              <w:t>(117)</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Prior years adjustments in surplus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statutory income taxes (benefit)</w:t>
            </w: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w:t>
            </w:r>
          </w:p>
        </w:tc>
      </w:tr>
      <w:tr>
        <w:trPr>
          <w:trHeight w:val="21"/>
        </w:trPr>
        <w:tc>
          <w:tcPr>
            <w:tcW w:w="7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720" w:firstLine="360"/>
        <w:spacing w:after="0" w:line="256"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2017. Management believes it has established adequate tax liabilities, and final resolution of any audit for the years 2017 and forward is not expected to have a material impact on the Company’s financial statements.</w:t>
      </w:r>
    </w:p>
    <w:p>
      <w:pPr>
        <w:sectPr>
          <w:pgSz w:w="11900" w:h="16838" w:orient="portrait"/>
          <w:cols w:equalWidth="0" w:num="1">
            <w:col w:w="9100"/>
          </w:cols>
          <w:pgMar w:left="1440" w:top="1373" w:right="1359" w:bottom="569" w:gutter="0" w:footer="0" w:header="0"/>
        </w:sectPr>
      </w:pPr>
    </w:p>
    <w:p>
      <w:pPr>
        <w:spacing w:after="0" w:line="3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9100"/>
          </w:cols>
          <w:pgMar w:left="1440" w:top="1373" w:right="1359" w:bottom="569" w:gutter="0" w:footer="0" w:header="0"/>
          <w:type w:val="continuous"/>
        </w:sectPr>
      </w:pPr>
    </w:p>
    <w:bookmarkStart w:id="162" w:name="page163"/>
    <w:bookmarkEnd w:id="16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Consolidating Companies intend to join a tax sharing agreement (and related supplements) which allocates tax liability in accordance with the Internal Revenue Code, pursuant to which federal taxes are computed on a modified separate return basis with benefits for losses.</w:t>
      </w:r>
    </w:p>
    <w:p>
      <w:pPr>
        <w:spacing w:after="0" w:line="8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no liability for unrecognized tax benefits, computed in accordance with SSAP No. 5R, Liabilities, Contingencies, and Impairments of Assets (“SSAP 5R”). A reconciliation of the amount recorded for unrecognized tax benefits is as follows (in millions):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340" w:type="dxa"/>
            <w:vAlign w:val="bottom"/>
          </w:tcPr>
          <w:p>
            <w:pPr>
              <w:spacing w:after="0"/>
              <w:rPr>
                <w:sz w:val="16"/>
                <w:szCs w:val="16"/>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for tax positions of current year</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for tax positions of prior years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Lapses of statutes of limitations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Company’s liability for unrecognized tax benefits may increase or decrease in the next 12 months. A reasonable estimate of the increase or decrease cannot be made at this time.</w:t>
      </w:r>
    </w:p>
    <w:p>
      <w:pPr>
        <w:spacing w:after="0" w:line="54"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The Company recorded less than $1 million of interest expense (benefit) (net of Federal tax benefit (cost)) in Federal and foreign income taxes incurred, related to unrecognized tax benefits for the years ended December 31, 2023 and 2022. The company had less than $1 million accrued for the payment of interest at both December 31, 2023 and 2022.</w:t>
      </w:r>
    </w:p>
    <w:p>
      <w:pPr>
        <w:spacing w:after="0" w:line="72"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is a nonapplicable reporting entity for Corporate Alternative Minimum Tax (“CAMT”) purposes.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Borrowed Money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have borrowed money at December 31, 2023.</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Borrowed money at December 31, 2022 was as follows (in millions):</w:t>
      </w:r>
    </w:p>
    <w:p>
      <w:pPr>
        <w:spacing w:after="0" w:line="205"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Effective</w:t>
            </w:r>
          </w:p>
        </w:tc>
      </w:tr>
      <w:tr>
        <w:trPr>
          <w:trHeight w:val="175"/>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Issue</w:t>
            </w:r>
          </w:p>
        </w:tc>
        <w:tc>
          <w:tcPr>
            <w:tcW w:w="78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0" w:type="dxa"/>
            <w:vAlign w:val="bottom"/>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00" w:type="dxa"/>
            <w:vAlign w:val="bottom"/>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0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Debt Type</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22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7"/>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Affiliated Note</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Short-Term</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780" w:type="dxa"/>
            <w:vAlign w:val="bottom"/>
            <w:gridSpan w:val="2"/>
          </w:tcPr>
          <w:p>
            <w:pPr>
              <w:jc w:val="center"/>
              <w:ind w:left="144"/>
              <w:spacing w:after="0"/>
              <w:rPr>
                <w:sz w:val="20"/>
                <w:szCs w:val="20"/>
                <w:color w:val="auto"/>
              </w:rPr>
            </w:pPr>
            <w:r>
              <w:rPr>
                <w:rFonts w:ascii="Times New Roman" w:cs="Times New Roman" w:eastAsia="Times New Roman" w:hAnsi="Times New Roman"/>
                <w:sz w:val="16"/>
                <w:szCs w:val="16"/>
                <w:color w:val="auto"/>
                <w:w w:val="99"/>
              </w:rPr>
              <w:t>2023</w:t>
            </w:r>
          </w:p>
        </w:tc>
        <w:tc>
          <w:tcPr>
            <w:tcW w:w="800" w:type="dxa"/>
            <w:vAlign w:val="bottom"/>
            <w:gridSpan w:val="2"/>
          </w:tcPr>
          <w:p>
            <w:pPr>
              <w:jc w:val="center"/>
              <w:ind w:left="124"/>
              <w:spacing w:after="0"/>
              <w:rPr>
                <w:sz w:val="20"/>
                <w:szCs w:val="20"/>
                <w:color w:val="auto"/>
              </w:rPr>
            </w:pPr>
            <w:r>
              <w:rPr>
                <w:rFonts w:ascii="Times New Roman" w:cs="Times New Roman" w:eastAsia="Times New Roman" w:hAnsi="Times New Roman"/>
                <w:sz w:val="16"/>
                <w:szCs w:val="16"/>
                <w:color w:val="auto"/>
                <w:w w:val="99"/>
              </w:rPr>
              <w:t>$125</w:t>
            </w:r>
          </w:p>
        </w:tc>
        <w:tc>
          <w:tcPr>
            <w:tcW w:w="72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5.450%</w:t>
            </w:r>
          </w:p>
        </w:tc>
        <w:tc>
          <w:tcPr>
            <w:tcW w:w="700" w:type="dxa"/>
            <w:vAlign w:val="bottom"/>
            <w:gridSpan w:val="2"/>
          </w:tcPr>
          <w:p>
            <w:pPr>
              <w:jc w:val="center"/>
              <w:ind w:left="144"/>
              <w:spacing w:after="0"/>
              <w:rPr>
                <w:sz w:val="20"/>
                <w:szCs w:val="20"/>
                <w:color w:val="auto"/>
              </w:rPr>
            </w:pPr>
            <w:r>
              <w:rPr>
                <w:rFonts w:ascii="Times New Roman" w:cs="Times New Roman" w:eastAsia="Times New Roman" w:hAnsi="Times New Roman"/>
                <w:sz w:val="16"/>
                <w:szCs w:val="16"/>
                <w:color w:val="auto"/>
                <w:w w:val="99"/>
              </w:rPr>
              <w:t>$2</w:t>
            </w:r>
          </w:p>
        </w:tc>
        <w:tc>
          <w:tcPr>
            <w:tcW w:w="760" w:type="dxa"/>
            <w:vAlign w:val="bottom"/>
            <w:gridSpan w:val="2"/>
          </w:tcPr>
          <w:p>
            <w:pPr>
              <w:jc w:val="center"/>
              <w:ind w:left="144"/>
              <w:spacing w:after="0"/>
              <w:rPr>
                <w:sz w:val="20"/>
                <w:szCs w:val="20"/>
                <w:color w:val="auto"/>
              </w:rPr>
            </w:pPr>
            <w:r>
              <w:rPr>
                <w:rFonts w:ascii="Times New Roman" w:cs="Times New Roman" w:eastAsia="Times New Roman" w:hAnsi="Times New Roman"/>
                <w:sz w:val="16"/>
                <w:szCs w:val="16"/>
                <w:color w:val="auto"/>
              </w:rPr>
              <w:t>5.450%</w:t>
            </w:r>
          </w:p>
        </w:tc>
      </w:tr>
    </w:tbl>
    <w:p>
      <w:pPr>
        <w:spacing w:after="0" w:line="163" w:lineRule="exact"/>
        <w:rPr>
          <w:sz w:val="20"/>
          <w:szCs w:val="20"/>
          <w:color w:val="auto"/>
        </w:rPr>
      </w:pPr>
    </w:p>
    <w:p>
      <w:pPr>
        <w:ind w:left="480" w:right="879"/>
        <w:spacing w:after="0" w:line="282" w:lineRule="auto"/>
        <w:rPr>
          <w:sz w:val="20"/>
          <w:szCs w:val="20"/>
          <w:color w:val="auto"/>
        </w:rPr>
      </w:pPr>
      <w:r>
        <w:rPr>
          <w:rFonts w:ascii="Times New Roman" w:cs="Times New Roman" w:eastAsia="Times New Roman" w:hAnsi="Times New Roman"/>
          <w:sz w:val="18"/>
          <w:szCs w:val="18"/>
          <w:color w:val="auto"/>
        </w:rPr>
        <w:t>The Company issued the note in the table above to Brighthouse Holdings, LLC, its parent, in exchange for cash.</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Capital and Surplus</w:t>
      </w:r>
    </w:p>
    <w:p>
      <w:pPr>
        <w:spacing w:after="0" w:line="121"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portion of unassigned surplus (deficit) represented (or reduced) by each item below at December 31, was as follows (in millions):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6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Unrealized capital gains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r>
      <w:tr>
        <w:trPr>
          <w:trHeight w:val="28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Nonadmitted asset values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(103)</w:t>
            </w:r>
          </w:p>
        </w:tc>
      </w:tr>
      <w:tr>
        <w:trPr>
          <w:trHeight w:val="28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reinsurance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Asset valuation reserve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21"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Under New York State Insurance Law, the Company, without prior insurance regulatory clearance, to pay stockholder dividends to Brighthouse Insurance in any calendar year based on either of two standards. Under one standard, the Company is permitted, without prior insurance regulatory clearance, to pay dividends out of earned surplus (defined as positive</w:t>
      </w:r>
    </w:p>
    <w:p>
      <w:pPr>
        <w:sectPr>
          <w:pgSz w:w="11900" w:h="16838" w:orient="portrait"/>
          <w:cols w:equalWidth="0" w:num="1">
            <w:col w:w="9019"/>
          </w:cols>
          <w:pgMar w:left="1440" w:top="1373" w:right="1440" w:bottom="717" w:gutter="0" w:footer="0" w:header="0"/>
        </w:sectPr>
      </w:pPr>
    </w:p>
    <w:p>
      <w:pPr>
        <w:spacing w:after="0" w:line="35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9019"/>
          </w:cols>
          <w:pgMar w:left="1440" w:top="1373" w:right="1440" w:bottom="717" w:gutter="0" w:footer="0" w:header="0"/>
          <w:type w:val="continuous"/>
        </w:sectPr>
      </w:pPr>
    </w:p>
    <w:bookmarkStart w:id="163" w:name="page164"/>
    <w:bookmarkEnd w:id="16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82" w:lineRule="exact"/>
        <w:rPr>
          <w:sz w:val="20"/>
          <w:szCs w:val="20"/>
          <w:color w:val="auto"/>
        </w:rPr>
      </w:pPr>
    </w:p>
    <w:p>
      <w:pPr>
        <w:jc w:val="both"/>
        <w:ind w:left="120" w:right="639"/>
        <w:spacing w:after="0" w:line="252" w:lineRule="auto"/>
        <w:rPr>
          <w:sz w:val="20"/>
          <w:szCs w:val="20"/>
          <w:color w:val="auto"/>
        </w:rPr>
      </w:pPr>
      <w:r>
        <w:rPr>
          <w:rFonts w:ascii="Times New Roman" w:cs="Times New Roman" w:eastAsia="Times New Roman" w:hAnsi="Times New Roman"/>
          <w:sz w:val="18"/>
          <w:szCs w:val="18"/>
          <w:color w:val="auto"/>
        </w:rPr>
        <w:t>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the Company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the Company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the Company will be permitted to pay a dividend to Brighthouse Insurance in excess of the amounts allowed under both standards only if it files notice of its intention to declare such a dividend and the amount thereof with the New York Superintendent of Financial Services (the “Superintendent”) and the Superintendent either approves the distribution of the dividend or does not disapprove the dividend within 30 days of its filing. Based on amounts at December 31, 2023, the Company could pay its parent a stockholder dividend in 2024 of $81 million without required prior approval of the Superintendent.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Other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Insolvency Assessments</w:t>
      </w:r>
    </w:p>
    <w:p>
      <w:pPr>
        <w:spacing w:after="0" w:line="119"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Most of the jurisdictions in which the Company is admitted to transact business require life insurers doing business within the jurisdiction to participate in guaranty associations, which are organized to pay contractual benefits owed pursuant to insurance policies issued by impaired, insolvent or failed life insurers. These associations levy assessments, up to prescribed limits, on all member insurers in a particular state on the basis of the proportionate share of the premiums written by member insurers in the lines of business in which the impaired, insolvent or failed insurer engaged. Some states permit member insurers to recover assessments paid through full or partial premium tax offsets.</w:t>
      </w:r>
    </w:p>
    <w:p>
      <w:pPr>
        <w:spacing w:after="0" w:line="81"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New York, the only jurisdiction in which the Company is admitted to transact business requires life insurers doing business within the jurisdiction to participate in the New York Life Insurance Guaranty Corporation, which is organized to pay contractual benefits owed pursuant to insurance policies issued by impaired, insolvent or failed life insurers. This corporation levies assessments, up to prescribed limits, on all member insurers in the state on the basis of: (1) the proportionate share of the New York premiums written by member insurers in the lines of business in which the impaired, insolvent or failed insurer engaged and (2) the proportionate share of New York assets held by member insurers. The corporation permits member insurers to recover a limited portion of assessments paid through premium tax offsets.</w:t>
      </w:r>
    </w:p>
    <w:p>
      <w:pPr>
        <w:spacing w:after="0" w:line="84"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As of both December 31, 2023 and 2022, the Company had a liability for retrospective premium-based guaranty fund assessments and an asset for the related premium tax offset, each of less than $1 million. The periods over which the guaranty fund assessments are expected to be paid and the periods the related premium tax offsets are expected to be realized are unknown at this time.</w:t>
      </w:r>
    </w:p>
    <w:p>
      <w:pPr>
        <w:spacing w:after="0" w:line="72"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change in the guaranty asset balance is less than $1 million which reflects estimated premium tax offsets for Executive Life of New York based on revised estimated cost information provided by The National Organization of Life and Health Guaranty Associations.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assessments were levied against the Company for the year ended December 31, 2023, 2022, or 2021.</w:t>
      </w:r>
    </w:p>
    <w:p>
      <w:pPr>
        <w:spacing w:after="0" w:line="117"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It is possible that a large catastrophic event could render such guaranty funds inadequate and the Company may be called upon to contribute additional amounts, which may have a material impact on its financial condition or results of operations in a particular period. The Company has established liabilities for guaranty fund assessments which it considers adequate for assessments with respect to insurers that are currently subject to insolvency proceedings, but additional liabilities may be necessary.</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9019"/>
          </w:cols>
          <w:pgMar w:left="1440" w:top="1373" w:right="1440" w:bottom="1440" w:gutter="0" w:footer="0" w:header="0"/>
          <w:type w:val="continuous"/>
        </w:sectPr>
      </w:pPr>
    </w:p>
    <w:bookmarkStart w:id="164" w:name="page165"/>
    <w:bookmarkEnd w:id="16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19"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Practice Claims and Regulatory Matters. </w:t>
      </w:r>
      <w:r>
        <w:rPr>
          <w:rFonts w:ascii="Times New Roman" w:cs="Times New Roman" w:eastAsia="Times New Roman" w:hAnsi="Times New Roman"/>
          <w:sz w:val="18"/>
          <w:szCs w:val="18"/>
          <w:color w:val="auto"/>
        </w:rPr>
        <w:t>Over the past several years, the Company has faced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regulatory inquiries and investigations, alleging improper marketing or sales of individual life insurance policies, annuities, or products issued by the company. The Company vigorously defends against the claims in these matters.</w:t>
      </w:r>
    </w:p>
    <w:p>
      <w:pPr>
        <w:spacing w:after="0" w:line="72"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Various litigations, claims and assessments against the Company, in addition to those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and those otherwise provided for in the Company’s financial statements, have arisen in the course of the Company’s business, including, but not limited to, in connection with its activities as an insurer, investor or taxpayer. 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77"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large and/or indeterminate amounts, including punitive and treble damages, may be sought. Although, in light of these considerations, it is possible that an adverse outcome in certain cases could have a material effect upon the Company’s financial position, based on information currently known by the Company’s management, in its opinion, the outcomes of pending investigations and legal proceedings are not likely to have such an effect. However, given the large and/or indeterminate amounts that may be sought in certain of these matters and the inherent unpredictability of litigation, it is possible that an adverse outcome in certain matters could, from time to time, have a material effect on the Company’s net income or cash flows in any particular period.</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19" w:lineRule="exact"/>
        <w:rPr>
          <w:sz w:val="20"/>
          <w:szCs w:val="20"/>
          <w:color w:val="auto"/>
        </w:rPr>
      </w:pPr>
    </w:p>
    <w:p>
      <w:pPr>
        <w:jc w:val="both"/>
        <w:ind w:left="120" w:right="639" w:firstLine="360"/>
        <w:spacing w:after="0" w:line="272" w:lineRule="auto"/>
        <w:rPr>
          <w:sz w:val="20"/>
          <w:szCs w:val="20"/>
          <w:color w:val="auto"/>
        </w:rPr>
      </w:pPr>
      <w:r>
        <w:rPr>
          <w:rFonts w:ascii="Times New Roman" w:cs="Times New Roman" w:eastAsia="Times New Roman" w:hAnsi="Times New Roman"/>
          <w:sz w:val="17"/>
          <w:szCs w:val="17"/>
          <w:color w:val="auto"/>
        </w:rPr>
        <w:t>As with litigation and regulatory loss contingencies, the Company considers establishing liabilities for certain nonlitigation loss contingencies when assertions are made involving disputes or other matters with counterparties to contractual arrangements entered into by the Company, including with third-party vendors. The Company establishes liabilities for such non-litigation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Commitments to Fund Partnership Investments and Private Corporate Bond Investments</w:t>
      </w:r>
    </w:p>
    <w:p>
      <w:pPr>
        <w:spacing w:after="0" w:line="121"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makes commitments to fund partnership investments and to lend funds under private corporate bond investments in the normal course of business. The Company did not have unfunded commitments for the years ended December 31, 2023 and 2022.</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Mortgage Loan Commitments</w:t>
      </w:r>
    </w:p>
    <w:p>
      <w:pPr>
        <w:spacing w:after="0" w:line="121" w:lineRule="exact"/>
        <w:rPr>
          <w:sz w:val="20"/>
          <w:szCs w:val="20"/>
          <w:color w:val="auto"/>
        </w:rPr>
      </w:pPr>
    </w:p>
    <w:p>
      <w:pPr>
        <w:jc w:val="both"/>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Company did not have mortgage loan commitments for the years ended December 31, 2023 and 2022.</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9019"/>
          </w:cols>
          <w:pgMar w:left="1440" w:top="1373" w:right="1440" w:bottom="1440" w:gutter="0" w:footer="0" w:header="0"/>
          <w:type w:val="continuous"/>
        </w:sectPr>
      </w:pPr>
    </w:p>
    <w:bookmarkStart w:id="165" w:name="page166"/>
    <w:bookmarkEnd w:id="165"/>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480" w:right="1259"/>
        <w:spacing w:after="0" w:line="282" w:lineRule="auto"/>
        <w:rPr>
          <w:sz w:val="20"/>
          <w:szCs w:val="20"/>
          <w:color w:val="auto"/>
        </w:rPr>
      </w:pPr>
      <w:r>
        <w:rPr>
          <w:rFonts w:ascii="Times New Roman" w:cs="Times New Roman" w:eastAsia="Times New Roman" w:hAnsi="Times New Roman"/>
          <w:sz w:val="18"/>
          <w:szCs w:val="18"/>
          <w:color w:val="auto"/>
        </w:rPr>
        <w:t>At December 31, 2023, the Company was obligor under the following guarantees and indemnities (in millions):</w:t>
      </w:r>
    </w:p>
    <w:tbl>
      <w:tblPr>
        <w:tblLayout w:type="fixed"/>
        <w:tblInd w:w="130" w:type="dxa"/>
        <w:tblCellMar>
          <w:top w:w="0" w:type="dxa"/>
          <w:left w:w="0" w:type="dxa"/>
          <w:bottom w:w="0" w:type="dxa"/>
          <w:right w:w="0" w:type="dxa"/>
        </w:tblCellMar>
      </w:tblPr>
      <w:tr>
        <w:trPr>
          <w:trHeight w:val="217"/>
        </w:trPr>
        <w:tc>
          <w:tcPr>
            <w:tcW w:w="1860" w:type="dxa"/>
            <w:vAlign w:val="bottom"/>
            <w:tcBorders>
              <w:top w:val="single" w:sz="8" w:color="auto"/>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740" w:type="dxa"/>
            <w:vAlign w:val="bottom"/>
            <w:tcBorders>
              <w:top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780" w:type="dxa"/>
            <w:vAlign w:val="bottom"/>
            <w:tcBorders>
              <w:top w:val="single" w:sz="8" w:color="auto"/>
              <w:right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(4)</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r>
      <w:tr>
        <w:trPr>
          <w:trHeight w:val="23"/>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185"/>
        </w:trPr>
        <w:tc>
          <w:tcPr>
            <w:tcW w:w="1860" w:type="dxa"/>
            <w:vAlign w:val="bottom"/>
            <w:tcBorders>
              <w:left w:val="single" w:sz="8" w:color="auto"/>
              <w:right w:val="single" w:sz="8" w:color="auto"/>
            </w:tcBorders>
            <w:shd w:val="clear" w:color="auto" w:fill="F0FFFF"/>
          </w:tcPr>
          <w:p>
            <w:pPr>
              <w:spacing w:after="0"/>
              <w:rPr>
                <w:sz w:val="16"/>
                <w:szCs w:val="16"/>
                <w:color w:val="auto"/>
              </w:rPr>
            </w:pP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potential</w:t>
            </w:r>
          </w:p>
        </w:tc>
        <w:tc>
          <w:tcPr>
            <w:tcW w:w="1720" w:type="dxa"/>
            <w:vAlign w:val="bottom"/>
            <w:tcBorders>
              <w:right w:val="single" w:sz="8" w:color="auto"/>
            </w:tcBorders>
            <w:shd w:val="clear" w:color="auto" w:fill="F0FFFF"/>
          </w:tcPr>
          <w:p>
            <w:pPr>
              <w:spacing w:after="0"/>
              <w:rPr>
                <w:sz w:val="16"/>
                <w:szCs w:val="16"/>
                <w:color w:val="auto"/>
              </w:rPr>
            </w:pPr>
          </w:p>
        </w:tc>
      </w:tr>
      <w:tr>
        <w:trPr>
          <w:trHeight w:val="189"/>
        </w:trPr>
        <w:tc>
          <w:tcPr>
            <w:tcW w:w="1860" w:type="dxa"/>
            <w:vAlign w:val="bottom"/>
            <w:tcBorders>
              <w:left w:val="single" w:sz="8" w:color="auto"/>
              <w:right w:val="single" w:sz="8" w:color="auto"/>
            </w:tcBorders>
            <w:shd w:val="clear" w:color="auto" w:fill="F0FFFF"/>
          </w:tcPr>
          <w:p>
            <w:pPr>
              <w:spacing w:after="0"/>
              <w:rPr>
                <w:sz w:val="16"/>
                <w:szCs w:val="16"/>
                <w:color w:val="auto"/>
              </w:rPr>
            </w:pP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future</w:t>
            </w:r>
          </w:p>
        </w:tc>
        <w:tc>
          <w:tcPr>
            <w:tcW w:w="1720" w:type="dxa"/>
            <w:vAlign w:val="bottom"/>
            <w:tcBorders>
              <w:right w:val="single" w:sz="8" w:color="auto"/>
            </w:tcBorders>
            <w:shd w:val="clear" w:color="auto" w:fill="F0FFFF"/>
          </w:tcPr>
          <w:p>
            <w:pPr>
              <w:spacing w:after="0"/>
              <w:rPr>
                <w:sz w:val="16"/>
                <w:szCs w:val="16"/>
                <w:color w:val="auto"/>
              </w:rPr>
            </w:pPr>
          </w:p>
        </w:tc>
      </w:tr>
      <w:tr>
        <w:trPr>
          <w:trHeight w:val="176"/>
        </w:trPr>
        <w:tc>
          <w:tcPr>
            <w:tcW w:w="1860" w:type="dxa"/>
            <w:vAlign w:val="bottom"/>
            <w:tcBorders>
              <w:left w:val="single" w:sz="8" w:color="auto"/>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720" w:type="dxa"/>
            <w:vAlign w:val="bottom"/>
            <w:tcBorders>
              <w:right w:val="single" w:sz="8" w:color="auto"/>
            </w:tcBorders>
            <w:shd w:val="clear" w:color="auto" w:fill="F0FFFF"/>
          </w:tcPr>
          <w:p>
            <w:pPr>
              <w:spacing w:after="0"/>
              <w:rPr>
                <w:sz w:val="15"/>
                <w:szCs w:val="15"/>
                <w:color w:val="auto"/>
              </w:rPr>
            </w:pPr>
          </w:p>
        </w:tc>
      </w:tr>
      <w:tr>
        <w:trPr>
          <w:trHeight w:val="176"/>
        </w:trPr>
        <w:tc>
          <w:tcPr>
            <w:tcW w:w="1860" w:type="dxa"/>
            <w:vAlign w:val="bottom"/>
            <w:tcBorders>
              <w:left w:val="single" w:sz="8" w:color="auto"/>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recognition of</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(undiscounted) the</w:t>
            </w:r>
          </w:p>
        </w:tc>
        <w:tc>
          <w:tcPr>
            <w:tcW w:w="1720" w:type="dxa"/>
            <w:vAlign w:val="bottom"/>
            <w:tcBorders>
              <w:right w:val="single" w:sz="8" w:color="auto"/>
            </w:tcBorders>
            <w:shd w:val="clear" w:color="auto" w:fill="F0FFFF"/>
          </w:tcPr>
          <w:p>
            <w:pPr>
              <w:spacing w:after="0"/>
              <w:rPr>
                <w:sz w:val="15"/>
                <w:szCs w:val="15"/>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Nature and</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(Include</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guarantor could be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status of</w:t>
            </w: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circumstances of</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recognized at</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required to make under</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or performance</w:t>
            </w: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guarantee and key</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If no initial</w:t>
            </w:r>
          </w:p>
        </w:tc>
        <w:tc>
          <w:tcPr>
            <w:tcW w:w="15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Ultimate financial</w:t>
            </w: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guarantee. If unable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risk of guarantee. Also</w:t>
            </w: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attributes, including</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 document</w:t>
            </w:r>
          </w:p>
        </w:tc>
        <w:tc>
          <w:tcPr>
            <w:tcW w:w="15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impact if</w:t>
            </w: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to develop an estimate,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 additional</w:t>
            </w: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date and duration of</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 allowed under</w:t>
            </w:r>
          </w:p>
        </w:tc>
        <w:tc>
          <w:tcPr>
            <w:tcW w:w="15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under the</w:t>
            </w: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this should be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discussion as</w:t>
            </w:r>
          </w:p>
        </w:tc>
      </w:tr>
      <w:tr>
        <w:trPr>
          <w:trHeight w:val="219"/>
        </w:trPr>
        <w:tc>
          <w:tcPr>
            <w:tcW w:w="1860" w:type="dxa"/>
            <w:vAlign w:val="bottom"/>
            <w:tcBorders>
              <w:left w:val="single" w:sz="8" w:color="auto"/>
              <w:bottom w:val="single" w:sz="8" w:color="F0FFFF"/>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SSAP 5R.)</w:t>
            </w:r>
          </w:p>
        </w:tc>
        <w:tc>
          <w:tcPr>
            <w:tcW w:w="15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is required.</w:t>
            </w:r>
          </w:p>
        </w:tc>
        <w:tc>
          <w:tcPr>
            <w:tcW w:w="1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specifically noted.</w:t>
            </w:r>
          </w:p>
        </w:tc>
        <w:tc>
          <w:tcPr>
            <w:tcW w:w="17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warranted.</w:t>
            </w:r>
          </w:p>
        </w:tc>
      </w:tr>
      <w:tr>
        <w:trPr>
          <w:trHeight w:val="185"/>
        </w:trPr>
        <w:tc>
          <w:tcPr>
            <w:tcW w:w="1860" w:type="dxa"/>
            <w:vAlign w:val="bottom"/>
            <w:tcBorders>
              <w:top w:val="single" w:sz="8" w:color="auto"/>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 is</w:t>
            </w:r>
          </w:p>
        </w:tc>
        <w:tc>
          <w:tcPr>
            <w:tcW w:w="1740" w:type="dxa"/>
            <w:vAlign w:val="bottom"/>
            <w:tcBorders>
              <w:top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top w:val="single" w:sz="8" w:color="auto"/>
              <w:right w:val="single" w:sz="8" w:color="auto"/>
            </w:tcBorders>
          </w:tcPr>
          <w:p>
            <w:pPr>
              <w:spacing w:after="0"/>
              <w:rPr>
                <w:sz w:val="16"/>
                <w:szCs w:val="16"/>
                <w:color w:val="auto"/>
              </w:rPr>
            </w:pPr>
          </w:p>
        </w:tc>
      </w:tr>
      <w:tr>
        <w:trPr>
          <w:trHeight w:val="189"/>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obligated to indemnify</w:t>
            </w:r>
          </w:p>
        </w:tc>
        <w:tc>
          <w:tcPr>
            <w:tcW w:w="17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tcPr>
          <w:p>
            <w:pPr>
              <w:spacing w:after="0"/>
              <w:rPr>
                <w:sz w:val="16"/>
                <w:szCs w:val="16"/>
                <w:color w:val="auto"/>
              </w:rPr>
            </w:pPr>
          </w:p>
        </w:tc>
      </w:tr>
      <w:tr>
        <w:trPr>
          <w:trHeight w:val="175"/>
        </w:trPr>
        <w:tc>
          <w:tcPr>
            <w:tcW w:w="186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the proprietary mutual</w:t>
            </w:r>
          </w:p>
        </w:tc>
        <w:tc>
          <w:tcPr>
            <w:tcW w:w="17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tcPr>
          <w:p>
            <w:pPr>
              <w:spacing w:after="0"/>
              <w:rPr>
                <w:sz w:val="15"/>
                <w:szCs w:val="15"/>
                <w:color w:val="auto"/>
              </w:rPr>
            </w:pPr>
          </w:p>
        </w:tc>
      </w:tr>
      <w:tr>
        <w:trPr>
          <w:trHeight w:val="176"/>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fund, offered by the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Intercompany and</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tcPr>
          <w:p>
            <w:pPr>
              <w:spacing w:after="0"/>
              <w:rPr>
                <w:sz w:val="15"/>
                <w:szCs w:val="15"/>
                <w:color w:val="auto"/>
              </w:rPr>
            </w:pPr>
          </w:p>
        </w:tc>
      </w:tr>
      <w:tr>
        <w:trPr>
          <w:trHeight w:val="189"/>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Separate Accounts, and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party guarantees</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tcPr>
          <w:p>
            <w:pPr>
              <w:spacing w:after="0"/>
              <w:rPr>
                <w:sz w:val="16"/>
                <w:szCs w:val="16"/>
                <w:color w:val="auto"/>
              </w:rPr>
            </w:pPr>
          </w:p>
        </w:tc>
      </w:tr>
      <w:tr>
        <w:trPr>
          <w:trHeight w:val="176"/>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fund’s directors and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that are considered</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officers as provided 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“unlimited” and as such</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r>
      <w:tr>
        <w:trPr>
          <w:trHeight w:val="189"/>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certain Participation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 excluded from</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r>
      <w:tr>
        <w:trPr>
          <w:trHeight w:val="190"/>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r>
      <w:tr>
        <w:trPr>
          <w:trHeight w:val="23"/>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18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 has</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provided certain</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indemnities, guarantees</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and/or commitments to</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affiliates and third</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parties in the ordinary</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course of its business. In</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context of</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investments and other</w:t>
            </w:r>
          </w:p>
        </w:tc>
        <w:tc>
          <w:tcPr>
            <w:tcW w:w="1740" w:type="dxa"/>
            <w:vAlign w:val="bottom"/>
            <w:tcBorders>
              <w:right w:val="single" w:sz="8" w:color="auto"/>
            </w:tcBorders>
            <w:shd w:val="clear" w:color="auto" w:fill="F0FFFF"/>
          </w:tcPr>
          <w:p>
            <w:pPr>
              <w:spacing w:after="0"/>
              <w:rPr>
                <w:sz w:val="16"/>
                <w:szCs w:val="16"/>
                <w:color w:val="auto"/>
              </w:rPr>
            </w:pP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spacing w:after="0"/>
              <w:rPr>
                <w:sz w:val="16"/>
                <w:szCs w:val="16"/>
                <w:color w:val="auto"/>
              </w:rPr>
            </w:pPr>
          </w:p>
        </w:tc>
        <w:tc>
          <w:tcPr>
            <w:tcW w:w="1720" w:type="dxa"/>
            <w:vAlign w:val="bottom"/>
            <w:tcBorders>
              <w:right w:val="single" w:sz="8" w:color="auto"/>
            </w:tcBorders>
            <w:shd w:val="clear" w:color="auto" w:fill="F0FFFF"/>
          </w:tcPr>
          <w:p>
            <w:pPr>
              <w:spacing w:after="0"/>
              <w:rPr>
                <w:sz w:val="16"/>
                <w:szCs w:val="16"/>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transactions, the</w:t>
            </w:r>
          </w:p>
        </w:tc>
        <w:tc>
          <w:tcPr>
            <w:tcW w:w="1740" w:type="dxa"/>
            <w:vAlign w:val="bottom"/>
            <w:tcBorders>
              <w:right w:val="single" w:sz="8" w:color="auto"/>
            </w:tcBorders>
            <w:shd w:val="clear" w:color="auto" w:fill="F0FFFF"/>
          </w:tcPr>
          <w:p>
            <w:pPr>
              <w:spacing w:after="0"/>
              <w:rPr>
                <w:sz w:val="15"/>
                <w:szCs w:val="15"/>
                <w:color w:val="auto"/>
              </w:rPr>
            </w:pP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spacing w:after="0"/>
              <w:rPr>
                <w:sz w:val="15"/>
                <w:szCs w:val="15"/>
                <w:color w:val="auto"/>
              </w:rPr>
            </w:pPr>
          </w:p>
        </w:tc>
        <w:tc>
          <w:tcPr>
            <w:tcW w:w="1720" w:type="dxa"/>
            <w:vAlign w:val="bottom"/>
            <w:tcBorders>
              <w:right w:val="single" w:sz="8" w:color="auto"/>
            </w:tcBorders>
            <w:shd w:val="clear" w:color="auto" w:fill="F0FFFF"/>
          </w:tcPr>
          <w:p>
            <w:pPr>
              <w:spacing w:after="0"/>
              <w:rPr>
                <w:sz w:val="15"/>
                <w:szCs w:val="15"/>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Company has provided</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liability has been</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right w:val="single" w:sz="8" w:color="auto"/>
            </w:tcBorders>
            <w:shd w:val="clear" w:color="auto" w:fill="F0FFFF"/>
          </w:tcPr>
          <w:p>
            <w:pPr>
              <w:spacing w:after="0"/>
              <w:rPr>
                <w:sz w:val="15"/>
                <w:szCs w:val="15"/>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indemnities and</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established as the</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shd w:val="clear" w:color="auto" w:fill="F0FFFF"/>
          </w:tcPr>
          <w:p>
            <w:pPr>
              <w:spacing w:after="0"/>
              <w:rPr>
                <w:sz w:val="16"/>
                <w:szCs w:val="16"/>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guarantees that are</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 is for</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shd w:val="clear" w:color="auto" w:fill="F0FFFF"/>
          </w:tcPr>
          <w:p>
            <w:pPr>
              <w:spacing w:after="0"/>
              <w:rPr>
                <w:sz w:val="15"/>
                <w:szCs w:val="15"/>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triggered by, among</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events for which</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shd w:val="clear" w:color="auto" w:fill="F0FFFF"/>
          </w:tcPr>
          <w:p>
            <w:pPr>
              <w:spacing w:after="0"/>
              <w:rPr>
                <w:sz w:val="15"/>
                <w:szCs w:val="15"/>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other things, breaches of</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neither a probability of</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shd w:val="clear" w:color="auto" w:fill="F0FFFF"/>
          </w:tcPr>
          <w:p>
            <w:pPr>
              <w:spacing w:after="0"/>
              <w:rPr>
                <w:sz w:val="16"/>
                <w:szCs w:val="16"/>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representations,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occurrence nor a</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warranties or covenants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reasonable estimate can</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provided by the</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 established at this</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r>
      <w:tr>
        <w:trPr>
          <w:trHeight w:val="219"/>
        </w:trPr>
        <w:tc>
          <w:tcPr>
            <w:tcW w:w="1860" w:type="dxa"/>
            <w:vAlign w:val="bottom"/>
            <w:tcBorders>
              <w:left w:val="single" w:sz="8" w:color="auto"/>
              <w:bottom w:val="single" w:sz="8" w:color="F0FFFF"/>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5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r>
      <w:tr>
        <w:trPr>
          <w:trHeight w:val="185"/>
        </w:trPr>
        <w:tc>
          <w:tcPr>
            <w:tcW w:w="1860" w:type="dxa"/>
            <w:vAlign w:val="bottom"/>
            <w:tcBorders>
              <w:top w:val="single" w:sz="8" w:color="auto"/>
              <w:left w:val="single" w:sz="8" w:color="auto"/>
              <w:right w:val="single" w:sz="8" w:color="auto"/>
            </w:tcBorders>
          </w:tcPr>
          <w:p>
            <w:pPr>
              <w:spacing w:after="0"/>
              <w:rPr>
                <w:sz w:val="16"/>
                <w:szCs w:val="16"/>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 liability has been</w:t>
            </w:r>
          </w:p>
        </w:tc>
        <w:tc>
          <w:tcPr>
            <w:tcW w:w="158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top w:val="single" w:sz="8" w:color="auto"/>
              <w:right w:val="single" w:sz="8" w:color="auto"/>
            </w:tcBorders>
          </w:tcPr>
          <w:p>
            <w:pPr>
              <w:spacing w:after="0"/>
              <w:rPr>
                <w:sz w:val="16"/>
                <w:szCs w:val="16"/>
                <w:color w:val="auto"/>
              </w:rPr>
            </w:pP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established as the</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tcPr>
          <w:p>
            <w:pPr>
              <w:spacing w:after="0"/>
              <w:rPr>
                <w:sz w:val="16"/>
                <w:szCs w:val="16"/>
                <w:color w:val="auto"/>
              </w:rPr>
            </w:pPr>
          </w:p>
        </w:tc>
      </w:tr>
      <w:tr>
        <w:trPr>
          <w:trHeight w:val="175"/>
        </w:trPr>
        <w:tc>
          <w:tcPr>
            <w:tcW w:w="186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 is for</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tcPr>
          <w:p>
            <w:pPr>
              <w:spacing w:after="0"/>
              <w:rPr>
                <w:sz w:val="15"/>
                <w:szCs w:val="15"/>
                <w:color w:val="auto"/>
              </w:rPr>
            </w:pPr>
          </w:p>
        </w:tc>
      </w:tr>
      <w:tr>
        <w:trPr>
          <w:trHeight w:val="175"/>
        </w:trPr>
        <w:tc>
          <w:tcPr>
            <w:tcW w:w="186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events for which</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tcPr>
          <w:p>
            <w:pPr>
              <w:spacing w:after="0"/>
              <w:rPr>
                <w:sz w:val="15"/>
                <w:szCs w:val="15"/>
                <w:color w:val="auto"/>
              </w:rPr>
            </w:pPr>
          </w:p>
        </w:tc>
      </w:tr>
      <w:tr>
        <w:trPr>
          <w:trHeight w:val="176"/>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neither a probability of</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tcPr>
          <w:p>
            <w:pPr>
              <w:spacing w:after="0"/>
              <w:rPr>
                <w:sz w:val="15"/>
                <w:szCs w:val="15"/>
                <w:color w:val="auto"/>
              </w:rPr>
            </w:pPr>
          </w:p>
        </w:tc>
      </w:tr>
      <w:tr>
        <w:trPr>
          <w:trHeight w:val="189"/>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indemnifies its directors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occurrence nor a</w:t>
            </w: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and officers as provided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reasonable estimate can</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r>
      <w:tr>
        <w:trPr>
          <w:trHeight w:val="175"/>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 its charters and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established at this</w:t>
            </w:r>
          </w:p>
        </w:tc>
        <w:tc>
          <w:tcPr>
            <w:tcW w:w="15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r>
      <w:tr>
        <w:trPr>
          <w:trHeight w:val="204"/>
        </w:trPr>
        <w:tc>
          <w:tcPr>
            <w:tcW w:w="1860" w:type="dxa"/>
            <w:vAlign w:val="bottom"/>
            <w:tcBorders>
              <w:left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by-laws.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185"/>
        </w:trPr>
        <w:tc>
          <w:tcPr>
            <w:tcW w:w="1860" w:type="dxa"/>
            <w:vAlign w:val="bottom"/>
            <w:tcBorders>
              <w:left w:val="single" w:sz="8" w:color="auto"/>
              <w:right w:val="single" w:sz="8" w:color="auto"/>
            </w:tcBorders>
            <w:shd w:val="clear" w:color="auto" w:fill="F0FFFF"/>
          </w:tcPr>
          <w:p>
            <w:pPr>
              <w:spacing w:after="0"/>
              <w:rPr>
                <w:sz w:val="16"/>
                <w:szCs w:val="16"/>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liability has been</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Since this obligation is</w:t>
            </w:r>
          </w:p>
        </w:tc>
        <w:tc>
          <w:tcPr>
            <w:tcW w:w="1720" w:type="dxa"/>
            <w:vAlign w:val="bottom"/>
            <w:tcBorders>
              <w:right w:val="single" w:sz="8" w:color="auto"/>
            </w:tcBorders>
            <w:shd w:val="clear" w:color="auto" w:fill="F0FFFF"/>
          </w:tcPr>
          <w:p>
            <w:pPr>
              <w:spacing w:after="0"/>
              <w:rPr>
                <w:sz w:val="16"/>
                <w:szCs w:val="16"/>
                <w:color w:val="auto"/>
              </w:rPr>
            </w:pPr>
          </w:p>
        </w:tc>
      </w:tr>
      <w:tr>
        <w:trPr>
          <w:trHeight w:val="189"/>
        </w:trPr>
        <w:tc>
          <w:tcPr>
            <w:tcW w:w="1860" w:type="dxa"/>
            <w:vAlign w:val="bottom"/>
            <w:tcBorders>
              <w:left w:val="single" w:sz="8" w:color="auto"/>
              <w:right w:val="single" w:sz="8" w:color="auto"/>
            </w:tcBorders>
            <w:shd w:val="clear" w:color="auto" w:fill="F0FFFF"/>
          </w:tcPr>
          <w:p>
            <w:pPr>
              <w:spacing w:after="0"/>
              <w:rPr>
                <w:sz w:val="16"/>
                <w:szCs w:val="16"/>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established as the</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1720" w:type="dxa"/>
            <w:vAlign w:val="bottom"/>
            <w:tcBorders>
              <w:right w:val="single" w:sz="8" w:color="auto"/>
            </w:tcBorders>
            <w:shd w:val="clear" w:color="auto" w:fill="F0FFFF"/>
          </w:tcPr>
          <w:p>
            <w:pPr>
              <w:spacing w:after="0"/>
              <w:rPr>
                <w:sz w:val="16"/>
                <w:szCs w:val="16"/>
                <w:color w:val="auto"/>
              </w:rPr>
            </w:pPr>
          </w:p>
        </w:tc>
      </w:tr>
      <w:tr>
        <w:trPr>
          <w:trHeight w:val="175"/>
        </w:trPr>
        <w:tc>
          <w:tcPr>
            <w:tcW w:w="1860" w:type="dxa"/>
            <w:vAlign w:val="bottom"/>
            <w:tcBorders>
              <w:left w:val="single" w:sz="8" w:color="auto"/>
              <w:right w:val="single" w:sz="8" w:color="auto"/>
            </w:tcBorders>
            <w:shd w:val="clear" w:color="auto" w:fill="F0FFFF"/>
          </w:tcPr>
          <w:p>
            <w:pPr>
              <w:spacing w:after="0"/>
              <w:rPr>
                <w:sz w:val="15"/>
                <w:szCs w:val="15"/>
                <w:color w:val="auto"/>
              </w:rPr>
            </w:pP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 is for</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limitations, the Company</w:t>
            </w:r>
          </w:p>
        </w:tc>
        <w:tc>
          <w:tcPr>
            <w:tcW w:w="1720" w:type="dxa"/>
            <w:vAlign w:val="bottom"/>
            <w:tcBorders>
              <w:right w:val="single" w:sz="8" w:color="auto"/>
            </w:tcBorders>
            <w:shd w:val="clear" w:color="auto" w:fill="F0FFFF"/>
          </w:tcPr>
          <w:p>
            <w:pPr>
              <w:spacing w:after="0"/>
              <w:rPr>
                <w:sz w:val="15"/>
                <w:szCs w:val="15"/>
                <w:color w:val="auto"/>
              </w:rPr>
            </w:pPr>
          </w:p>
        </w:tc>
      </w:tr>
      <w:tr>
        <w:trPr>
          <w:trHeight w:val="176"/>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events for which</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does not believe that it is</w:t>
            </w:r>
          </w:p>
        </w:tc>
        <w:tc>
          <w:tcPr>
            <w:tcW w:w="1720" w:type="dxa"/>
            <w:vAlign w:val="bottom"/>
            <w:tcBorders>
              <w:right w:val="single" w:sz="8" w:color="auto"/>
            </w:tcBorders>
            <w:shd w:val="clear" w:color="auto" w:fill="F0FFFF"/>
          </w:tcPr>
          <w:p>
            <w:pPr>
              <w:spacing w:after="0"/>
              <w:rPr>
                <w:sz w:val="15"/>
                <w:szCs w:val="15"/>
                <w:color w:val="auto"/>
              </w:rPr>
            </w:pP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indemnifies its agents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neither a probability of</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possible to determine</w:t>
            </w:r>
          </w:p>
        </w:tc>
        <w:tc>
          <w:tcPr>
            <w:tcW w:w="1720" w:type="dxa"/>
            <w:vAlign w:val="bottom"/>
            <w:tcBorders>
              <w:right w:val="single" w:sz="8" w:color="auto"/>
            </w:tcBorders>
            <w:shd w:val="clear" w:color="auto" w:fill="F0FFFF"/>
          </w:tcPr>
          <w:p>
            <w:pPr>
              <w:spacing w:after="0"/>
              <w:rPr>
                <w:sz w:val="16"/>
                <w:szCs w:val="16"/>
                <w:color w:val="auto"/>
              </w:rPr>
            </w:pP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for liabilities incurred as</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occurrence nor a</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maximum potential</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has made</w:t>
            </w:r>
          </w:p>
        </w:tc>
      </w:tr>
      <w:tr>
        <w:trPr>
          <w:trHeight w:val="175"/>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 result of their</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reasonable estimate can</w:t>
            </w:r>
          </w:p>
        </w:tc>
        <w:tc>
          <w:tcPr>
            <w:tcW w:w="1580" w:type="dxa"/>
            <w:vAlign w:val="bottom"/>
            <w:tcBorders>
              <w:right w:val="single" w:sz="8" w:color="auto"/>
            </w:tcBorders>
            <w:shd w:val="clear" w:color="auto" w:fill="F0FFFF"/>
          </w:tcPr>
          <w:p>
            <w:pPr>
              <w:spacing w:after="0"/>
              <w:rPr>
                <w:sz w:val="15"/>
                <w:szCs w:val="15"/>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that could</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no payments on the</w:t>
            </w:r>
          </w:p>
        </w:tc>
      </w:tr>
      <w:tr>
        <w:trPr>
          <w:trHeight w:val="189"/>
        </w:trPr>
        <w:tc>
          <w:tcPr>
            <w:tcW w:w="1860" w:type="dxa"/>
            <w:vAlign w:val="bottom"/>
            <w:tcBorders>
              <w:left w:val="single" w:sz="8" w:color="auto"/>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representation of the</w:t>
            </w:r>
          </w:p>
        </w:tc>
        <w:tc>
          <w:tcPr>
            <w:tcW w:w="174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 established at this</w:t>
            </w:r>
          </w:p>
        </w:tc>
        <w:tc>
          <w:tcPr>
            <w:tcW w:w="1580" w:type="dxa"/>
            <w:vAlign w:val="bottom"/>
            <w:tcBorders>
              <w:right w:val="single" w:sz="8" w:color="auto"/>
            </w:tcBorders>
            <w:shd w:val="clear" w:color="auto" w:fill="F0FFFF"/>
          </w:tcPr>
          <w:p>
            <w:pPr>
              <w:spacing w:after="0"/>
              <w:rPr>
                <w:sz w:val="16"/>
                <w:szCs w:val="16"/>
                <w:color w:val="auto"/>
              </w:rPr>
            </w:pPr>
          </w:p>
        </w:tc>
        <w:tc>
          <w:tcPr>
            <w:tcW w:w="17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become due under these</w:t>
            </w:r>
          </w:p>
        </w:tc>
        <w:tc>
          <w:tcPr>
            <w:tcW w:w="17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 since</w:t>
            </w:r>
          </w:p>
        </w:tc>
      </w:tr>
      <w:tr>
        <w:trPr>
          <w:trHeight w:val="219"/>
        </w:trPr>
        <w:tc>
          <w:tcPr>
            <w:tcW w:w="1860" w:type="dxa"/>
            <w:vAlign w:val="bottom"/>
            <w:tcBorders>
              <w:left w:val="single" w:sz="8" w:color="auto"/>
              <w:bottom w:val="single" w:sz="8" w:color="F0FFFF"/>
              <w:right w:val="single" w:sz="8" w:color="auto"/>
            </w:tcBorders>
            <w:shd w:val="clear" w:color="auto" w:fill="F0FF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Company’s interests.</w:t>
            </w:r>
          </w:p>
        </w:tc>
        <w:tc>
          <w:tcPr>
            <w:tcW w:w="174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5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guarantees in the future.</w:t>
            </w:r>
          </w:p>
        </w:tc>
        <w:tc>
          <w:tcPr>
            <w:tcW w:w="17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w:t>
            </w:r>
          </w:p>
        </w:tc>
      </w:tr>
      <w:tr>
        <w:trPr>
          <w:trHeight w:val="220"/>
        </w:trPr>
        <w:tc>
          <w:tcPr>
            <w:tcW w:w="1860" w:type="dxa"/>
            <w:vAlign w:val="bottom"/>
            <w:tcBorders>
              <w:top w:val="single" w:sz="8" w:color="auto"/>
              <w:left w:val="single" w:sz="8" w:color="auto"/>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6"/>
                <w:szCs w:val="16"/>
                <w:color w:val="auto"/>
                <w:w w:val="94"/>
              </w:rPr>
              <w:t>Total</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Borders>
              <w:top w:val="single" w:sz="8" w:color="auto"/>
              <w:bottom w:val="single" w:sz="8" w:color="auto"/>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tcBorders>
              <w:top w:val="single" w:sz="8" w:color="auto"/>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-7150735</wp:posOffset>
            </wp:positionV>
            <wp:extent cx="5494655"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9465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-5813425</wp:posOffset>
            </wp:positionV>
            <wp:extent cx="5494655" cy="1071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94655" cy="107188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-2298700</wp:posOffset>
            </wp:positionV>
            <wp:extent cx="5494655" cy="1071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94655" cy="107188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-155575</wp:posOffset>
            </wp:positionV>
            <wp:extent cx="5494655"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94655" cy="145415"/>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December 31, 2023, the Company’s aggregate compilation of guarantee obligations was $0.</w:t>
      </w:r>
    </w:p>
    <w:p>
      <w:pPr>
        <w:sectPr>
          <w:pgSz w:w="11900" w:h="16838" w:orient="portrait"/>
          <w:cols w:equalWidth="0" w:num="1">
            <w:col w:w="9019"/>
          </w:cols>
          <w:pgMar w:left="1440" w:top="1373" w:right="1440" w:bottom="582" w:gutter="0" w:footer="0" w:header="0"/>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9019"/>
          </w:cols>
          <w:pgMar w:left="1440" w:top="1373" w:right="1440" w:bottom="582" w:gutter="0" w:footer="0" w:header="0"/>
          <w:type w:val="continuous"/>
        </w:sectPr>
      </w:pPr>
    </w:p>
    <w:bookmarkStart w:id="166" w:name="page167"/>
    <w:bookmarkEnd w:id="166"/>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NY</w:t>
      </w:r>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Statutory Financial Statements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Retained Assets</w:t>
      </w:r>
    </w:p>
    <w:p>
      <w:pPr>
        <w:spacing w:after="0" w:line="12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The Company’s retained asset account, known as the Total Control Account (“TCA”), was a settlement option or method of payment that was used for amounts due under life insurance and annuity contracts. TCAs are no longer offered as a settlement option and only existing TCAs remain. The TCA Customer Agreement provided to each accountholder is a contract that is supplementary to the insurance or annuity contract. TCAs are reported in the Annual Statement as amounts on deposit for ordinary supplementary contracts not involving life contingencies.</w:t>
      </w:r>
    </w:p>
    <w:p>
      <w:pPr>
        <w:spacing w:after="0" w:line="79"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Each TCA has a guaranteed minimum annual effective interest rate. Guaranteed minimum interest rates for TCAs that remained open during calendar year 2023 were 3.0%, 1.5% or 0.5% depending on the age and origin of the account. In addition to the guaranteed minimum interest rate, the Company also agrees in the TCA Customer Agreement to credit interest at rates that will always be the greater of the guaranteed rate or the rate established by one of two market indices. During calendar year 2023, all TCAs received interest of at least the account’s guaranteed minimum annual effective interest rate.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TCA business is 100% reinsured with MetLife Services and Solutions, LLC.</w:t>
      </w:r>
    </w:p>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Company’s TCA in-force, categorized by age, at December 31, were as follows (in millions, except number of asset accounts):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36"/>
        </w:trPr>
        <w:tc>
          <w:tcPr>
            <w:tcW w:w="5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6"/>
        </w:trPr>
        <w:tc>
          <w:tcPr>
            <w:tcW w:w="5920" w:type="dxa"/>
            <w:vAlign w:val="bottom"/>
          </w:tcPr>
          <w:p>
            <w:pPr>
              <w:spacing w:after="0"/>
              <w:rPr>
                <w:sz w:val="20"/>
                <w:szCs w:val="20"/>
                <w:color w:val="auto"/>
              </w:rPr>
            </w:pPr>
          </w:p>
        </w:tc>
        <w:tc>
          <w:tcPr>
            <w:tcW w:w="2360" w:type="dxa"/>
            <w:vAlign w:val="bottom"/>
            <w:gridSpan w:val="18"/>
          </w:tcPr>
          <w:p>
            <w:pPr>
              <w:ind w:left="20"/>
              <w:spacing w:after="0"/>
              <w:rPr>
                <w:sz w:val="20"/>
                <w:szCs w:val="20"/>
                <w:color w:val="auto"/>
              </w:rPr>
            </w:pPr>
            <w:r>
              <w:rPr>
                <w:rFonts w:ascii="Times New Roman" w:cs="Times New Roman" w:eastAsia="Times New Roman" w:hAnsi="Times New Roman"/>
                <w:sz w:val="14"/>
                <w:szCs w:val="14"/>
                <w:b w:val="1"/>
                <w:bCs w:val="1"/>
                <w:color w:val="auto"/>
              </w:rPr>
              <w:t>Number  Balance  Number Balance</w:t>
            </w:r>
          </w:p>
        </w:tc>
      </w:tr>
      <w:tr>
        <w:trPr>
          <w:trHeight w:val="26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Up to and including 12 Months</w:t>
            </w: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r>
      <w:tr>
        <w:trPr>
          <w:trHeight w:val="28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13 to 24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37 to 48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49 to 60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Over 60 Months</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42</w:t>
            </w:r>
          </w:p>
        </w:tc>
        <w:tc>
          <w:tcPr>
            <w:tcW w:w="300" w:type="dxa"/>
            <w:vAlign w:val="bottom"/>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TCA for the year ended December 31, 2023 was as follows (in millions, except number of asset accounts):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Individual</w:t>
            </w:r>
          </w:p>
        </w:tc>
      </w:tr>
      <w:tr>
        <w:trPr>
          <w:trHeight w:val="190"/>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5"/>
        </w:trPr>
        <w:tc>
          <w:tcPr>
            <w:tcW w:w="7100" w:type="dxa"/>
            <w:vAlign w:val="bottom"/>
          </w:tcPr>
          <w:p>
            <w:pPr>
              <w:spacing w:after="0"/>
              <w:rPr>
                <w:sz w:val="16"/>
                <w:szCs w:val="16"/>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r>
      <w:tr>
        <w:trPr>
          <w:trHeight w:val="268"/>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3"/>
                <w:szCs w:val="23"/>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Accounts issued/added</w:t>
            </w:r>
          </w:p>
        </w:tc>
        <w:tc>
          <w:tcPr>
            <w:tcW w:w="12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8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earnings credited</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Fees and other charges assessed*</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8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to state unclaimed property funds</w:t>
            </w:r>
          </w:p>
        </w:tc>
        <w:tc>
          <w:tcPr>
            <w:tcW w:w="12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9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Closed/withdrawn</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End of year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*Fees and other charges assessed may also include other account adjustments.</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subsequent to December 31, 2023 through March 25, 2024 which is the date these financial statements were available to be issued, and has determined there are no material subsequent events requiring adjustment to or disclosure in the financial statements.</w:t>
      </w:r>
    </w:p>
    <w:p>
      <w:pPr>
        <w:sectPr>
          <w:pgSz w:w="11900" w:h="16838" w:orient="portrait"/>
          <w:cols w:equalWidth="0" w:num="1">
            <w:col w:w="9019"/>
          </w:cols>
          <w:pgMar w:left="1440" w:top="1373" w:right="1440" w:bottom="1440" w:gutter="0" w:footer="0" w:header="0"/>
        </w:sectPr>
      </w:pPr>
    </w:p>
    <w:p>
      <w:pPr>
        <w:spacing w:after="0" w:line="3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9019"/>
          </w:cols>
          <w:pgMar w:left="1440" w:top="1373" w:right="1440" w:bottom="1440" w:gutter="0" w:footer="0" w:header="0"/>
          <w:type w:val="continuous"/>
        </w:sectPr>
      </w:pPr>
    </w:p>
    <w:bookmarkStart w:id="167" w:name="page168"/>
    <w:bookmarkEnd w:id="16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 of and for the Year Ended December 31, 2023</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Investment Income Earned</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government bonds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4,686,509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bonds (unaffiliated)</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64,133,188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Bonds of affiliates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stocks (unaffiliated)</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stocks of affiliates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stocks (unaffiliated)</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stocks of affiliates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Mortgage loans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8,922,729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Contract loans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21,653,395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Derivative instruments</w:t>
            </w:r>
          </w:p>
        </w:tc>
        <w:tc>
          <w:tcPr>
            <w:tcW w:w="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(89,011,308)</w:t>
            </w: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invested assets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4,133,631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Aggregate write-ins for investment income</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investment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14,528,236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Real Estate Owned - Book Value Less Encumbrances</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4"/>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Mortgage Loans - Book Value</w:t>
            </w: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Agricultural mortgages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46,216,034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Residential mortgages</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 mortgages</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182,012,977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mortgage loans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228,229,011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Mortgage Loans by Standing - Book Value</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7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 standing</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228,229,011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Good standing with restructured terms</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Interest overdue more than three months, not in foreclosure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Foreclosure in process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Long Term Invested Assets - Statement Value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380" w:type="dxa"/>
            <w:vAlign w:val="bottom"/>
            <w:vMerge w:val="continue"/>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36,174,700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Bonds and Stocks of Parents, Subsidiaries and Affiliates - Book Value:</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7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Bonds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Preferred Stocks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Common Stocks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8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Bonds by Class and Maturity: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9"/>
        </w:trPr>
        <w:tc>
          <w:tcPr>
            <w:tcW w:w="7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Bonds by Maturity - Statement Value</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Due within one year or less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59,057,338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1 year through 5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638,951,169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5 years through 10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348,240,819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10 years through 20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324,586,182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Over 20 years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429,208,090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 maturity date</w:t>
            </w:r>
          </w:p>
        </w:tc>
        <w:tc>
          <w:tcPr>
            <w:tcW w:w="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by Maturity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1,800,043,598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596" w:gutter="0" w:footer="0" w:header="0"/>
        </w:sectPr>
      </w:pPr>
    </w:p>
    <w:p>
      <w:pPr>
        <w:spacing w:after="0" w:line="1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9019"/>
          </w:cols>
          <w:pgMar w:left="1440" w:top="1373" w:right="1440" w:bottom="596" w:gutter="0" w:footer="0" w:header="0"/>
          <w:type w:val="continuous"/>
        </w:sectPr>
      </w:pPr>
    </w:p>
    <w:bookmarkStart w:id="168" w:name="page169"/>
    <w:bookmarkEnd w:id="168"/>
    <w:tbl>
      <w:tblPr>
        <w:tblLayout w:type="fixed"/>
        <w:tblInd w:w="120" w:type="dxa"/>
        <w:tblCellMar>
          <w:top w:w="0" w:type="dxa"/>
          <w:left w:w="0" w:type="dxa"/>
          <w:bottom w:w="0" w:type="dxa"/>
          <w:right w:w="0" w:type="dxa"/>
        </w:tblCellMar>
      </w:tblPr>
      <w:tr>
        <w:trPr>
          <w:trHeight w:val="216"/>
        </w:trPr>
        <w:tc>
          <w:tcPr>
            <w:tcW w:w="71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NEW YORK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Bond by Class - Statement Value</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1,249,308,482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517,566,289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3</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18,654,140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4</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11,489,756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5</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3,024,931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6</w:t>
            </w:r>
          </w:p>
        </w:tc>
        <w:tc>
          <w:tcPr>
            <w:tcW w:w="10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by Class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1,800,043,598</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Bonds Publicly Traded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1,260,648,371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Bonds Privately Placed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539,395,227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Stocks - Book/Adjusted Carrying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Stocks -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Investments - Book/Adjusted Carrying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Caps and Floors Owned - Book/Adjusted Carrying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126,171,957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Caps and Floors Written and In-force - Book/Adjusted Carrying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(10,081,000)</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Collar, Swap and Forward Agreements Open - Book/Adjusted Carrying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10,802,613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Futures Contracts Open - Book/Adjusted Carrying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on Deposit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237,515,240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Life Insurance In-Force (000’s)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535,208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Group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Accidental Death Insurance In-Force Under Ordinary Policies (000’s)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Life Insurance Policies with Disability Provisions In-Force (000’s)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4,284,173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Group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7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9019"/>
          </w:cols>
          <w:pgMar w:left="1440" w:top="1373" w:right="1440" w:bottom="1440" w:gutter="0" w:footer="0" w:header="0"/>
          <w:type w:val="continuous"/>
        </w:sectPr>
      </w:pPr>
    </w:p>
    <w:bookmarkStart w:id="169" w:name="page170"/>
    <w:bookmarkEnd w:id="169"/>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Ordinary - Not Involving Life Contingencies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on Deposit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14,101,457</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2,728,069</w:t>
            </w: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Ordinary - Involving Life Contingencies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8,952,648</w:t>
            </w: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Group - Not Involving Life Contingencies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on Deposit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Group - Involving Life Contingencies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Annuities: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Immediate - Amount of 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12,101,587</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 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594,382,003</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 Not 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9,391,205,660</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of Income Payable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Fully Paid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 - Premiums In-Force: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Group</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Deposit Funds and Dividend Accumulations: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 Funds -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 Accumulations - Account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9019"/>
          </w:cols>
          <w:pgMar w:left="1440" w:top="1373" w:right="1440" w:bottom="1440" w:gutter="0" w:footer="0" w:header="0"/>
          <w:type w:val="continuous"/>
        </w:sectPr>
      </w:pPr>
    </w:p>
    <w:bookmarkStart w:id="170" w:name="page171"/>
    <w:bookmarkEnd w:id="170"/>
    <w:tbl>
      <w:tblPr>
        <w:tblLayout w:type="fixed"/>
        <w:tblInd w:w="120" w:type="dxa"/>
        <w:tblCellMar>
          <w:top w:w="0" w:type="dxa"/>
          <w:left w:w="0" w:type="dxa"/>
          <w:bottom w:w="0" w:type="dxa"/>
          <w:right w:w="0" w:type="dxa"/>
        </w:tblCellMar>
      </w:tblPr>
      <w:tr>
        <w:trPr>
          <w:trHeight w:val="216"/>
        </w:trPr>
        <w:tc>
          <w:tcPr>
            <w:tcW w:w="79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NEW YORK</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 – STATUTORY SELECTED FINANCIAL DATA</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As of and for the Year Ended December 31, 2023</w:t>
            </w:r>
          </w:p>
        </w:tc>
        <w:tc>
          <w:tcPr>
            <w:tcW w:w="4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 Payments For The Year Ended December 31, 2023 (000’s):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 Accident and Health</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79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Prior</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 Accident &amp; Health</w:t>
            </w: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Prior</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 Coverages that use developmental methods to calculate claim reserves</w:t>
            </w: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w:t>
            </w:r>
          </w:p>
        </w:tc>
        <w:tc>
          <w:tcPr>
            <w:tcW w:w="41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Prior</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137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9019"/>
          </w:cols>
          <w:pgMar w:left="1440" w:top="1373" w:right="1440" w:bottom="1440" w:gutter="0" w:footer="0" w:header="0"/>
          <w:type w:val="continuous"/>
        </w:sectPr>
      </w:pPr>
    </w:p>
    <w:bookmarkStart w:id="171" w:name="page172"/>
    <w:bookmarkEnd w:id="171"/>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66179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49240" cy="661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9019"/>
          </w:cols>
          <w:pgMar w:left="1440" w:top="1373" w:right="1440" w:bottom="1440" w:gutter="0" w:footer="0" w:header="0"/>
          <w:type w:val="continuous"/>
        </w:sectPr>
      </w:pPr>
    </w:p>
    <w:bookmarkStart w:id="172" w:name="page173"/>
    <w:bookmarkEnd w:id="17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5897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49240"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9019"/>
          </w:cols>
          <w:pgMar w:left="1440" w:top="1373" w:right="1440" w:bottom="1440" w:gutter="0" w:footer="0" w:header="0"/>
          <w:type w:val="continuous"/>
        </w:sectPr>
      </w:pPr>
    </w:p>
    <w:bookmarkStart w:id="173" w:name="page174"/>
    <w:bookmarkEnd w:id="173"/>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42087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4924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9019"/>
          </w:cols>
          <w:pgMar w:left="1440" w:top="1373" w:right="1440" w:bottom="1440" w:gutter="0" w:footer="0" w:header="0"/>
          <w:type w:val="continuous"/>
        </w:sectPr>
      </w:pPr>
    </w:p>
    <w:bookmarkStart w:id="174" w:name="page175"/>
    <w:bookmarkEnd w:id="174"/>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40373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349240"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9019"/>
          </w:cols>
          <w:pgMar w:left="1440" w:top="1373" w:right="1440" w:bottom="1440" w:gutter="0" w:footer="0" w:header="0"/>
          <w:type w:val="continuous"/>
        </w:sectPr>
      </w:pPr>
    </w:p>
    <w:bookmarkStart w:id="175" w:name="page176"/>
    <w:bookmarkEnd w:id="175"/>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62750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349240" cy="627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9019"/>
          </w:cols>
          <w:pgMar w:left="1440" w:top="1373" w:right="1440" w:bottom="1440" w:gutter="0" w:footer="0" w:header="0"/>
          <w:type w:val="continuous"/>
        </w:sectPr>
      </w:pPr>
    </w:p>
    <w:bookmarkStart w:id="176" w:name="page177"/>
    <w:bookmarkEnd w:id="176"/>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SCHEDULE 2 – SUPPLEMENTAL INVESTMENT RISKS INTERROGATORIES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5349240" cy="38150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49240" cy="381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9019"/>
          </w:cols>
          <w:pgMar w:left="1440" w:top="1373" w:right="1440" w:bottom="1440" w:gutter="0" w:footer="0" w:header="0"/>
          <w:type w:val="continuous"/>
        </w:sectPr>
      </w:pPr>
    </w:p>
    <w:bookmarkStart w:id="177" w:name="page178"/>
    <w:bookmarkEnd w:id="177"/>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LIFE INSURANCE COMPANY OF NEW YORK</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3 – STATUTORY SUMMARY INVESTMENT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280035</wp:posOffset>
            </wp:positionV>
            <wp:extent cx="5349240" cy="69265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349240" cy="692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67" w:lineRule="exact"/>
        <w:rPr>
          <w:sz w:val="20"/>
          <w:szCs w:val="20"/>
          <w:color w:val="auto"/>
        </w:rPr>
      </w:pPr>
    </w:p>
    <w:p>
      <w:pPr>
        <w:jc w:val="both"/>
        <w:ind w:left="12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Company had no reinsurance contracts entered on or after January 1, 1996, that are subject to Appendix A-791, </w:t>
      </w:r>
      <w:r>
        <w:rPr>
          <w:rFonts w:ascii="Times New Roman" w:cs="Times New Roman" w:eastAsia="Times New Roman" w:hAnsi="Times New Roman"/>
          <w:sz w:val="18"/>
          <w:szCs w:val="18"/>
          <w:i w:val="1"/>
          <w:iCs w:val="1"/>
          <w:color w:val="auto"/>
        </w:rPr>
        <w:t>Life and Health Reinsurance Agreements of the NAIC Accounting Practices and Procedures Manual</w:t>
      </w:r>
      <w:r>
        <w:rPr>
          <w:rFonts w:ascii="Times New Roman" w:cs="Times New Roman" w:eastAsia="Times New Roman" w:hAnsi="Times New Roman"/>
          <w:sz w:val="18"/>
          <w:szCs w:val="18"/>
          <w:color w:val="auto"/>
        </w:rPr>
        <w:t xml:space="preserve"> (“A-791”) that includes risk-limiting features, as described in SSAP No. 61R, </w:t>
      </w:r>
      <w:r>
        <w:rPr>
          <w:rFonts w:ascii="Times New Roman" w:cs="Times New Roman" w:eastAsia="Times New Roman" w:hAnsi="Times New Roman"/>
          <w:sz w:val="18"/>
          <w:szCs w:val="18"/>
          <w:i w:val="1"/>
          <w:iCs w:val="1"/>
          <w:color w:val="auto"/>
        </w:rPr>
        <w:t>Life, Deposit-Type and Accident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Health Reinsurance </w:t>
      </w:r>
      <w:r>
        <w:rPr>
          <w:rFonts w:ascii="Times New Roman" w:cs="Times New Roman" w:eastAsia="Times New Roman" w:hAnsi="Times New Roman"/>
          <w:sz w:val="18"/>
          <w:szCs w:val="18"/>
          <w:color w:val="auto"/>
        </w:rPr>
        <w:t>(“SSAP 61R”).</w:t>
      </w:r>
    </w:p>
    <w:p>
      <w:pPr>
        <w:sectPr>
          <w:pgSz w:w="11900" w:h="16838" w:orient="portrait"/>
          <w:cols w:equalWidth="0" w:num="1">
            <w:col w:w="9019"/>
          </w:cols>
          <w:pgMar w:left="1440" w:top="1373" w:right="1440" w:bottom="1440" w:gutter="0" w:footer="0" w:header="0"/>
        </w:sectPr>
      </w:pPr>
    </w:p>
    <w:p>
      <w:pPr>
        <w:spacing w:after="0" w:line="26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9019"/>
          </w:cols>
          <w:pgMar w:left="1440" w:top="1373" w:right="1440" w:bottom="1440" w:gutter="0" w:footer="0" w:header="0"/>
          <w:type w:val="continuous"/>
        </w:sectPr>
      </w:pPr>
    </w:p>
    <w:bookmarkStart w:id="178" w:name="page179"/>
    <w:bookmarkEnd w:id="178"/>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INSURANCE COMPANY OF NEW YORK</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4 – REINSURANCE CONTRACTS WITH RISK-LIMITING FEATURES</w:t>
      </w:r>
    </w:p>
    <w:p>
      <w:pPr>
        <w:spacing w:after="0" w:line="200" w:lineRule="exact"/>
        <w:rPr>
          <w:sz w:val="20"/>
          <w:szCs w:val="20"/>
          <w:color w:val="auto"/>
        </w:rPr>
      </w:pPr>
    </w:p>
    <w:p>
      <w:pPr>
        <w:spacing w:after="0" w:line="223"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reinsurance contracts entered on or after January 1, 1996, that are not subject to A-791, for which reinsurance accounting was applied and includes risk-limiting features, as described in SSAP 61R.</w:t>
      </w:r>
    </w:p>
    <w:p>
      <w:pPr>
        <w:spacing w:after="0" w:line="54" w:lineRule="exact"/>
        <w:rPr>
          <w:sz w:val="20"/>
          <w:szCs w:val="20"/>
          <w:color w:val="auto"/>
        </w:rPr>
      </w:pPr>
    </w:p>
    <w:p>
      <w:pPr>
        <w:ind w:left="12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reinsurance contracts entered into, renewed or amended reinsurance contracts on or after January 1, 1996, that contain features described below which result in delays in payment in form or in fact:</w:t>
      </w:r>
    </w:p>
    <w:p>
      <w:pPr>
        <w:spacing w:after="0" w:line="54" w:lineRule="exact"/>
        <w:rPr>
          <w:sz w:val="20"/>
          <w:szCs w:val="20"/>
          <w:color w:val="auto"/>
        </w:rPr>
      </w:pPr>
    </w:p>
    <w:p>
      <w:pPr>
        <w:jc w:val="both"/>
        <w:ind w:left="1020" w:right="739" w:hanging="368"/>
        <w:spacing w:after="0" w:line="266"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which permit the reporting of losses, or settlements are made, less frequently than quarterly or payments due from the reinsurer are not made in cash within ninety (90) days of the settlement date (unless there is no activity during the period).</w:t>
      </w:r>
    </w:p>
    <w:p>
      <w:pPr>
        <w:spacing w:after="0" w:line="67" w:lineRule="exact"/>
        <w:rPr>
          <w:rFonts w:ascii="Times New Roman" w:cs="Times New Roman" w:eastAsia="Times New Roman" w:hAnsi="Times New Roman"/>
          <w:sz w:val="18"/>
          <w:szCs w:val="18"/>
          <w:color w:val="auto"/>
        </w:rPr>
      </w:pPr>
    </w:p>
    <w:p>
      <w:pPr>
        <w:ind w:left="1020" w:right="739" w:hanging="368"/>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schedule, accumulating retentions from multiple years or any features inherently designed to delay timing of the reimbursement to the ceding entity.</w:t>
      </w:r>
    </w:p>
    <w:p>
      <w:pPr>
        <w:spacing w:after="0" w:line="54" w:lineRule="exact"/>
        <w:rPr>
          <w:sz w:val="20"/>
          <w:szCs w:val="20"/>
          <w:color w:val="auto"/>
        </w:rPr>
      </w:pPr>
    </w:p>
    <w:p>
      <w:pPr>
        <w:ind w:left="120" w:right="639" w:firstLine="360"/>
        <w:spacing w:after="0" w:line="282" w:lineRule="auto"/>
        <w:rPr>
          <w:sz w:val="20"/>
          <w:szCs w:val="20"/>
          <w:color w:val="auto"/>
        </w:rPr>
      </w:pPr>
      <w:r>
        <w:rPr>
          <w:rFonts w:ascii="Times New Roman" w:cs="Times New Roman" w:eastAsia="Times New Roman" w:hAnsi="Times New Roman"/>
          <w:sz w:val="18"/>
          <w:szCs w:val="18"/>
          <w:color w:val="auto"/>
        </w:rPr>
        <w:t>The Company did not have any contracts entered into, renewed or amended on or after January 1, 1996, not subject to A-791 and not yearly renewable term, which meet the risk transfer requirements of SSAP 61R.</w:t>
      </w:r>
    </w:p>
    <w:p>
      <w:pPr>
        <w:spacing w:after="0" w:line="54"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cede any risk during the period ended December 31, 2023 which is not subject to A-791 and not yearly renewable term reinsurance, under any reinsurance contract entered into, renewed or amended on or after January 1, 1996, and either:</w:t>
      </w:r>
    </w:p>
    <w:p>
      <w:pPr>
        <w:spacing w:after="0" w:line="68" w:lineRule="exact"/>
        <w:rPr>
          <w:sz w:val="20"/>
          <w:szCs w:val="20"/>
          <w:color w:val="auto"/>
        </w:rPr>
      </w:pPr>
    </w:p>
    <w:p>
      <w:pPr>
        <w:ind w:left="1020" w:hanging="368"/>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Accounted for that contract as reinsurance under NAIC SAP and as a deposit under GAAP, or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Accounted for that contract as reinsurance under GAAP and as a deposit under NAIC SAP.</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9019"/>
          </w:cols>
          <w:pgMar w:left="1440" w:top="1373" w:right="1440" w:bottom="1440" w:gutter="0" w:footer="0" w:header="0"/>
          <w:type w:val="continuous"/>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9019"/>
          </w:cols>
          <w:pgMar w:left="1440" w:top="1440" w:right="1440" w:bottom="1440" w:gutter="0" w:footer="0" w:header="0"/>
          <w:type w:val="continuous"/>
        </w:sectPr>
      </w:pPr>
    </w:p>
    <w:bookmarkStart w:id="181" w:name="page182"/>
    <w:bookmarkEnd w:id="181"/>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(An Indirect Subsidiary of Brighthouse Financial,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periods ended March 31, 2024 and 2023 (unaudited) and December 31, 2023</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Statutory Basis Financial Statements</w:t>
      </w:r>
    </w:p>
    <w:p>
      <w:pPr>
        <w:spacing w:after="0" w:line="200" w:lineRule="exact"/>
        <w:rPr>
          <w:sz w:val="20"/>
          <w:szCs w:val="20"/>
          <w:color w:val="auto"/>
        </w:rPr>
      </w:pPr>
    </w:p>
    <w:p>
      <w:pPr>
        <w:spacing w:after="0" w:line="241" w:lineRule="exact"/>
        <w:rPr>
          <w:sz w:val="20"/>
          <w:szCs w:val="20"/>
          <w:color w:val="auto"/>
        </w:rPr>
      </w:pPr>
    </w:p>
    <w:p>
      <w:pPr>
        <w:ind w:left="180" w:hanging="179"/>
        <w:spacing w:after="0" w:line="253" w:lineRule="auto"/>
        <w:rPr>
          <w:sz w:val="20"/>
          <w:szCs w:val="20"/>
          <w:color w:val="auto"/>
        </w:rPr>
      </w:pPr>
      <w:r>
        <w:rPr>
          <w:rFonts w:ascii="Arial" w:cs="Arial" w:eastAsia="Arial" w:hAnsi="Arial"/>
          <w:sz w:val="18"/>
          <w:szCs w:val="18"/>
          <w:color w:val="auto"/>
        </w:rPr>
        <w:t>Interim Condensed Financial Statements at March 31, 2024 and December 31, 2023 and for the Three Months Ended March 31, 2024 and 2023:</w:t>
      </w:r>
    </w:p>
    <w:p>
      <w:pPr>
        <w:ind w:left="360" w:right="3260"/>
        <w:spacing w:after="0" w:line="250" w:lineRule="auto"/>
        <w:rPr>
          <w:sz w:val="20"/>
          <w:szCs w:val="20"/>
          <w:color w:val="auto"/>
        </w:rPr>
      </w:pPr>
      <w:r>
        <w:rPr>
          <w:rFonts w:ascii="Arial" w:cs="Arial" w:eastAsia="Arial" w:hAnsi="Arial"/>
          <w:sz w:val="18"/>
          <w:szCs w:val="18"/>
          <w:color w:val="auto"/>
        </w:rPr>
        <w:t>Interim Condensed Statutory Statements of Admitted Assets, Liabilities and Capital and Surplus Interim Condensed Statutory Statements of Operations and Changes in Capital and Surplus Interim Condensed Statutory Statements of Cash Flow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to the Interim Condensed Statutory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1 — Summary of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2 — Fair Value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5 — Reinsurance and Other Insurance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269" w:right="339" w:bottom="1440" w:gutter="0" w:footer="0" w:header="0"/>
        </w:sectPr>
      </w:pPr>
    </w:p>
    <w:bookmarkStart w:id="182" w:name="page183"/>
    <w:bookmarkEnd w:id="18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Interim Condensed Statutory Statements of Admitted Assets, Liabilities and Capital and Surplus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2024 (Unaudited) and December 31, 2023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ADMITTED ASSETS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Bonds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1,893</w:t>
            </w:r>
          </w:p>
        </w:tc>
        <w:tc>
          <w:tcPr>
            <w:tcW w:w="3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Mortgage loans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9180" w:type="dxa"/>
            <w:vAlign w:val="bottom"/>
          </w:tcPr>
          <w:p>
            <w:pPr>
              <w:spacing w:after="0"/>
              <w:rPr>
                <w:sz w:val="20"/>
                <w:szCs w:val="20"/>
                <w:color w:val="auto"/>
              </w:rPr>
            </w:pPr>
            <w:r>
              <w:rPr>
                <w:rFonts w:ascii="Arial" w:cs="Arial" w:eastAsia="Arial" w:hAnsi="Arial"/>
                <w:sz w:val="18"/>
                <w:szCs w:val="18"/>
                <w:color w:val="auto"/>
              </w:rPr>
              <w:t>Total invested assets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income due and accrued</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 deferred and uncollected</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Reinsurance recoverable</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Federal income tax recoverables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 excluding Separate Accounts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Separate Account assets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9,272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Admitted Assets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12,431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CAPITAL AND SURPLUS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Reserves for life insurance and annuities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899</w:t>
            </w:r>
          </w:p>
        </w:tc>
        <w:tc>
          <w:tcPr>
            <w:tcW w:w="3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for deposit-type contracts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policy liabilities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valuation reserve</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 for collateral under securities loaned and other transactions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Net transfers to (from) Separate Accounts due and accrued</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244</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Funds held under reinsurance treaties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416</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excluding Separate Accounts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Separate Account liabilities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9,271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11,618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11,328</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b w:val="1"/>
                <w:bCs w:val="1"/>
                <w:color w:val="auto"/>
              </w:rPr>
              <w:t>Capital and Surplus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stock (par value $10 per share, 200,000 shares authorized, issued and outstanding)</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Paid-in surplus</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Special surplus fund reserve</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Unassigned surplus (deficit)</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Capital and Surplus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b w:val="1"/>
                <w:bCs w:val="1"/>
                <w:color w:val="auto"/>
              </w:rPr>
              <w:t>Total Liabilities and Capital and Surplus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12,431</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unaudited notes to interim condensed statutory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269" w:right="339" w:bottom="1440" w:gutter="0" w:footer="0" w:header="0"/>
        </w:sectPr>
      </w:pPr>
    </w:p>
    <w:bookmarkStart w:id="183" w:name="page184"/>
    <w:bookmarkEnd w:id="183"/>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Interim Condensed Statutory Statements of Operations and Changes in Capital and Surplus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7"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w:t>
      </w:r>
    </w:p>
    <w:p>
      <w:pPr>
        <w:spacing w:after="0" w:line="15"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-1905</wp:posOffset>
            </wp:positionV>
            <wp:extent cx="9772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83"/>
        </w:trPr>
        <w:tc>
          <w:tcPr>
            <w:tcW w:w="9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190</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Considerations for supplementary contracts and dividend accumulations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Other income (loss)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w:t>
            </w:r>
          </w:p>
        </w:tc>
      </w:tr>
      <w:tr>
        <w:trPr>
          <w:trHeight w:val="27"/>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r>
      <w:tr>
        <w:trPr>
          <w:trHeight w:val="210"/>
        </w:trPr>
        <w:tc>
          <w:tcPr>
            <w:tcW w:w="970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payments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Changes to reserves, deposit funds and other policy liabilities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expenses and taxes (other than Federal income and capital gains taxes)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r>
      <w:tr>
        <w:trPr>
          <w:trHeight w:val="209"/>
        </w:trPr>
        <w:tc>
          <w:tcPr>
            <w:tcW w:w="9700" w:type="dxa"/>
            <w:vAlign w:val="bottom"/>
          </w:tcPr>
          <w:p>
            <w:pPr>
              <w:spacing w:after="0" w:line="202" w:lineRule="exact"/>
              <w:rPr>
                <w:sz w:val="20"/>
                <w:szCs w:val="20"/>
                <w:color w:val="auto"/>
              </w:rPr>
            </w:pPr>
            <w:r>
              <w:rPr>
                <w:rFonts w:ascii="Arial" w:cs="Arial" w:eastAsia="Arial" w:hAnsi="Arial"/>
                <w:sz w:val="18"/>
                <w:szCs w:val="18"/>
                <w:color w:val="auto"/>
              </w:rPr>
              <w:t>Net transfers to (from) Separate Accounts</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benefits and expenses before Federal income tax</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190</w:t>
            </w:r>
          </w:p>
        </w:tc>
      </w:tr>
      <w:tr>
        <w:trPr>
          <w:trHeight w:val="209"/>
        </w:trPr>
        <w:tc>
          <w:tcPr>
            <w:tcW w:w="9700" w:type="dxa"/>
            <w:vAlign w:val="bottom"/>
          </w:tcPr>
          <w:p>
            <w:pPr>
              <w:spacing w:after="0"/>
              <w:rPr>
                <w:sz w:val="20"/>
                <w:szCs w:val="20"/>
                <w:color w:val="auto"/>
              </w:rPr>
            </w:pPr>
            <w:r>
              <w:rPr>
                <w:rFonts w:ascii="Arial" w:cs="Arial" w:eastAsia="Arial" w:hAnsi="Arial"/>
                <w:sz w:val="18"/>
                <w:szCs w:val="18"/>
                <w:color w:val="auto"/>
              </w:rPr>
              <w:t>Gain (loss) from operations before Federal income tax</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expense (benefit) (excluding income tax on capital gains and losses)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10"/>
        </w:trPr>
        <w:tc>
          <w:tcPr>
            <w:tcW w:w="9700" w:type="dxa"/>
            <w:vAlign w:val="bottom"/>
          </w:tcPr>
          <w:p>
            <w:pPr>
              <w:spacing w:after="0"/>
              <w:rPr>
                <w:sz w:val="20"/>
                <w:szCs w:val="20"/>
                <w:color w:val="auto"/>
              </w:rPr>
            </w:pPr>
            <w:r>
              <w:rPr>
                <w:rFonts w:ascii="Arial" w:cs="Arial" w:eastAsia="Arial" w:hAnsi="Arial"/>
                <w:sz w:val="18"/>
                <w:szCs w:val="18"/>
                <w:color w:val="auto"/>
              </w:rPr>
              <w:t>Gain (loss) from operations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realized capital gains (losses), net of Federal income tax and interest maintenance reserve transfer</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w:t>
            </w:r>
          </w:p>
        </w:tc>
      </w:tr>
      <w:tr>
        <w:trPr>
          <w:trHeight w:val="209"/>
        </w:trPr>
        <w:tc>
          <w:tcPr>
            <w:tcW w:w="97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CHANGES IN CAPITAL AND SURPLUS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 in General Account net unrealized capital gains (losses)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net deferred income tax</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 in nonadmitted assets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asset valuation reserve</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Change in surplus as a result of reinsurance</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surplus adjustment paid in</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9700" w:type="dxa"/>
            <w:vAlign w:val="bottom"/>
          </w:tcPr>
          <w:p>
            <w:pPr>
              <w:spacing w:after="0" w:line="202" w:lineRule="exact"/>
              <w:rPr>
                <w:sz w:val="20"/>
                <w:szCs w:val="20"/>
                <w:color w:val="auto"/>
              </w:rPr>
            </w:pPr>
            <w:r>
              <w:rPr>
                <w:rFonts w:ascii="Arial" w:cs="Arial" w:eastAsia="Arial" w:hAnsi="Arial"/>
                <w:sz w:val="18"/>
                <w:szCs w:val="18"/>
                <w:color w:val="auto"/>
              </w:rPr>
              <w:t>Other–net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CAPITAL AND SURPLUS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w:t>
            </w:r>
          </w:p>
        </w:tc>
      </w:tr>
      <w:tr>
        <w:trPr>
          <w:trHeight w:val="209"/>
        </w:trPr>
        <w:tc>
          <w:tcPr>
            <w:tcW w:w="9700" w:type="dxa"/>
            <w:vAlign w:val="bottom"/>
          </w:tcPr>
          <w:p>
            <w:pPr>
              <w:spacing w:after="0" w:line="202" w:lineRule="exact"/>
              <w:rPr>
                <w:sz w:val="20"/>
                <w:szCs w:val="20"/>
                <w:color w:val="auto"/>
              </w:rPr>
            </w:pPr>
            <w:r>
              <w:rPr>
                <w:rFonts w:ascii="Arial" w:cs="Arial" w:eastAsia="Arial" w:hAnsi="Arial"/>
                <w:sz w:val="18"/>
                <w:szCs w:val="18"/>
                <w:b w:val="1"/>
                <w:bCs w:val="1"/>
                <w:color w:val="auto"/>
              </w:rPr>
              <w:t>CAPITAL AND SURPLUS AT BEGINNING OF YEAR</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CAPITAL AND SURPLUS AT END OF YEAR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82"/>
              </w:rPr>
              <w:t>   813</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79"/>
              </w:rPr>
              <w:t>   302</w:t>
            </w: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unaudited notes to interim condensed statutory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269" w:right="339" w:bottom="1440" w:gutter="0" w:footer="0" w:header="0"/>
        </w:sectPr>
      </w:pPr>
    </w:p>
    <w:bookmarkStart w:id="184" w:name="page185"/>
    <w:bookmarkEnd w:id="184"/>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Interim Condensed Statutory Statements of Cash Flow</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96"/>
        </w:trPr>
        <w:tc>
          <w:tcPr>
            <w:tcW w:w="9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FROM OPERATIONS</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 net of reinsurance, received</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(1,720)</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205</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investment income received</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income (loss) received</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receipts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2,223</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225</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8"/>
                <w:szCs w:val="18"/>
                <w:color w:val="auto"/>
              </w:rPr>
              <w:t>Benefits paid (other than dividends)</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expenses and taxes paid (other than Federal income and capital gains taxes)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Net transfers to (from) Separate Accounts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183</w:t>
            </w:r>
          </w:p>
        </w:tc>
        <w:tc>
          <w:tcPr>
            <w:tcW w:w="18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payments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2,368</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operations</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FROM INVESTMENTS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Proceeds from invested assets sold, matured or repaid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invested assets acquired</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918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investments</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FROM FINANCING AND OTHER SOURCES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Borrowed money</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deposit-type contracts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Other-net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provided by (used in) financing and other sources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9180" w:type="dxa"/>
            <w:vAlign w:val="bottom"/>
          </w:tcPr>
          <w:p>
            <w:pPr>
              <w:spacing w:after="0"/>
              <w:rPr>
                <w:sz w:val="20"/>
                <w:szCs w:val="20"/>
                <w:color w:val="auto"/>
              </w:rPr>
            </w:pPr>
            <w:r>
              <w:rPr>
                <w:rFonts w:ascii="Arial" w:cs="Arial" w:eastAsia="Arial" w:hAnsi="Arial"/>
                <w:sz w:val="18"/>
                <w:szCs w:val="18"/>
                <w:b w:val="1"/>
                <w:bCs w:val="1"/>
                <w:color w:val="auto"/>
              </w:rPr>
              <w:t>NET CHANGE IN CASH, CASH EQUIVALENTS AND SHORT-TERM INVESTMENTS:</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EQUIVALENTS AND SHORT-TERM INVESTMENTS: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80" w:type="dxa"/>
            <w:vAlign w:val="bottom"/>
          </w:tcPr>
          <w:p>
            <w:pPr>
              <w:spacing w:after="0" w:line="202" w:lineRule="exact"/>
              <w:rPr>
                <w:sz w:val="20"/>
                <w:szCs w:val="20"/>
                <w:color w:val="auto"/>
              </w:rPr>
            </w:pPr>
            <w:r>
              <w:rPr>
                <w:rFonts w:ascii="Arial" w:cs="Arial" w:eastAsia="Arial" w:hAnsi="Arial"/>
                <w:sz w:val="18"/>
                <w:szCs w:val="18"/>
                <w:b w:val="1"/>
                <w:bCs w:val="1"/>
                <w:color w:val="auto"/>
              </w:rPr>
              <w:t>BEGINNING OF YEAR</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END OF YEAR</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391</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 FOR NON-CASH TRANSACTIONS: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Reinsurance settlement to premiums ceded, asset in kind transfer out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(2,546)</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Modified coinsurance, asset in kind transfer in</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2,468</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Commissions, asset kind transfer in</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Bonds, asset in kind transfer in</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Surrender benefits, asset in kind transfer in</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9180" w:type="dxa"/>
            <w:vAlign w:val="bottom"/>
          </w:tcPr>
          <w:p>
            <w:pPr>
              <w:spacing w:after="0"/>
              <w:rPr>
                <w:sz w:val="20"/>
                <w:szCs w:val="20"/>
                <w:color w:val="auto"/>
              </w:rPr>
            </w:pPr>
            <w:r>
              <w:rPr>
                <w:rFonts w:ascii="Arial" w:cs="Arial" w:eastAsia="Arial" w:hAnsi="Arial"/>
                <w:sz w:val="18"/>
                <w:szCs w:val="18"/>
                <w:color w:val="auto"/>
              </w:rPr>
              <w:t>Death benefits, asset in kind transfer in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unaudited notes to interim condensed statutory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269" w:right="339" w:bottom="1440" w:gutter="0" w:footer="0" w:header="0"/>
        </w:sectPr>
      </w:pPr>
    </w:p>
    <w:bookmarkStart w:id="185" w:name="page186"/>
    <w:bookmarkEnd w:id="18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02"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Brighthouse Life Insurance Company of NY (the “Company”) is a wholly-owned subsidiary of Brighthouse Life Insurance Company (“Brighthouse Insurance”), which is an indirect subsidiary of Brighthouse Financial, Inc. (“Brighthouse”) a Delaware corporation. The Company is domiciled in the State of New York (“New York”) and is only licensed to transact insurance business therein, and is subject to regulation by New York. The Company markets or administers traditional life and universal life insurance; as well as variable, fixed, index-linked, and income annuity products to individuals.</w:t>
      </w:r>
    </w:p>
    <w:p>
      <w:pPr>
        <w:spacing w:after="0" w:line="68"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Since the Company is a member of a controlled group of affiliated companies, its results may not be indicative of those of a stand-alone entity.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The accompanying interim condensed financial statements have been prepared on the basis of accounting practices prescribed or permitted by the New York Department of Financial Services (the “Department” or “NYDFS”). The Department requires that insurance companies domiciled in New York prepare their statutory financial statements in accordance with the National Association of Insurance Commissioners’ (“NAIC”) Accounting Practices and Procedures Manual (“NAIC SAP”) as modified by the Department. NAIC SAP adjusted for these differences is referred to in these interim condensed statutory financial statements as New York Statutory Accounting Principles (“NY SAP”).</w:t>
      </w:r>
    </w:p>
    <w:p>
      <w:pPr>
        <w:spacing w:after="0" w:line="7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variable and certain index-linked annuities, under NAIC SAP, reserves are determined based on the requirements of the NAIC Valuation Manual Section 21 (“VM-21”). Under NY SAP, reserves are equal to the greater of the amount determined under VM-21 and the amount determined under New York Regulation 213 (“Reg 213”).</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deferred annuities, under NAIC SAP, reserves are determined under the NAIC model standard valuation law (referred to as curtate Commissioners’ Annuity Reserve Valuation Method (“CARVM”)). Under NY SAP, deferred annuity reserves are computed as described by the New York valuation law (referred to as continuous CARVM).</w:t>
      </w:r>
    </w:p>
    <w:p>
      <w:pPr>
        <w:spacing w:after="0" w:line="61"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Under NYDFS Circular Letter No. 11 (2010), ceded reserves are reduced by the deferred premium asset proportional to the amount ceded. Under NAIC SAP, there is no such specific requirement.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269" w:right="339" w:bottom="1440" w:gutter="0" w:footer="0" w:header="0"/>
        </w:sectPr>
      </w:pPr>
    </w:p>
    <w:bookmarkStart w:id="186" w:name="page187"/>
    <w:bookmarkEnd w:id="186"/>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net income (loss) for the three months ended March 31 and capital and surplus at March 31 between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NY SAP and NAIC SAP is shown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2560" w:type="dxa"/>
            <w:vAlign w:val="bottom"/>
            <w:gridSpan w:val="9"/>
          </w:tcPr>
          <w:p>
            <w:pPr>
              <w:jc w:val="right"/>
              <w:ind w:right="301"/>
              <w:spacing w:after="0"/>
              <w:rPr>
                <w:sz w:val="20"/>
                <w:szCs w:val="20"/>
                <w:color w:val="auto"/>
              </w:rPr>
            </w:pPr>
            <w:r>
              <w:rPr>
                <w:rFonts w:ascii="Arial" w:cs="Arial" w:eastAsia="Arial" w:hAnsi="Arial"/>
                <w:sz w:val="14"/>
                <w:szCs w:val="14"/>
                <w:b w:val="1"/>
                <w:bCs w:val="1"/>
                <w:color w:val="auto"/>
              </w:rPr>
              <w:t>For the Three Months Ended</w:t>
            </w:r>
          </w:p>
        </w:tc>
      </w:tr>
      <w:tr>
        <w:trPr>
          <w:trHeight w:val="171"/>
        </w:trPr>
        <w:tc>
          <w:tcPr>
            <w:tcW w:w="8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83"/>
        </w:trPr>
        <w:tc>
          <w:tcPr>
            <w:tcW w:w="86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SSAP</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8680" w:type="dxa"/>
            <w:vAlign w:val="bottom"/>
          </w:tcPr>
          <w:p>
            <w:pPr>
              <w:spacing w:after="0"/>
              <w:rPr>
                <w:sz w:val="15"/>
                <w:szCs w:val="15"/>
                <w:color w:val="auto"/>
              </w:rPr>
            </w:pPr>
          </w:p>
        </w:tc>
        <w:tc>
          <w:tcPr>
            <w:tcW w:w="720" w:type="dxa"/>
            <w:vAlign w:val="bottom"/>
          </w:tcPr>
          <w:p>
            <w:pPr>
              <w:jc w:val="center"/>
              <w:spacing w:after="0" w:line="175" w:lineRule="exact"/>
              <w:rPr>
                <w:sz w:val="20"/>
                <w:szCs w:val="20"/>
                <w:color w:val="auto"/>
              </w:rPr>
            </w:pPr>
            <w:r>
              <w:rPr>
                <w:rFonts w:ascii="Arial" w:cs="Arial" w:eastAsia="Arial" w:hAnsi="Arial"/>
                <w:sz w:val="14"/>
                <w:szCs w:val="14"/>
                <w:b w:val="1"/>
                <w:bCs w:val="1"/>
                <w:color w:val="auto"/>
                <w:w w:val="98"/>
              </w:rPr>
              <w:t xml:space="preserve">Number </w:t>
            </w:r>
            <w:r>
              <w:rPr>
                <w:rFonts w:ascii="Arial" w:cs="Arial" w:eastAsia="Arial" w:hAnsi="Arial"/>
                <w:sz w:val="20"/>
                <w:szCs w:val="20"/>
                <w:b w:val="1"/>
                <w:bCs w:val="1"/>
                <w:color w:val="auto"/>
                <w:w w:val="98"/>
                <w:vertAlign w:val="superscript"/>
              </w:rPr>
              <w:t>(1)</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NY SAP</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 (14)</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(114)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State prescribed practices: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annuities using continuous CARVM</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tcPr>
          <w:p>
            <w:pPr>
              <w:ind w:left="360"/>
              <w:spacing w:after="0" w:line="202" w:lineRule="exact"/>
              <w:rPr>
                <w:sz w:val="20"/>
                <w:szCs w:val="20"/>
                <w:color w:val="auto"/>
              </w:rPr>
            </w:pPr>
            <w:r>
              <w:rPr>
                <w:rFonts w:ascii="Arial" w:cs="Arial" w:eastAsia="Arial" w:hAnsi="Arial"/>
                <w:sz w:val="18"/>
                <w:szCs w:val="18"/>
                <w:color w:val="auto"/>
              </w:rPr>
              <w:t>Variable annuities in excess of NY Reg 213 standard scenario over VM 21 stochastic reserves</w:t>
            </w:r>
          </w:p>
        </w:tc>
        <w:tc>
          <w:tcPr>
            <w:tcW w:w="7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NYSDFS Circular Letter No. 11 (2010) impact on deferred premiums</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84"/>
        </w:trPr>
        <w:tc>
          <w:tcPr>
            <w:tcW w:w="8680" w:type="dxa"/>
            <w:vAlign w:val="bottom"/>
          </w:tcPr>
          <w:p>
            <w:pPr>
              <w:ind w:left="360"/>
              <w:spacing w:after="0" w:line="183" w:lineRule="exact"/>
              <w:rPr>
                <w:sz w:val="20"/>
                <w:szCs w:val="20"/>
                <w:color w:val="auto"/>
              </w:rPr>
            </w:pPr>
            <w:r>
              <w:rPr>
                <w:rFonts w:ascii="Arial" w:cs="Arial" w:eastAsia="Arial" w:hAnsi="Arial"/>
                <w:sz w:val="18"/>
                <w:szCs w:val="18"/>
                <w:color w:val="auto"/>
              </w:rPr>
              <w:t>NYSDFS Seventh Amendment to Regulation No. 172 impact on admitted unearned reinsurance</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8680" w:type="dxa"/>
            <w:vAlign w:val="bottom"/>
          </w:tcPr>
          <w:p>
            <w:pPr>
              <w:ind w:left="540"/>
              <w:spacing w:after="0"/>
              <w:rPr>
                <w:sz w:val="20"/>
                <w:szCs w:val="20"/>
                <w:color w:val="auto"/>
              </w:rPr>
            </w:pPr>
            <w:r>
              <w:rPr>
                <w:rFonts w:ascii="Arial" w:cs="Arial" w:eastAsia="Arial" w:hAnsi="Arial"/>
                <w:sz w:val="18"/>
                <w:szCs w:val="18"/>
                <w:color w:val="auto"/>
              </w:rPr>
              <w:t>premium</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permitted practices: NONE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Net income, NAIC SAP</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(14</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8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87"/>
        </w:trPr>
        <w:tc>
          <w:tcPr>
            <w:tcW w:w="86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SSAP</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8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Statutory capital and surplus, NY SAP</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$813</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State prescribed practices: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annuities using continuous CARVM</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tcPr>
          <w:p>
            <w:pPr>
              <w:ind w:left="360"/>
              <w:spacing w:after="0" w:line="202" w:lineRule="exact"/>
              <w:rPr>
                <w:sz w:val="20"/>
                <w:szCs w:val="20"/>
                <w:color w:val="auto"/>
              </w:rPr>
            </w:pPr>
            <w:r>
              <w:rPr>
                <w:rFonts w:ascii="Arial" w:cs="Arial" w:eastAsia="Arial" w:hAnsi="Arial"/>
                <w:sz w:val="18"/>
                <w:szCs w:val="18"/>
                <w:color w:val="auto"/>
              </w:rPr>
              <w:t>Variable annuities in excess of NY Reg 213 standard scenario over VM 21 stochastic reserves</w:t>
            </w:r>
          </w:p>
        </w:tc>
        <w:tc>
          <w:tcPr>
            <w:tcW w:w="7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51</w:t>
            </w: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NYSDFS Circular Letter No. 11 (2010) impact on deferred premiums</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61</w:t>
            </w:r>
          </w:p>
        </w:tc>
        <w:tc>
          <w:tcPr>
            <w:tcW w:w="1220" w:type="dxa"/>
            <w:vAlign w:val="bottom"/>
            <w:gridSpan w:val="5"/>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84"/>
        </w:trPr>
        <w:tc>
          <w:tcPr>
            <w:tcW w:w="8680" w:type="dxa"/>
            <w:vAlign w:val="bottom"/>
          </w:tcPr>
          <w:p>
            <w:pPr>
              <w:ind w:left="360"/>
              <w:spacing w:after="0" w:line="183" w:lineRule="exact"/>
              <w:rPr>
                <w:sz w:val="20"/>
                <w:szCs w:val="20"/>
                <w:color w:val="auto"/>
              </w:rPr>
            </w:pPr>
            <w:r>
              <w:rPr>
                <w:rFonts w:ascii="Arial" w:cs="Arial" w:eastAsia="Arial" w:hAnsi="Arial"/>
                <w:sz w:val="18"/>
                <w:szCs w:val="18"/>
                <w:color w:val="auto"/>
              </w:rPr>
              <w:t>NYSDFS Seventh Amendment to Regulation No. 172 impact on admitted unearned reinsurance</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8680" w:type="dxa"/>
            <w:vAlign w:val="bottom"/>
          </w:tcPr>
          <w:p>
            <w:pPr>
              <w:ind w:left="540"/>
              <w:spacing w:after="0"/>
              <w:rPr>
                <w:sz w:val="20"/>
                <w:szCs w:val="20"/>
                <w:color w:val="auto"/>
              </w:rPr>
            </w:pPr>
            <w:r>
              <w:rPr>
                <w:rFonts w:ascii="Arial" w:cs="Arial" w:eastAsia="Arial" w:hAnsi="Arial"/>
                <w:sz w:val="18"/>
                <w:szCs w:val="18"/>
                <w:color w:val="auto"/>
              </w:rPr>
              <w:t>premium</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61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permitted practices: NONE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Statutory capital and surplus, NAIC SAP</w:t>
            </w:r>
          </w:p>
        </w:tc>
        <w:tc>
          <w:tcPr>
            <w:tcW w:w="7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824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Statement of Statutory Accounting Principles (“SSAP”)</w:t>
      </w:r>
    </w:p>
    <w:p>
      <w:pPr>
        <w:spacing w:after="0" w:line="6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Company’s risk-based capital (“RBC”) would not have triggered a regulatory event without the use of the state prescribed practices referenced in the table above.</w:t>
      </w:r>
    </w:p>
    <w:p>
      <w:pPr>
        <w:spacing w:after="0" w:line="46"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NY SAP comprises a basis of accounting which differs from generally accepted accounting principles (“GAAP”). The more significant differences are as follows:</w:t>
      </w:r>
    </w:p>
    <w:p>
      <w:pPr>
        <w:spacing w:after="0" w:line="59" w:lineRule="exact"/>
        <w:rPr>
          <w:sz w:val="20"/>
          <w:szCs w:val="20"/>
          <w:color w:val="auto"/>
        </w:rPr>
      </w:pPr>
    </w:p>
    <w:p>
      <w:pPr>
        <w:jc w:val="both"/>
        <w:ind w:left="780" w:hanging="327"/>
        <w:spacing w:after="0" w:line="253"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Policy acquisition costs are charged to expense as incurred under NY SAP; whereas under GAAP, certain policy acquisition costs are deferred and amortized over the estimated lives of the contracts in a manner that approximates a straight-line basis over the expected life of the related contracts;</w:t>
      </w:r>
    </w:p>
    <w:p>
      <w:pPr>
        <w:spacing w:after="0" w:line="74" w:lineRule="exact"/>
        <w:rPr>
          <w:rFonts w:ascii="Arial" w:cs="Arial" w:eastAsia="Arial" w:hAnsi="Arial"/>
          <w:sz w:val="18"/>
          <w:szCs w:val="18"/>
          <w:color w:val="auto"/>
        </w:rPr>
      </w:pPr>
    </w:p>
    <w:p>
      <w:pPr>
        <w:jc w:val="both"/>
        <w:ind w:left="780" w:hanging="327"/>
        <w:spacing w:after="0" w:line="244"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Insurance reserves are determined using prescribed factors for mortality, lapses and interest without consideration of company experience, or using a principles based reserve method equal to the higher of reserves using prescribed factors and reserves that consider a wide range of future economic conditions, as well as, company experience. Under GAAP, reserves are determined based upon best estimates as of the date the policy is issued, or the account value plus a reserve for additional benefits, that is either based on current assumptions or measured at fair value with an adjustment for non-performance risk;</w:t>
      </w:r>
    </w:p>
    <w:p>
      <w:pPr>
        <w:spacing w:after="0" w:line="81"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assets designated as “nonadmitted assets” are excluded from the Statutory Statements of Admitted Assets, Liabilities and Capital and Surplus by direct charges to unassigned surplus (deficit), including a portion of deferred income tax assets (“DTA”) and negative Interest Maintenance Reserve (“IMR”) balances;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269" w:right="339" w:bottom="1440" w:gutter="0" w:footer="0" w:header="0"/>
        </w:sectPr>
      </w:pPr>
    </w:p>
    <w:bookmarkStart w:id="187" w:name="page188"/>
    <w:bookmarkEnd w:id="187"/>
    <w:p>
      <w:pPr>
        <w:ind w:left="294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467"/>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ind w:left="827"/>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left="327" w:hanging="327"/>
        <w:spacing w:after="0" w:line="247"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Contracts that have any mortality and morbidity risk, regardless of significance, and contracts with life contingent annuity purchase rate guarantees are classified as insurance contracts and amounts received under these contracts are reported as revenue for NY SAP; whereas under GAAP, for contracts that do not subject the Company to significant risks arising from mortality or morbidity, amounts received are reported as increases to policyholder account balances;</w:t>
      </w:r>
    </w:p>
    <w:p>
      <w:pPr>
        <w:spacing w:after="0" w:line="79" w:lineRule="exact"/>
        <w:rPr>
          <w:rFonts w:ascii="Arial" w:cs="Arial" w:eastAsia="Arial" w:hAnsi="Arial"/>
          <w:sz w:val="18"/>
          <w:szCs w:val="18"/>
          <w:color w:val="auto"/>
        </w:rPr>
      </w:pPr>
    </w:p>
    <w:p>
      <w:pPr>
        <w:jc w:val="both"/>
        <w:ind w:left="327" w:hanging="327"/>
        <w:spacing w:after="0"/>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reinsurance agreements are accounted for as reinsurance under both NY SAP and GAAP if certain risk transfer provisions are met. The risk transfer provisions in GAAP differ from the risk transfer provisions under NY SAP. Under GAAP, the reinsurer must assume significant insurance risk and have a reasonable possibility of realizing a significant loss from the transaction. NY SAP requires the reinsurer to assume all of certain risks deemed to be significant, regardless of the significance of loss potential. Assets and liabilities as a result of reinsurance transactions are netted under NY SAP but are reported gross under GAAP. Ceding commissions received in conjunction with reinsurance transactions are reported as revenue under NY SAP but are reported as a reduction of commission expense under GAAP;</w:t>
      </w:r>
    </w:p>
    <w:p>
      <w:pPr>
        <w:spacing w:after="0" w:line="90" w:lineRule="exact"/>
        <w:rPr>
          <w:rFonts w:ascii="Arial" w:cs="Arial" w:eastAsia="Arial" w:hAnsi="Arial"/>
          <w:sz w:val="18"/>
          <w:szCs w:val="18"/>
          <w:color w:val="auto"/>
        </w:rPr>
      </w:pPr>
    </w:p>
    <w:p>
      <w:pPr>
        <w:jc w:val="both"/>
        <w:ind w:left="327" w:hanging="327"/>
        <w:spacing w:after="0" w:line="253"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liability is established when the reserves ceded to an unauthorized reinsurer exceed the eligible collateral supporting the reserves. Changes to these amounts are credited or charged directly to unassigned surplus (deficit). Under GAAP, no such liability is required;</w:t>
      </w:r>
    </w:p>
    <w:p>
      <w:pPr>
        <w:spacing w:after="0" w:line="74" w:lineRule="exact"/>
        <w:rPr>
          <w:rFonts w:ascii="Arial" w:cs="Arial" w:eastAsia="Arial" w:hAnsi="Arial"/>
          <w:sz w:val="18"/>
          <w:szCs w:val="18"/>
          <w:color w:val="auto"/>
        </w:rPr>
      </w:pPr>
    </w:p>
    <w:p>
      <w:pPr>
        <w:jc w:val="both"/>
        <w:ind w:left="327" w:hanging="327"/>
        <w:spacing w:after="0" w:line="244"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in bonds and preferred stocks are generally carried at amortized cost under NY SAP. Under GAAP, investments in bonds and preferred stocks have one of three classifications. Those classified as held-to-maturity are carried at amortized cost, those classified as available-for-sale are carried at estimated fair value with adjustments for changes in estimated fair value recorded as a component of equity and those classified as trading are carried at estimated fair value with adjustments for changes in estimated fair value recorded through earnings;</w:t>
      </w:r>
    </w:p>
    <w:p>
      <w:pPr>
        <w:spacing w:after="0" w:line="81" w:lineRule="exact"/>
        <w:rPr>
          <w:rFonts w:ascii="Arial" w:cs="Arial" w:eastAsia="Arial" w:hAnsi="Arial"/>
          <w:sz w:val="18"/>
          <w:szCs w:val="18"/>
          <w:color w:val="auto"/>
        </w:rPr>
      </w:pPr>
    </w:p>
    <w:p>
      <w:pPr>
        <w:jc w:val="both"/>
        <w:ind w:left="327" w:hanging="327"/>
        <w:spacing w:after="0" w:line="242"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in mortgage loans that are impaired are reported at the estimated fair value of the underlying collateral less estimated costs to obtain and sell such collateral. If the estimated fair value of the impaired loan subsequently increases, the mortgage loan’s carrying value may not be adjusted to reflect this increase in value. Under GAAP, impaired mortgage loans may also be assessed using observable market price or discounted cash flow (“DCF”) methodologies using the loan’s original effective interest rate. If the value of the impaired mortgage loan subsequently increases, under GAAP, the mortgage loan’s carrying value may be adjusted to reflect this increase, through a decrease in a specific valuation allowance;</w:t>
      </w:r>
    </w:p>
    <w:p>
      <w:pPr>
        <w:spacing w:after="0" w:line="84" w:lineRule="exact"/>
        <w:rPr>
          <w:rFonts w:ascii="Arial" w:cs="Arial" w:eastAsia="Arial" w:hAnsi="Arial"/>
          <w:sz w:val="18"/>
          <w:szCs w:val="18"/>
          <w:color w:val="auto"/>
        </w:rPr>
      </w:pPr>
    </w:p>
    <w:p>
      <w:pPr>
        <w:jc w:val="both"/>
        <w:ind w:left="327" w:hanging="327"/>
        <w:spacing w:after="0" w:line="247"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establishes a general valuation allowance when the amount of the loan loss contingency is greater than the mortgage component of the asset valuation reserve (“AVR”). The amount recorded is the excess of the loss contingency amount over the mortgage component of the AVR, with an offset to net unrealized capital gains and (losses). Under GAAP, the required allowance for credit losses is recorded as a reduction to net carrying value with an offset to realized gains and losses;</w:t>
      </w:r>
    </w:p>
    <w:p>
      <w:pPr>
        <w:spacing w:after="0" w:line="79" w:lineRule="exact"/>
        <w:rPr>
          <w:rFonts w:ascii="Arial" w:cs="Arial" w:eastAsia="Arial" w:hAnsi="Arial"/>
          <w:sz w:val="18"/>
          <w:szCs w:val="18"/>
          <w:color w:val="auto"/>
        </w:rPr>
      </w:pPr>
    </w:p>
    <w:p>
      <w:pPr>
        <w:jc w:val="both"/>
        <w:ind w:left="327" w:hanging="327"/>
        <w:spacing w:after="0" w:line="253"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AVR liability is established, based upon a formula prescribed by the NAIC, to offset potential credit-related investment losses on all invested assets. Changes in the AVR are charged or credited directly to unassigned surplus (deficit). Under GAAP, no such reserve is required;</w:t>
      </w:r>
    </w:p>
    <w:p>
      <w:pPr>
        <w:spacing w:after="0" w:line="74" w:lineRule="exact"/>
        <w:rPr>
          <w:rFonts w:ascii="Arial" w:cs="Arial" w:eastAsia="Arial" w:hAnsi="Arial"/>
          <w:sz w:val="18"/>
          <w:szCs w:val="18"/>
          <w:color w:val="auto"/>
        </w:rPr>
      </w:pPr>
    </w:p>
    <w:p>
      <w:pPr>
        <w:jc w:val="both"/>
        <w:ind w:left="327" w:hanging="327"/>
        <w:spacing w:after="0" w:line="247"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IMR is established to capture realized gains and losses, net of income tax, on the sale of fixed income investments, principally bonds and mortgage loans, resulting from changes in the general level of interest rates, and is amortized into net investment income over the remaining years to expected maturity of the assets sold; whereas under GAAP, available-for-sale bonds and mortgage loan gains and losses on disposal are reported in earnings in the period that the assets are sold;</w:t>
      </w:r>
    </w:p>
    <w:p>
      <w:pPr>
        <w:spacing w:after="0" w:line="79" w:lineRule="exact"/>
        <w:rPr>
          <w:rFonts w:ascii="Arial" w:cs="Arial" w:eastAsia="Arial" w:hAnsi="Arial"/>
          <w:sz w:val="18"/>
          <w:szCs w:val="18"/>
          <w:color w:val="auto"/>
        </w:rPr>
      </w:pPr>
    </w:p>
    <w:p>
      <w:pPr>
        <w:jc w:val="both"/>
        <w:ind w:left="327" w:hanging="327"/>
        <w:spacing w:after="0" w:line="244"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Most derivatives that do not meet the criteria for hedge accounting are carried at estimated fair value with changes in their estimated fair value reported in changes in capital and surplus. Under GAAP, if a derivative does not qualify for hedge accounting, changes in the estimated fair value of the derivative are generally reported in net derivative gains (losses), a component of net income. An embedded derivative that is not clearly and closely related to the economic characteristics of the host contract and that meets certain other criteria is bifurcated from the host contract and accounted for separately at estimated fair value;</w:t>
      </w:r>
    </w:p>
    <w:p>
      <w:pPr>
        <w:spacing w:after="0" w:line="81" w:lineRule="exact"/>
        <w:rPr>
          <w:rFonts w:ascii="Arial" w:cs="Arial" w:eastAsia="Arial" w:hAnsi="Arial"/>
          <w:sz w:val="18"/>
          <w:szCs w:val="18"/>
          <w:color w:val="auto"/>
        </w:rPr>
      </w:pPr>
    </w:p>
    <w:p>
      <w:pPr>
        <w:jc w:val="both"/>
        <w:ind w:left="327" w:hanging="327"/>
        <w:spacing w:after="0" w:line="253"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Deferred income tax is calculated based on temporary differences between NY SAP and tax-basis reporting, subject to certain asset admission limitations for DTA, rather than the difference between GAAP and tax-basis reporting, without such asset admission limitations;</w:t>
      </w:r>
    </w:p>
    <w:p>
      <w:pPr>
        <w:spacing w:after="0" w:line="101" w:lineRule="exact"/>
        <w:rPr>
          <w:sz w:val="20"/>
          <w:szCs w:val="20"/>
          <w:color w:val="auto"/>
        </w:rPr>
      </w:pPr>
    </w:p>
    <w:p>
      <w:pPr>
        <w:jc w:val="center"/>
        <w:ind w:right="433"/>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787"/>
          </w:cols>
          <w:pgMar w:left="773" w:top="269" w:right="339" w:bottom="1440" w:gutter="0" w:footer="0" w:header="0"/>
        </w:sectPr>
      </w:pPr>
    </w:p>
    <w:bookmarkStart w:id="188" w:name="page189"/>
    <w:bookmarkEnd w:id="188"/>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780" w:right="20" w:hanging="327"/>
        <w:spacing w:after="0" w:line="271"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items, including modifications to required policy reserves resulting from changes in reserve methodologies, are recorded directly to unassigned surplus (deficit) rather than being reflected in income under GAAP;</w:t>
      </w:r>
    </w:p>
    <w:p>
      <w:pPr>
        <w:spacing w:after="0" w:line="59"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loss contingencies, when no amount within management’s estimate of the range is a better estimate than any other amount, the midpoint of the range is accrued; whereas under GAAP, the minimum amount in the range is accrued. In addition, the timing of recognition of certain costs related to loss contingencies may be different;</w:t>
      </w:r>
    </w:p>
    <w:p>
      <w:pPr>
        <w:spacing w:after="0" w:line="74" w:lineRule="exact"/>
        <w:rPr>
          <w:rFonts w:ascii="Arial" w:cs="Arial" w:eastAsia="Arial" w:hAnsi="Arial"/>
          <w:sz w:val="18"/>
          <w:szCs w:val="18"/>
          <w:color w:val="auto"/>
        </w:rPr>
      </w:pPr>
    </w:p>
    <w:p>
      <w:pPr>
        <w:jc w:val="both"/>
        <w:ind w:left="780" w:right="20" w:hanging="327"/>
        <w:spacing w:after="0" w:line="253"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Gains on certain economic transactions with related parties, defined as arm’s-length transactions, resulting in the transfer of risks and rewards of ownership and considered permanent, are recognized under NY SAP rather than deferred until the assets are sold to third parties as required under GAAP;</w:t>
      </w:r>
    </w:p>
    <w:p>
      <w:pPr>
        <w:spacing w:after="0" w:line="74"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Separate Account assets, liabilities, income and expenses are reflected using a summarized presentation in the financial statements under NY SAP; under GAAP only separate accounts where all of the investment risk is borne by the policyholder quantify for summarized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Changes and Correction of Errors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accounting changes or correction of errors for the three months ended March 31,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Equity and Income</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GAAP consolidated net income (loss) attributable to the Company was $25 million and $39 million for the three months ended March 31, 2024 and 2023, respectively. GAAP consolidated stockholder’s equity was $665 million and $654 million at March 31, 2024 and December 31, 2023,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preparation of financial statements requires that management make estimates and assumptions that affect the reported amounts of assets and liabilities at the dates of the financial statements. Management is also required to disclose contingent assets and liabilities at the dates of the financial statements and the reported amounts of revenues and expenses during the reporting periods. Actual results may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Income from investments, including amortization of premium, accretion of discount and similar items, is recorded within net investment income, unless otherwise stated herein. Other-than-temporary impairments (“OTTI”) are recorded as realized capital losses, the cost basis of the investment is reduced and the revised cost basis is not adjusted for subsequent recoveries in value.</w:t>
      </w:r>
    </w:p>
    <w:p>
      <w:pPr>
        <w:spacing w:after="0" w:line="61"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8"/>
          <w:szCs w:val="18"/>
          <w:color w:val="auto"/>
        </w:rPr>
        <w:t>Bonds are generally stated at amortized cost, unless they have a NAIC designation of 6, in which case they are stated at the lower of amortized cost or estimated fair value. Unrealized capital losses on bonds having a NAIC designation of 6 are charged directly to unassigned surplus (deficit). Interest and prepayment fees are recorded when earned. Amortization of premium or accretion of discount is calculated using the effective yield method taking into consideration specified interest and principal provisions over the life of the bonds or estimated timing and amount of prepayments of underlying loans for commercial mortgage-backed securities (“CMBS”), residential mortgage-backed securities (“RMBS”) and asset-backed securities (“ABS”) (collectively “loan-backed securities”). Actual prepayment experience is periodically reviewed and effective yields are recalculated when differences arise between the prepayments originally anticipated and the actual prepayments received and currently anticipated. Prepayment assumptions for single class and multi-class mortgage-backed securities and ABS are estimated using inputs obtained from third party specialists, and are based on management’s knowledge of the current market. For credit-sensitive mortgage-backed securities and ABS and certain prepayment-sensitive securities, the effective yield is recalculated on a prospective basis. For all other mortgage-backed securities and ABS, the effective yield is recalculated on a retrospective basis.</w:t>
      </w:r>
    </w:p>
    <w:p>
      <w:pPr>
        <w:spacing w:after="0" w:line="18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loan-backed securities, the NAIC relies on the second lowest NAIC Credit Rating Provider (“CRP”) rating to determine the initial NAIC designation. The second lowest CRP rating is used to determine the carrying value of the security, which is based on the NAIC’s estimate of expected losses, using an NAIC published formula. The carrying value of the security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269" w:right="339" w:bottom="1440" w:gutter="0" w:footer="0" w:header="0"/>
        </w:sectPr>
      </w:pPr>
    </w:p>
    <w:bookmarkStart w:id="189" w:name="page190"/>
    <w:bookmarkEnd w:id="189"/>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determines its final NAIC designation. This methodology does not apply to NAIC 1 and NAIC 6 securities which are rated at the second lowest CRP designation. Loan-backed and structured securities are stated at either amortized cost or the lower of amortized cost or fair market value.</w:t>
      </w:r>
    </w:p>
    <w:p>
      <w:pPr>
        <w:spacing w:after="0" w:line="61" w:lineRule="exact"/>
        <w:rPr>
          <w:sz w:val="20"/>
          <w:szCs w:val="20"/>
          <w:color w:val="auto"/>
        </w:rPr>
      </w:pPr>
    </w:p>
    <w:p>
      <w:pPr>
        <w:jc w:val="both"/>
        <w:ind w:firstLine="449"/>
        <w:spacing w:after="0" w:line="236" w:lineRule="auto"/>
        <w:rPr>
          <w:sz w:val="20"/>
          <w:szCs w:val="20"/>
          <w:color w:val="auto"/>
        </w:rPr>
      </w:pPr>
      <w:r>
        <w:rPr>
          <w:rFonts w:ascii="Arial" w:cs="Arial" w:eastAsia="Arial" w:hAnsi="Arial"/>
          <w:sz w:val="18"/>
          <w:szCs w:val="18"/>
          <w:color w:val="auto"/>
        </w:rPr>
        <w:t>The Company periodically evaluates bonds for impairment. The assessment of whether impairments have occurred is based on management’s case-by-case evaluation of the underlying reasons for the decline in estimated fair value, as well as an analysis of the gross unrealized losses by severity and/or age as described in Note 3 “Evaluating Temporarily Impaired Bonds for OTTI”. 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 (iv) the potential for impairments in certain economically depressed geographic locations; (v) the potential for impairments where the issuer, series of issuers or industry has suffered a catastrophic type of loss or has exhausted natural resources;</w:t>
      </w:r>
    </w:p>
    <w:p>
      <w:pPr>
        <w:spacing w:after="0" w:line="8" w:lineRule="exact"/>
        <w:rPr>
          <w:sz w:val="20"/>
          <w:szCs w:val="20"/>
          <w:color w:val="auto"/>
        </w:rPr>
      </w:pPr>
    </w:p>
    <w:p>
      <w:pPr>
        <w:jc w:val="both"/>
        <w:ind w:firstLine="8"/>
        <w:spacing w:after="0" w:line="239" w:lineRule="auto"/>
        <w:tabs>
          <w:tab w:leader="none" w:pos="3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both the Company’s intent to sell a security before the recovery of its estimated fair value and its intent and ability to hold the security for a period of time sufficient to allow for the recovery of its value to an amount equal to or greater than amortized cost; (vii) unfavorable changes in forecasted cash flows on mortgage-backed securities and ABS; (viii) the potential for impairments due to weakening foreign currencies on foreign currency denominated bonds that are near maturity; and (ix) other subjective factors, including concentrations and information obtained from regulators and rating agencies.</w:t>
      </w:r>
    </w:p>
    <w:p>
      <w:pPr>
        <w:spacing w:after="0" w:line="7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recognizes an OTTI loss in earnings for a loan-backed security in an unrealized loss position when it is anticipated that the amortized cost basis will not be recovered. In such situations, the OTTI loss recognized in earnings is the entire difference between the security’s amortized cost and its estimated fair value only when either: (i) the Company intends to sell the security or (ii) the Company does not have the intent and ability to retain the security for the time sufficient to recover the amortized cost basis. Non-interest related OTTI losses are recorded through the AVR and interest related losses through the IMR. If neither of the two conditions exists, and the Company has the intent and ability to hold the security but does not expect to recover the entire amortized cost, the difference between the amortized cost basis of the security and the present value of projected future cash flows expected to be collected is recognized as an OTTI loss.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determination of estimated fair values for securities and other investments is described in Note 2.</w:t>
      </w:r>
    </w:p>
    <w:p>
      <w:pPr>
        <w:spacing w:after="0" w:line="104"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Mortgage loans are stated at unpaid principal balance, adjusted for any unamortized premium, discount or deferred fees, and are net of valuation allowances. Interest income and prepayment fees are recorded when earned. Interest income is accrued on the principal amount of the loan based on the loan’s contractual interest rate. Amortization of premium and accretion of discount are recorded using the effective yield method. Gains and losses from sales of loans are recorded in net realized capital gains (losses).</w:t>
      </w:r>
    </w:p>
    <w:p>
      <w:pPr>
        <w:spacing w:after="0" w:line="66"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Mortgage loans are considered to be impaired when it is probable that, based upon current information and events, the Company will be unable to collect all amounts due under the loan agreement. Valuation allowances are established both on a loan specific basis and, in certain circumstances described below, for pools of loans. Valuation allowances are determined separately for each of the loan portfolio segments: commercial and agricultural. In conjunction with the valuation allowance process, management identifies mortgage loans to be placed on a nonaccrual status at which time the Company recognizes income on the cash method.</w:t>
      </w:r>
    </w:p>
    <w:p>
      <w:pPr>
        <w:spacing w:after="0" w:line="68"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Specific valuation allowances are established using the same methodology for both portfolio segments and a common evaluation framework is used for establishing general valuation allowances for the loan portfolio segments; however, a separate general valuation allowance is calculated and maintained for each loan portfolio segment that is based on inputs that are unique to each loan portfolio segment. The Company records specific valuation allowances for impaired mortgage loans when it is probable that based upon current information and events, the Company will be unable to collect all amounts due under the contractual terms of the loan agreement. Based on the facts and circumstances of the individual mortgage loans being impaired, loan specific valuation allowances are established for the excess carrying value of the mortgage loan over the estimated fair value of the loan’s underlying collateral (as determined by acceptable appraisal methodologies) less estimated costs to obtain and sell such collateral. Changes in these loan specific valuation allowances are reported within net realized capital gains (losses). General valuation allowances are established for loan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269" w:right="339" w:bottom="1440" w:gutter="0" w:footer="0" w:header="0"/>
        </w:sectPr>
      </w:pPr>
    </w:p>
    <w:bookmarkStart w:id="190" w:name="page191"/>
    <w:bookmarkEnd w:id="190"/>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losses when a loss contingency exists for pools of loans with similar characteristics, such as mortgage loans based on similar property types or loans with similar loan-to-value or similar debt service coverage ratio factors. A loss contingency exists when, based on experience, it is probable that a credit event has occurred and the amount of credit loss can be reasonably estimated. These evaluations are based upon several loan portfolio segment specific factors, including the Company’s experience with loan losses, defaults and loss severity, and loss expectations for loans with similar risk characteristics. The Company typically uses ten years or more of historical experience in these evaluations. These evaluations are revised as conditions change and new information becomes available. The general valuation allowance is established when the amount of the loan loss contingency is greater than the mortgage component of the AVR, and the amount recorded is the excess of the loss contingency amount over the mortgage component of the AVR. If the mortgage component of the AVR is greater than the loss contingency amount, no general valuation allowance is recorded. Changes in the general valuation allowance are included in change in General Account net unrealized capital gains (losses) which are credited or charged directly to unassigned surplus (deficit).</w:t>
      </w:r>
    </w:p>
    <w:p>
      <w:pPr>
        <w:spacing w:after="0" w:line="7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All commercial loans are monitored on an ongoing basis which may include an analysis of the property’s financial statements and rent rolls, lease rollover analysis, property inspections, market analysis, estimated valuations of the underlying collateral, loan-to-value ratios, debt service coverage ratios and tenant creditworthiness. The monitoring process for commercial loans focuses on higher risk loans, which include those that are classified as restructured, delinquent or in foreclosure, as well as loans with higher loan-to-value and lower debt service coverage ratios. The monitoring process for agricultural loans is generally similar to the commercial loan monitoring process, with a focus on higher risk loans, including reviews of the agricultural loan portfolio on a geographic and sector basis. Higher risk commercial and agricultural loans are reviewed individually on an ongoing basis for potential credit loss and specific valuation allowances are established using the methodology described above for all loan portfolio segments. Quarterly, the remaining loans are reviewed on a pool basis, by aggregating groups of loans that have similar risk characteristics for potential credit loss. General valuation allowances are established as described above using inputs that are unique to each segment of the loan portfolio.</w:t>
      </w:r>
    </w:p>
    <w:p>
      <w:pPr>
        <w:spacing w:after="0" w:line="7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For commercial loans, the primary credit quality indicator is the debt service coverage ratio, which compares a property’s net operating income to amounts needed to service the principal and interest due under the loan. Generally, the lower the debt service coverage ratio, the higher the risk of experiencing a credit loss. The Company also reviews the loan-to-value ratio of its commercial loan portfolio. Loan-to-value ratios compare the unpaid principal balance of the loan to the estimated fair value of the underlying collateral. Generally, the higher the loan-to-value ratio, the higher the risk of experiencing a credit loss. The debt service coverage ratio and the values utilized in calculating the ratio are updated annually on a rolling basis, with a portion of the loan portfolio updated each quarter. In addition, the loan-to-value ratio is routinely updated for all but the lowest risk loans as part of the Company’s ongoing review of its commercial mortgage loan portfolio.</w:t>
      </w:r>
    </w:p>
    <w:p>
      <w:pPr>
        <w:spacing w:after="0" w:line="77"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agricultural loans, the Company’s primary credit quality indicator is the loan-to-value ratio. The values utilized in calculating this ratio are developed in connection with the ongoing review of the agricultural loan portfolio and are routinely updated. Additionally, the Company focuses the monitoring process on higher risk loans, including reviews on a geographic and property-type basis.</w:t>
      </w:r>
    </w:p>
    <w:p>
      <w:pPr>
        <w:spacing w:after="0" w:line="61"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may grant concessions related to a particular borrower’s financial difficulties which are classified as troubled debt restructurings. Generally, the types of concessions include: reduction of the contractual interest rate, extension of the maturity date at an interest rate lower than current market interest rates and/or a reduction of accrued interest. The amount, timing and extent of the concession granted is considered in determining any impairment or changes in the specific valuation allowance recorded in connection with the troubled debt restructuring. Through the recurring portfolio monitoring process, a specific valuation allowance may have been recorded prior to the period when the mortgage loan is modified in a troubled debt restructuring. Accordingly, the carrying value (after specific valuation allowance) before and after modification through a troubled debt restructuring may not change significantly, or may increase if the expected recovery is higher than the pre-modification recovery assessment.</w:t>
      </w:r>
    </w:p>
    <w:p>
      <w:pPr>
        <w:spacing w:after="0" w:line="7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Cash equivalents, which are short-term, highly liquid securities and other investments with original maturities of three months or less at date of purchase, are stated at amortized cost, except for securities which have a NAIC designation of 6, in which case they are stated at the lower of amortized cost or estimated fair value.</w:t>
      </w:r>
    </w:p>
    <w:p>
      <w:pPr>
        <w:spacing w:after="0" w:line="61"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Other invested assets consist of investments in surplus notes, an investment in the equity tranche of a collateralized loan obligation and a real estate joint venture.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surplus notes are carried at amortized cost.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269" w:right="339" w:bottom="1440" w:gutter="0" w:footer="0" w:header="0"/>
        </w:sectPr>
      </w:pPr>
    </w:p>
    <w:bookmarkStart w:id="191" w:name="page192"/>
    <w:bookmarkEnd w:id="191"/>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investment in the equity tranche of the collateralized loan obligation is accounted for under the equity method.</w:t>
      </w:r>
    </w:p>
    <w:p>
      <w:pPr>
        <w:spacing w:after="0" w:line="104"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Real estate joint ventures are carried at the underlying audited GAAP equity, with the Company’s share of undistributed earnings and losses included in change in General Account net unrealized capital gains (losses) which is credited or charged directly to unassigned surplus (deficit). Dividends or distributions received are recognized to the extent they are not in excess of undistributed accumulated earnings. Dividends and distributions in excess of undistributed accumulated earnings are recorded as a reduction to the carrying value of the investment. The Company also periodically evaluates the joint ventures’ unrealized losses for recoverability. In addition to the joint ventures performing regular evaluations for the impairment of underlying investments, the Company routinely evaluates these investments for impairment. The Company considers financial and other information provided by such entities, other known information and inherent risks in the underlying investments, as well as future capital commitments, in determining whether an impairment has occurred.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02"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The Company may be exposed to various risks relating to its ongoing business operations, including interest rate risk, foreign currency exchange rate risk, credit risk and equity market risk. The Company uses a variety of strategies to manage these risks, including the use of derivatives.</w:t>
      </w:r>
    </w:p>
    <w:p>
      <w:pPr>
        <w:spacing w:after="0" w:line="6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Derivatives are financial instruments whose values are derived from interest rates, foreign currency exchange rates, credit spreads or other financial indices. Derivatives may be exchange-traded or contracted in the over-the-counter (“OTC”) market. All of the Company’s derivatives are bilateral contracts between two counterparties. The Company uses options, swaps, and caps to manage risks that may include interest rate risk, foreign currency exchange rate risk, credit risk and equity market risk. Derivative hedges are designed to reduce risk on an economic basis while considering their impact on accounting results and statutory capital.</w:t>
      </w:r>
    </w:p>
    <w:p>
      <w:pPr>
        <w:spacing w:after="0" w:line="68"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NY SAP restricts the Company’s use of derivatives to: (i) hedging activities intended to offset changes in the estimated fair value of assets held, obligations and anticipated transactions; (ii) income generation transactions to generate additional income or return on covering assets; and (iii) replication synthetic asset transactions to reproduce the investment characteristics of otherwise permissible investments. The Company is prohibited from using derivatives for speculation. OTC derivatives are carried on the Company’s Statutory Statements of Admitted Assets, Liabilities and Capital and Surplus either as derivative assets or derivative liabilities.</w:t>
      </w:r>
    </w:p>
    <w:p>
      <w:pPr>
        <w:spacing w:after="0" w:line="68"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does not offset the values recognized for derivatives executed with the same counterparty under the same master netting agreement. This policy applies to the recognition of derivative assets and derivative liabilities in the Statutory Statements of Admitted Assets, Liabilities and Capital and Surplus.</w:t>
      </w:r>
    </w:p>
    <w:p>
      <w:pPr>
        <w:spacing w:after="0" w:line="61"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 xml:space="preserve">To qualify for hedge accounting under SSAP No. 86,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(“SSAP 86”), at the inception of the hedging relationship, the Company formally documents its risk management objective and strategy for undertaking the hedging transaction, as well as its designation of the hedge as either: (i) a hedge of the estimated fair value of a recognized asset or liability (“fair value hedge”); or (ii) a hedge of the variability of cash flows to be received or paid related to a forecasted transaction or a recognized asset or liability (“cash flow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The Company may hold cash flow and fair value derivatives that hedge various assets and liabilities including bonds, mortgage loans, and liability portfolios; the derivatives that hedge those assets and liabilities are valued in a manner consistent with the underlying hedged item, if the derivatives meet the criteria for highly effective hedges. Bonds that have an NAIC designation of 1 through 5 are carried at amortized cost; therefore, the derivatives hedging such bonds are also carried at amortized cost. Bonds that have an NAIC designation of 6 are carried at the lower of amortized cost or estimated fair value; therefore, the derivatives hedging such bonds are also carried at the lower of amortized cost or estimated fair value. Mortgage loans are carried at amortized cost; therefore, the derivatives hedging mortgage loans are also carried at amortized cost. Any hedged liabilities of the Company are carried at amortized cost; therefore, the derivatives hedging liabilities are also carried at amortized cost. Effective foreign currency swaps have a foreign currency adjustment reported in capital and surplus pursuant to SSAP 86 by using the same procedures as used to translate the hedged item.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269" w:right="339" w:bottom="1440" w:gutter="0" w:footer="0" w:header="0"/>
        </w:sectPr>
      </w:pPr>
    </w:p>
    <w:bookmarkStart w:id="192" w:name="page193"/>
    <w:bookmarkEnd w:id="19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or is sold, terminated or exercised; (iii) it is no longer probable that the hedged forecasted transaction will occur; or (iv) the Company removes the designation of the hedge.</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When hedge accounting is discontinued because it is determined that the derivative is not highly effective in offsetting changes in the estimated fair value or cash flows of a hedged item, the derivative is carried at its estimated fair value with changes in estimated fair value reported in change in General Account net unrealized capital gains (losses).</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Upon termination of a derivative that qualified for hedge accounting, the gain or loss is reflected as an adjustment to the basis of the hedged item and is recognized in income consistent with the hedged item. If the hedged item is sold, the gain or loss on the derivative is realized but is subject to the IMR.</w:t>
      </w:r>
    </w:p>
    <w:p>
      <w:pPr>
        <w:spacing w:after="0" w:line="61"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To the extent the Company does not designate a derivative for hedge accounting, the derivative is carried at estimated fair value with changes in estimated fair value reported in change in General Account net unrealized capital gains (losses).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 and Annuity and Other Fund Reserves</w:t>
      </w:r>
    </w:p>
    <w:p>
      <w:pPr>
        <w:spacing w:after="0" w:line="102"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Reserves for permanent plans of individual life insurance, universal life plans and certain term plans are computed principally on the Net Level Premium Method, the Commissioners’ Reserve Valuation Method, or using the principle based requirements of Reg 213, as appropriate. Reserves for other life insurance policies are computed on the Net Level Premium Method or the Commissioners’ Reserve Valuation Method, as appropriate. Reserves for group and individual annuity contracts are computed on CARVM or using the principle based requirements of Reg 213, as appropriate. The reserves are based on mortality, morbidity and interest rate assumptions prescribed by New York Insurance Law. Such reserves are sufficient to provide for contractual surrender values.</w:t>
      </w:r>
    </w:p>
    <w:p>
      <w:pPr>
        <w:spacing w:after="0" w:line="71"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Periodically, to reflect changes in circumstances or regulatory requirements, the Company may change the assumptions, methodologies or procedures used to calculate reserves. Primarily, the changes in methodologies and procedures, or changes in “valuation basis,” are recorded as direct adjustments to unassigned surplus (deficit) cumulatively in the accounting year applied, whereas generally, changes in reserves, including certain actuarial assumptions, are reflected in net income.</w:t>
      </w:r>
    </w:p>
    <w:p>
      <w:pPr>
        <w:spacing w:after="0" w:line="6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Reserves for deposit-type contracts, which do not subject the reporting entity to any risks arising from policyholder mortality or morbidity, are equal to deposits received and interest credited to the benefit of contract holders, less fees and other charges assessed and surrenders or withdrawals that represent a return to the contract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Valuation Reserve and Interest Maintenance Reserve</w:t>
      </w:r>
    </w:p>
    <w:p>
      <w:pPr>
        <w:spacing w:after="0" w:line="10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has established an AVR and IMR for the General Account and Separate Account investments, where required. An AVR is established for potential credit-related losses on applicable General Account and Separate Account invested assets. Changes to the AVR are reported as direct additions to or deductions from unassigned surplus (deficit). An IMR is established for interest-related realized capital gains (losses) resulting from changes in the general level of interest rates for the General Account, and any Separate Accounts, not carried at estimated fair value. Transfers to the IMR are deducted from realized capital gains and losses and are net of related Federal income tax. IMR amortization, as calculated under the Grouped Method as specified by NY SAP, is included in net investment income. Net realized capital gains (losses) are presented net of Federal income tax expense or benefit and IMR transfer. The IMR can be either an asset or a liability, with the asset subject to certain recognition limits as prescribed by NY SAP.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In general, premiums are recognized as income when due from policyholders under the terms of the insurance contract. Investment income is recognized as income when earned. The earnings on certain investments are dependent upon market conditions, which could result in prepayments and changes in amounts to be earned due to changing interest rates or equity markets. Other income (loss) primarily includes management fees relating to Separate Account contracts.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Expenses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Expenses, including policy acquisition costs and Federal income tax, are charged to operations as incurred. Amounts received as payment for and amounts representing return of policyholder balances relating to deposit-type contracts are not reported as income or benefits but are recorded directly to the liability for deposit-type contracts.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269" w:right="339" w:bottom="1440" w:gutter="0" w:footer="0" w:header="0"/>
        </w:sectPr>
      </w:pPr>
    </w:p>
    <w:bookmarkStart w:id="193" w:name="page194"/>
    <w:bookmarkEnd w:id="193"/>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holds investments denominated in foreign currencies, which are carried at the foreign exchange spot rate at the end of the year. Any increases or decreases in the carrying amount of the Company’s investments denominated in foreign currencies due to changes in exchange rates between years are recorded as a change in General Account net unrealized capital gains (losses) which are credited or charged directly to unassigned surplus (deficit).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Account Operations</w:t>
      </w:r>
    </w:p>
    <w:p>
      <w:pPr>
        <w:spacing w:after="0" w:line="102"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Separate Accounts are established in conformity with insurance laws and are generally not chargeable with liabilities that arise from any other business of the Company. Separate Account assets are subject to General Account claims only to the extent that the value of such assets exceeds the Separate Account liabilities. Investments (generally stated at estimated fair value) and liabilities of the Separate Accounts are reported separately as assets and liabilities. Investment income and realized and unrealized capital gains (losses) on the investments accrue directly to contract holders and accordingly, are not reflected in the Company’s Statutory Statements of Operations and Changes in Capital and Surplus and Cash Flow.</w:t>
      </w:r>
    </w:p>
    <w:p>
      <w:pPr>
        <w:spacing w:after="0" w:line="7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 xml:space="preserve">Certain other Separate Accounts guarantee levels of returns or benefits. These Separate Accounts could therefore contain assets in excess of reserves as described in SSAP No. 56, </w:t>
      </w:r>
      <w:r>
        <w:rPr>
          <w:rFonts w:ascii="Arial" w:cs="Arial" w:eastAsia="Arial" w:hAnsi="Arial"/>
          <w:sz w:val="18"/>
          <w:szCs w:val="18"/>
          <w:i w:val="1"/>
          <w:iCs w:val="1"/>
          <w:color w:val="auto"/>
        </w:rPr>
        <w:t>Separate Accounts</w:t>
      </w:r>
      <w:r>
        <w:rPr>
          <w:rFonts w:ascii="Arial" w:cs="Arial" w:eastAsia="Arial" w:hAnsi="Arial"/>
          <w:sz w:val="18"/>
          <w:szCs w:val="18"/>
          <w:color w:val="auto"/>
        </w:rPr>
        <w:t>. The surplus generated by the Separate Accounts that contain guaranteed levels of return or benefit is recognized as net income on the Company’s Annual Statutory Statements of Operations and Changes in Capital and Surplus. For the three months ended March 31, 2024 and 2023, there was no seed money invested in the various Separate Accounts.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future tax consequences of temporary differences between statutory financial reporting and tax basis of assets and liabilities are measured at the financial reporting dates and are recorded as DTA and liabilities, subject to certain limitations. Changes in DTA and deferred income tax liabilities (“DTL”), including changes attributable to changes in tax rates and changes in tax status, if any, are recognized as a separate component of gains and losses in unassigned surplus (deficit).</w:t>
      </w:r>
    </w:p>
    <w:p>
      <w:pPr>
        <w:spacing w:after="0" w:line="66"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DTA are limited to: (i) an amount expected to be realized within the applicable period that is no greater than the applicable percentage of statutory capital and surplus as required to be shown on the statutory balance sheet for the current reporting period’s statement, adjusted to exclude any net DTA plus; (ii) the amount of remaining gross DTA that can be offset against existing gross DTL. Any remaining DTA are nonadmitted.</w:t>
      </w:r>
    </w:p>
    <w:p>
      <w:pPr>
        <w:spacing w:after="0" w:line="66"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The realization of DTA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DTA will not be realized. Significant judgment is required in determining whether valuation allowances should be established, as well as the amount of such allowances. When making such determination, the Company considers many factors, including:</w:t>
      </w:r>
    </w:p>
    <w:p>
      <w:pPr>
        <w:spacing w:after="0" w:line="82" w:lineRule="exact"/>
        <w:rPr>
          <w:sz w:val="20"/>
          <w:szCs w:val="20"/>
          <w:color w:val="auto"/>
        </w:rPr>
      </w:pPr>
    </w:p>
    <w:p>
      <w:pPr>
        <w:ind w:left="780" w:hanging="327"/>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nature, frequency, and amount of cumulative financial reporting income and losses in recent years;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jurisdiction in which the DTA was generated;</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length of time that carryforwards can be utilized in the various taxing jurisdictions;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780" w:hanging="327"/>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 planning strategies.</w:t>
      </w:r>
    </w:p>
    <w:p>
      <w:pPr>
        <w:spacing w:after="0" w:line="10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may be required to change its provision for income taxes in certain circumstances. Examples of such circumstances include when estimates used in determining valuation allowances on DTA significantly change or when receipt of new information indicates the need for an adjustment in valuation allowances. Additionally, future events, such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269" w:right="339" w:bottom="1440" w:gutter="0" w:footer="0" w:header="0"/>
        </w:sectPr>
      </w:pPr>
    </w:p>
    <w:bookmarkStart w:id="194" w:name="page195"/>
    <w:bookmarkEnd w:id="194"/>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changes in tax laws, tax regulations, or interpretations of such laws or regulations, could have an impact on the provision for income taxes and the effective tax rate. Any such changes could significantly affect the amounts reported in the financial statements in the year these changes occur.</w:t>
      </w:r>
    </w:p>
    <w:p>
      <w:pPr>
        <w:spacing w:after="0" w:line="61"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by the appropriate taxing authorities before any part of the benefit can be recorded in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classifies interest and penalties as a component of income tax expense.</w:t>
      </w:r>
    </w:p>
    <w:p>
      <w:pPr>
        <w:spacing w:after="0" w:line="10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See Notes 1 and 10 of the annual December 31, 2023 audited statutory financial statements for further information on the Company’s 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A transaction between related parties involving the exchange of assets or liabilities is classified as either an economic transaction or a non-economic transaction. An economic transaction is defined as an arm’s-length transaction which results in the transfer of risks and rewards of ownership and represents a consummated act thereof, i.e., “permanence.” Non-economic transactions between the Company and a related party insurance entity are recorded at the lower of existing book values or estimated fair values at the date of the transaction. Non-economic transactions between the Company and related parties that are not insurance entities are recorded at the estimated fair value at the date of the transaction; however, to the extent that the transaction results in a gain, an offsetting unrealized capital loss and liability is recorded to defer any impact on surplus. Economic transactions between the Company and other related parties are recorded at estimated fair value at the date of the transaction. To the extent that the related parties are affiliates under control of the Company, the Company defers the effects of such transactions that result in gains or increases in surplus by recording an offsetting unrealized capital loss and liability. A transaction involving services between related parties is recorded at the amount charged and is generally subject to regulatory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Fair Value Information</w:t>
      </w:r>
    </w:p>
    <w:p>
      <w:pPr>
        <w:spacing w:after="0" w:line="104"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Fair Value of All Financial Instruments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related to the aggregate fair value of financial instruments is shown below at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Aggregate</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Admitted Value</w:t>
            </w:r>
          </w:p>
        </w:tc>
        <w:tc>
          <w:tcPr>
            <w:tcW w:w="2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Bonds</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1,721</w:t>
            </w:r>
          </w:p>
        </w:tc>
        <w:tc>
          <w:tcPr>
            <w:tcW w:w="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1,893</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115</w:t>
            </w:r>
          </w:p>
        </w:tc>
        <w:tc>
          <w:tcPr>
            <w:tcW w:w="11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$1,604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Mortgage loans</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invested assets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due and accrued</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Separate Account assets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8,815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9,227</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310</w:t>
            </w:r>
          </w:p>
        </w:tc>
        <w:tc>
          <w:tcPr>
            <w:tcW w:w="11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7,611</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9"/>
        </w:trPr>
        <w:tc>
          <w:tcPr>
            <w:tcW w:w="48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9,425</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80" w:type="dxa"/>
            <w:vAlign w:val="bottom"/>
            <w:vMerge w:val="restart"/>
          </w:tcPr>
          <w:p>
            <w:pPr>
              <w:jc w:val="right"/>
              <w:ind w:right="490"/>
              <w:spacing w:after="0"/>
              <w:rPr>
                <w:sz w:val="20"/>
                <w:szCs w:val="20"/>
                <w:color w:val="auto"/>
              </w:rPr>
            </w:pPr>
            <w:r>
              <w:rPr>
                <w:rFonts w:ascii="Arial" w:cs="Arial" w:eastAsia="Arial" w:hAnsi="Arial"/>
                <w:sz w:val="18"/>
                <w:szCs w:val="18"/>
                <w:color w:val="auto"/>
              </w:rPr>
              <w:t>194</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195" w:name="page196"/>
    <w:bookmarkEnd w:id="19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Admitted Value</w:t>
            </w:r>
          </w:p>
        </w:tc>
        <w:tc>
          <w:tcPr>
            <w:tcW w:w="48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w:t>
            </w:r>
          </w:p>
        </w:tc>
        <w:tc>
          <w:tcPr>
            <w:tcW w:w="17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Investment contracts included in:</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Liability for deposit-type contracts</w:t>
            </w:r>
          </w:p>
        </w:tc>
        <w:tc>
          <w:tcPr>
            <w:tcW w:w="2040" w:type="dxa"/>
            <w:vAlign w:val="bottom"/>
            <w:gridSpan w:val="2"/>
            <w:shd w:val="clear" w:color="auto" w:fill="CCEEFF"/>
          </w:tcPr>
          <w:p>
            <w:pPr>
              <w:ind w:left="17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Payable for collateral received</w:t>
            </w: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Separate Account liabilities</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2040" w:type="dxa"/>
            <w:vAlign w:val="bottom"/>
            <w:gridSpan w:val="2"/>
            <w:shd w:val="clear" w:color="auto" w:fill="CCEEFF"/>
          </w:tcPr>
          <w:p>
            <w:pPr>
              <w:ind w:left="17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107</w:t>
            </w:r>
          </w:p>
        </w:tc>
        <w:tc>
          <w:tcPr>
            <w:tcW w:w="6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7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93</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780" w:type="dxa"/>
            <w:vAlign w:val="bottom"/>
            <w:vMerge w:val="restart"/>
          </w:tcPr>
          <w:p>
            <w:pPr>
              <w:jc w:val="right"/>
              <w:ind w:right="70"/>
              <w:spacing w:after="0"/>
              <w:rPr>
                <w:sz w:val="20"/>
                <w:szCs w:val="20"/>
                <w:color w:val="auto"/>
              </w:rPr>
            </w:pPr>
            <w:r>
              <w:rPr>
                <w:rFonts w:ascii="Arial" w:cs="Arial" w:eastAsia="Arial" w:hAnsi="Arial"/>
                <w:sz w:val="18"/>
                <w:szCs w:val="18"/>
                <w:color w:val="auto"/>
              </w:rPr>
              <w:t>195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196" w:name="page197"/>
    <w:bookmarkEnd w:id="196"/>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87"/>
        </w:trPr>
        <w:tc>
          <w:tcPr>
            <w:tcW w:w="63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1"/>
        </w:trPr>
        <w:tc>
          <w:tcPr>
            <w:tcW w:w="63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Admitted Value</w:t>
            </w:r>
          </w:p>
        </w:tc>
        <w:tc>
          <w:tcPr>
            <w:tcW w:w="2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Bonds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1,645</w:t>
            </w:r>
          </w:p>
        </w:tc>
        <w:tc>
          <w:tcPr>
            <w:tcW w:w="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1,796</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1,528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Mortgage loans</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due and accrued</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Separate Account assets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8,429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8,808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7,375</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w:t>
            </w:r>
          </w:p>
        </w:tc>
      </w:tr>
      <w:tr>
        <w:trPr>
          <w:trHeight w:val="209"/>
        </w:trPr>
        <w:tc>
          <w:tcPr>
            <w:tcW w:w="6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9,073</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1,120</w:t>
            </w:r>
          </w:p>
        </w:tc>
        <w:tc>
          <w:tcPr>
            <w:tcW w:w="6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Investment contracts included in: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Liability for deposit-type contracts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Payable for collateral received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Separate Account liabilities</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452"/>
        <w:spacing w:after="0" w:line="204" w:lineRule="auto"/>
        <w:tabs>
          <w:tab w:leader="none" w:pos="46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Classification of derivatives is based on each derivative’s positive (asset) or negative (liability) book/adjusted carrying value, which equals the net admitted assets and liabilities.</w:t>
      </w:r>
    </w:p>
    <w:p>
      <w:pPr>
        <w:spacing w:after="0" w:line="7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When developing estimated fair values, the Company considers three broad valuation techniques: (i) the market approach, (ii) the income approach, and (iii) 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82" w:lineRule="exact"/>
        <w:rPr>
          <w:sz w:val="20"/>
          <w:szCs w:val="20"/>
          <w:color w:val="auto"/>
        </w:rPr>
      </w:pPr>
    </w:p>
    <w:p>
      <w:pPr>
        <w:jc w:val="both"/>
        <w:ind w:left="1020" w:hanging="1011"/>
        <w:spacing w:after="0" w:line="253" w:lineRule="auto"/>
        <w:tabs>
          <w:tab w:leader="none" w:pos="10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61" w:lineRule="exact"/>
        <w:rPr>
          <w:sz w:val="20"/>
          <w:szCs w:val="20"/>
          <w:color w:val="auto"/>
        </w:rPr>
      </w:pPr>
    </w:p>
    <w:p>
      <w:pPr>
        <w:jc w:val="both"/>
        <w:ind w:left="1020" w:hanging="1011"/>
        <w:spacing w:after="0" w:line="247" w:lineRule="auto"/>
        <w:tabs>
          <w:tab w:leader="none" w:pos="100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66" w:lineRule="exact"/>
        <w:rPr>
          <w:sz w:val="20"/>
          <w:szCs w:val="20"/>
          <w:color w:val="auto"/>
        </w:rPr>
      </w:pPr>
    </w:p>
    <w:p>
      <w:pPr>
        <w:jc w:val="both"/>
        <w:ind w:left="1020" w:hanging="1011"/>
        <w:spacing w:after="0" w:line="253" w:lineRule="auto"/>
        <w:tabs>
          <w:tab w:leader="none" w:pos="100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8"/>
          <w:szCs w:val="18"/>
          <w:color w:val="auto"/>
        </w:rPr>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Estimated Fair Value</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defines estimated fair value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 general, the estimated fair value of investments classified within Level 1 are based on quoted prices in active markets that are readily and regularly obtainable. These investments are the most liquid of the Company’s securities holdings and valuation of these securities does not involve management’s judgment. Investments classified within Level 3</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269" w:right="339" w:bottom="1440" w:gutter="0" w:footer="0" w:header="0"/>
        </w:sectPr>
      </w:pPr>
    </w:p>
    <w:bookmarkStart w:id="197" w:name="page198"/>
    <w:bookmarkEnd w:id="197"/>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use many of the same valuation techniques and inputs as described in the Level 2 discussions. However, if key inputs are unobservable, or if the investments are less liquid and there is very limited trading activity, the investments are generally classified as Level 3. The use of independent non-binding broker quotations to value investments generally indicates there is a lack of liquidity or the general lack of transparency in the process to develop the valuation estimates generally causing such investments to be classified in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 Preferred Stock, Cash, Cash Equivalents and Short-term Investments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1 assets, the estimated fair value is determined using quoted prices in active markets that are readily and regularly obtainable. Additionally, as the estimated fair value for cash approximates carrying value, due to the nature of cash, it is classified as Level 1.</w:t>
      </w:r>
    </w:p>
    <w:p>
      <w:pPr>
        <w:spacing w:after="0" w:line="46"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For Level 2 assets, estimated fair values are determined using an income approach. The estimated fair value is determined using third-party commercial pricing services, with the primary inputs being quoted prices in markets that are not active, benchmark yields, spreads off benchmark yields, new issuances, issuer ratings, trades of identical or comparable securities, and duration for Level 2 assets. Privately-placed securities are valued using additional key inputs: market yield curves, call provisions, observable prices and spreads for similar public or private securities that incorporate the credit quality and industry sector of the issuer, and delta spread adjustments to reflect specific credit-related issues.</w:t>
      </w:r>
    </w:p>
    <w:p>
      <w:pPr>
        <w:spacing w:after="0" w:line="7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estimated fair value for preferred stock is determined using third-party commercial pricing services, with the primary input being quoted prices in markets that are not active. Generally, these investments are classified in Level 2 or Level 3. Preferred stock valued using significant observable inputs are classified in Level 2 and those valued using significant unobservable inputs are classified in Level 3.</w:t>
      </w:r>
    </w:p>
    <w:p>
      <w:pPr>
        <w:spacing w:after="0" w:line="61"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For mortgage loans, estimated fair value is primarily determined by estimating expected future cash flows and discounting them using current interest rates for similar mortgage loans with similar credit risk, or is determined from pricing for similar mortgage loans. The estimated fair values for impaired mortgage loans are principally obtained by estimating the fair value of the underlying collateral using market standard appraisal and valuation methods. Mortgage loans valued using significant unobservable inputs are classified in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For OTC-bilateral derivatives classified as Level 2 assets or liabilities, estimated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61"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significant inputs to the pricing models for most OTC-bilateral derivatives are inputs that are observable in the market or can be derived principally from, or corroborated by, observable market data.</w:t>
      </w:r>
    </w:p>
    <w:p>
      <w:pPr>
        <w:spacing w:after="0" w:line="4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Most inputs for OTC-bilateral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the net change in capital and surplus.</w:t>
      </w:r>
    </w:p>
    <w:p>
      <w:pPr>
        <w:spacing w:after="0" w:line="61"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derivatives, and any potential credit adjustment is based on the net exposure by counterparty after taking into account the effects of netting agreements and collateral arrangements. The Company values its OTC-bilateral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269" w:right="339" w:bottom="1440" w:gutter="0" w:footer="0" w:header="0"/>
        </w:sectPr>
      </w:pPr>
    </w:p>
    <w:bookmarkStart w:id="198" w:name="page199"/>
    <w:bookmarkEnd w:id="198"/>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estimated fair value of other invested assets is determined using the methodologies as described in the above sections titled “Bonds, Preferred Stock, Cash, Cash Equivalents and Short-term Investments”, based on the nature of the investment. Excluded from the disclosure are those invested assets that are not considered to be financial instruments subject to this disclosure including investments accounted for under the equity method.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Due and Accrued</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Due to the short-term nature of investment income due and accrued, the Company believes there is minimal risk of material changes in interest rates or the credit of the issuer such that estimated fair value approximates carrying value. These amounts are generally classified in Level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Accounts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1 assets, the estimated fair value is determined using quoted prices in active markets that are readily and regularly obtainable. Additionally, as the estimated fair value for cash equivalents carrying value, due to the nature of cash, it is classified as Level 1.</w:t>
      </w:r>
    </w:p>
    <w:p>
      <w:pPr>
        <w:spacing w:after="0" w:line="46"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For Separate Account assets classified as Level 2 assets, estimated fair values are determined using either a market or income approach. The estimated fair value is determined using third-party commercial pricing services, with the primary input being quoted securitization market price determined principally by independent pricing services using observable inputs or quoted prices or reported net asset value (“NAV”) provided by the fund managers.</w:t>
      </w:r>
    </w:p>
    <w:p>
      <w:pPr>
        <w:spacing w:after="0" w:line="17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Level 3 assets, estimated fair values are determined using a market approach. The estimated fair value is determined using matrix pricing or consensus pricing, with the primary inputs being quoted and offered prices.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Contracts Included in Reserves for Life and Health Insurance and Annuities and Liability for Deposit-Type Contracts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fair value of investment contracts included in reserves for life and health insurance and annuities and in the liability for deposit-type contracts is estimated by discounting best estimate future cash flows based on assumptions that market participants would use in pricing such liabilities, with consideration of the Company’s non-performance risk (own-credit risk) not reflected in the fair value calculation. The assumptions used in estimating these fair values are based in part on unobservable inputs classified in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Money</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estimated fair value for borrowed money (including interest thereon) approximates carrying value due to the short-term maturities of these instruments. The amounts are classified in Level 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269" w:right="339" w:bottom="1440" w:gutter="0" w:footer="0" w:header="0"/>
        </w:sectPr>
      </w:pPr>
    </w:p>
    <w:bookmarkStart w:id="199" w:name="page200"/>
    <w:bookmarkEnd w:id="199"/>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 for Collateral Received</w:t>
      </w:r>
    </w:p>
    <w:p>
      <w:pPr>
        <w:spacing w:after="0" w:line="102"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estimated fair value of amounts payable for collateral received approximates carrying value as these obligations are short-term in nature. These amounts are generally classified in Level 2.</w:t>
      </w:r>
    </w:p>
    <w:p>
      <w:pPr>
        <w:spacing w:after="0" w:line="156" w:lineRule="exact"/>
        <w:rPr>
          <w:sz w:val="20"/>
          <w:szCs w:val="20"/>
          <w:color w:val="auto"/>
        </w:rPr>
      </w:pPr>
    </w:p>
    <w:p>
      <w:pPr>
        <w:ind w:right="3720"/>
        <w:spacing w:after="0" w:line="358" w:lineRule="auto"/>
        <w:rPr>
          <w:sz w:val="20"/>
          <w:szCs w:val="20"/>
          <w:color w:val="auto"/>
        </w:rPr>
      </w:pPr>
      <w:r>
        <w:rPr>
          <w:rFonts w:ascii="Arial" w:cs="Arial" w:eastAsia="Arial" w:hAnsi="Arial"/>
          <w:sz w:val="18"/>
          <w:szCs w:val="18"/>
          <w:b w:val="1"/>
          <w:bCs w:val="1"/>
          <w:i w:val="1"/>
          <w:iCs w:val="1"/>
          <w:color w:val="auto"/>
        </w:rPr>
        <w:t xml:space="preserve">Assets and Liabilities Measured and Reported at Estimated Fair Value at Reporting Date </w:t>
      </w:r>
      <w:r>
        <w:rPr>
          <w:rFonts w:ascii="Arial" w:cs="Arial" w:eastAsia="Arial" w:hAnsi="Arial"/>
          <w:sz w:val="18"/>
          <w:szCs w:val="18"/>
          <w:i w:val="1"/>
          <w:iCs w:val="1"/>
          <w:color w:val="auto"/>
        </w:rPr>
        <w:t>Hierarchy Table</w:t>
      </w:r>
    </w:p>
    <w:p>
      <w:pPr>
        <w:spacing w:after="0" w:line="1"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following tables provide information about financial assets and liabilities measured and reported at estimated fair value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255"/>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 Level 1 </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 Level 2 </w:t>
            </w:r>
          </w:p>
        </w:tc>
        <w:tc>
          <w:tcPr>
            <w:tcW w:w="1500" w:type="dxa"/>
            <w:vAlign w:val="bottom"/>
            <w:gridSpan w:val="5"/>
          </w:tcPr>
          <w:p>
            <w:pPr>
              <w:ind w:left="220"/>
              <w:spacing w:after="0"/>
              <w:rPr>
                <w:sz w:val="20"/>
                <w:szCs w:val="20"/>
                <w:color w:val="auto"/>
              </w:rPr>
            </w:pPr>
            <w:r>
              <w:rPr>
                <w:rFonts w:ascii="Arial" w:cs="Arial" w:eastAsia="Arial" w:hAnsi="Arial"/>
                <w:sz w:val="14"/>
                <w:szCs w:val="14"/>
                <w:b w:val="1"/>
                <w:bCs w:val="1"/>
                <w:color w:val="auto"/>
              </w:rPr>
              <w:t> Level 3 </w:t>
            </w:r>
          </w:p>
        </w:tc>
        <w:tc>
          <w:tcPr>
            <w:tcW w:w="6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rate</w:t>
            </w:r>
          </w:p>
        </w:tc>
        <w:tc>
          <w:tcPr>
            <w:tcW w:w="2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0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rate</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4200" w:type="dxa"/>
            <w:vAlign w:val="bottom"/>
          </w:tcPr>
          <w:p>
            <w:pPr>
              <w:ind w:left="540"/>
              <w:spacing w:after="0"/>
              <w:rPr>
                <w:sz w:val="20"/>
                <w:szCs w:val="20"/>
                <w:color w:val="auto"/>
              </w:rPr>
            </w:pPr>
            <w:r>
              <w:rPr>
                <w:rFonts w:ascii="Arial" w:cs="Arial" w:eastAsia="Arial" w:hAnsi="Arial"/>
                <w:sz w:val="18"/>
                <w:szCs w:val="18"/>
                <w:color w:val="auto"/>
              </w:rPr>
              <w:t>Total Derivative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4"/>
              </w:rPr>
              <w:t>  —</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line="202" w:lineRule="exact"/>
              <w:rPr>
                <w:sz w:val="20"/>
                <w:szCs w:val="20"/>
                <w:color w:val="auto"/>
              </w:rPr>
            </w:pPr>
            <w:r>
              <w:rPr>
                <w:rFonts w:ascii="Arial" w:cs="Arial" w:eastAsia="Arial" w:hAnsi="Arial"/>
                <w:sz w:val="16"/>
                <w:szCs w:val="16"/>
                <w:color w:val="auto"/>
              </w:rPr>
              <w:t xml:space="preserve">Separate Account assets </w:t>
            </w:r>
            <w:r>
              <w:rPr>
                <w:rFonts w:ascii="Arial" w:cs="Arial" w:eastAsia="Arial" w:hAnsi="Arial"/>
                <w:sz w:val="23"/>
                <w:szCs w:val="23"/>
                <w:color w:val="auto"/>
                <w:vertAlign w:val="superscript"/>
              </w:rPr>
              <w:t>(2)</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4,227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4,227</w:t>
            </w:r>
          </w:p>
        </w:tc>
        <w:tc>
          <w:tcPr>
            <w:tcW w:w="0" w:type="dxa"/>
            <w:vAlign w:val="bottom"/>
          </w:tcPr>
          <w:p>
            <w:pPr>
              <w:spacing w:after="0"/>
              <w:rPr>
                <w:sz w:val="1"/>
                <w:szCs w:val="1"/>
                <w:color w:val="auto"/>
              </w:rPr>
            </w:pPr>
          </w:p>
        </w:tc>
      </w:tr>
      <w:tr>
        <w:trPr>
          <w:trHeight w:val="209"/>
        </w:trPr>
        <w:tc>
          <w:tcPr>
            <w:tcW w:w="420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4"/>
              </w:rPr>
              <w:t>  —</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2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2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4"/>
              </w:rPr>
              <w:t>  —</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80" w:type="dxa"/>
            <w:vAlign w:val="bottom"/>
            <w:vMerge w:val="restart"/>
          </w:tcPr>
          <w:p>
            <w:pPr>
              <w:jc w:val="right"/>
              <w:ind w:right="1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2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200" w:name="page201"/>
    <w:bookmarkEnd w:id="200"/>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following tables provide information about financial assets and liabilities measured and reported at estimated fair value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55"/>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 Level 1 </w:t>
            </w:r>
          </w:p>
        </w:tc>
        <w:tc>
          <w:tcPr>
            <w:tcW w:w="160" w:type="dxa"/>
            <w:vAlign w:val="bottom"/>
          </w:tcPr>
          <w:p>
            <w:pPr>
              <w:spacing w:after="0"/>
              <w:rPr>
                <w:sz w:val="17"/>
                <w:szCs w:val="17"/>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 Level 2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 Level 3 </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Total </w:t>
            </w: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assets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rate</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rate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14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126</w:t>
            </w:r>
          </w:p>
        </w:tc>
      </w:tr>
      <w:tr>
        <w:trPr>
          <w:trHeight w:val="210"/>
        </w:trPr>
        <w:tc>
          <w:tcPr>
            <w:tcW w:w="5900" w:type="dxa"/>
            <w:vAlign w:val="bottom"/>
          </w:tcPr>
          <w:p>
            <w:pPr>
              <w:ind w:left="540"/>
              <w:spacing w:after="0"/>
              <w:rPr>
                <w:sz w:val="20"/>
                <w:szCs w:val="20"/>
                <w:color w:val="auto"/>
              </w:rPr>
            </w:pPr>
            <w:r>
              <w:rPr>
                <w:rFonts w:ascii="Arial" w:cs="Arial" w:eastAsia="Arial" w:hAnsi="Arial"/>
                <w:sz w:val="18"/>
                <w:szCs w:val="18"/>
                <w:color w:val="auto"/>
              </w:rPr>
              <w:t>Total Derivative assets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1"/>
              </w:rPr>
              <w:t>  —</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1"/>
              </w:rPr>
              <w:t>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6"/>
                <w:szCs w:val="16"/>
                <w:color w:val="auto"/>
              </w:rPr>
              <w:t xml:space="preserve">Separate Account assets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4,126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4,126</w:t>
            </w:r>
          </w:p>
        </w:tc>
      </w:tr>
      <w:tr>
        <w:trPr>
          <w:trHeight w:val="209"/>
        </w:trPr>
        <w:tc>
          <w:tcPr>
            <w:tcW w:w="590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1"/>
              </w:rPr>
              <w:t>  —</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1"/>
              </w:rPr>
              <w:t>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4,256</w:t>
            </w:r>
          </w:p>
        </w:tc>
        <w:tc>
          <w:tcPr>
            <w:tcW w:w="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6"/>
                <w:szCs w:val="16"/>
                <w:color w:val="auto"/>
              </w:rPr>
              <w:t xml:space="preserve">Derivative liabilities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market</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9"/>
        </w:trPr>
        <w:tc>
          <w:tcPr>
            <w:tcW w:w="59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1"/>
              </w:rPr>
              <w:t>  —</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1"/>
              </w:rPr>
              <w:t>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right="20" w:hanging="452"/>
        <w:spacing w:after="0" w:line="204"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Derivative assets and derivative liabilities presented in the table above represent only those derivatives that are carried at estimated fair value. Accordingly, the amounts above exclude highly effective derivatives carried at amortized cost.</w:t>
      </w:r>
    </w:p>
    <w:p>
      <w:pPr>
        <w:spacing w:after="0" w:line="53" w:lineRule="exact"/>
        <w:rPr>
          <w:rFonts w:ascii="Arial" w:cs="Arial" w:eastAsia="Arial" w:hAnsi="Arial"/>
          <w:sz w:val="22"/>
          <w:szCs w:val="22"/>
          <w:color w:val="auto"/>
          <w:vertAlign w:val="superscript"/>
        </w:rPr>
      </w:pPr>
    </w:p>
    <w:p>
      <w:pPr>
        <w:jc w:val="both"/>
        <w:ind w:left="460" w:hanging="452"/>
        <w:spacing w:after="0" w:line="220"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Separate Account assets are subject to General Account claims only to the extent that the value of such assets exceeds the Separate Account liabilities or for those assets that are not legally insulated. Investments (stated generally at estimated fair value) and liabilities of the Separate Accounts are reported separately as assets and liabilities. Separate Account assets as presented in the table above may differ from the amounts presented in the Statutory Statements of Admitted Assets, Liabilities and Capital and Surplus because certain of these investments are not measured at estimated fair value (such as institutional separate accounts carried at book value).</w:t>
      </w:r>
    </w:p>
    <w:p>
      <w:pPr>
        <w:spacing w:after="0" w:line="72"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See “Determination of Estimated Fair Value” above for a description of the valuation technique(s) and the inputs used in the fair value measurement for assets and liabilities measured and reported at fair value.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between Levels</w:t>
      </w:r>
    </w:p>
    <w:p>
      <w:pPr>
        <w:spacing w:after="0" w:line="102" w:lineRule="exact"/>
        <w:rPr>
          <w:sz w:val="20"/>
          <w:szCs w:val="20"/>
          <w:color w:val="auto"/>
        </w:rPr>
      </w:pPr>
    </w:p>
    <w:p>
      <w:pPr>
        <w:ind w:right="20" w:firstLine="449"/>
        <w:spacing w:after="0" w:line="271" w:lineRule="auto"/>
        <w:rPr>
          <w:sz w:val="20"/>
          <w:szCs w:val="20"/>
          <w:color w:val="auto"/>
        </w:rPr>
      </w:pPr>
      <w:r>
        <w:rPr>
          <w:rFonts w:ascii="Arial" w:cs="Arial" w:eastAsia="Arial" w:hAnsi="Arial"/>
          <w:sz w:val="18"/>
          <w:szCs w:val="18"/>
          <w:color w:val="auto"/>
        </w:rPr>
        <w:t>Transfers between levels are assumed to occur at the beginning of the annual period. During the periods ended March 31, 2024 and 2023, there were no transfers between levels.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269" w:right="339" w:bottom="1440" w:gutter="0" w:footer="0" w:header="0"/>
        </w:sectPr>
      </w:pPr>
    </w:p>
    <w:bookmarkStart w:id="201" w:name="page202"/>
    <w:bookmarkEnd w:id="201"/>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 and Preferred Stocks by Sector</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following table presents the book/adjusted carrying value, gross unrealized gains and losses and estimated fair value of bonds and preferred stocks owned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46"/>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8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Adjusted</w:t>
            </w:r>
          </w:p>
        </w:tc>
        <w:tc>
          <w:tcPr>
            <w:tcW w:w="15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Gross Unrealized</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4"/>
                <w:szCs w:val="14"/>
                <w:color w:val="auto"/>
              </w:rPr>
            </w:pPr>
          </w:p>
        </w:tc>
        <w:tc>
          <w:tcPr>
            <w:tcW w:w="132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r>
      <w:tr>
        <w:trPr>
          <w:trHeight w:val="187"/>
        </w:trPr>
        <w:tc>
          <w:tcPr>
            <w:tcW w:w="482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Bonds</w:t>
            </w: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U.S. corporate</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7"/>
                <w:szCs w:val="17"/>
                <w:color w:val="auto"/>
              </w:rPr>
            </w:pP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906</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942</w:t>
            </w: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847</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RMBS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Foreign corporate</w:t>
            </w: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U.S. government and agency</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166</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CMBS</w:t>
            </w: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 and political subdivision</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ABS</w:t>
            </w:r>
          </w:p>
        </w:tc>
        <w:tc>
          <w:tcPr>
            <w:tcW w:w="100" w:type="dxa"/>
            <w:vAlign w:val="bottom"/>
          </w:tcPr>
          <w:p>
            <w:pPr>
              <w:spacing w:after="0"/>
              <w:rPr>
                <w:sz w:val="17"/>
                <w:szCs w:val="17"/>
                <w:color w:val="auto"/>
              </w:rPr>
            </w:pPr>
          </w:p>
        </w:tc>
        <w:tc>
          <w:tcPr>
            <w:tcW w:w="7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03"/>
        </w:trPr>
        <w:tc>
          <w:tcPr>
            <w:tcW w:w="4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government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9"/>
        </w:trPr>
        <w:tc>
          <w:tcPr>
            <w:tcW w:w="4820" w:type="dxa"/>
            <w:vAlign w:val="bottom"/>
          </w:tcPr>
          <w:p>
            <w:pPr>
              <w:ind w:left="360"/>
              <w:spacing w:after="0"/>
              <w:rPr>
                <w:sz w:val="20"/>
                <w:szCs w:val="20"/>
                <w:color w:val="auto"/>
              </w:rPr>
            </w:pPr>
            <w:r>
              <w:rPr>
                <w:rFonts w:ascii="Arial" w:cs="Arial" w:eastAsia="Arial" w:hAnsi="Arial"/>
                <w:sz w:val="18"/>
                <w:szCs w:val="18"/>
                <w:color w:val="auto"/>
              </w:rPr>
              <w:t>Total bonds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color w:val="auto"/>
                <w:w w:val="71"/>
              </w:rPr>
              <w:t>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6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Preferred</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  —</w:t>
            </w:r>
          </w:p>
        </w:tc>
        <w:tc>
          <w:tcPr>
            <w:tcW w:w="4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87"/>
              </w:rPr>
              <w:t>  —</w:t>
            </w:r>
          </w:p>
        </w:tc>
        <w:tc>
          <w:tcPr>
            <w:tcW w:w="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hold any non-income producing bonds at March 31, 2024 and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Bonds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book/adjusted carrying value and estimated fair value of bonds, by contractual maturity, were as follows at March 31, 2024 (in millions):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32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Book/Adjusted</w:t>
            </w: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4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Carrying Value</w:t>
            </w: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Due in one year or less</w:t>
            </w:r>
          </w:p>
        </w:tc>
        <w:tc>
          <w:tcPr>
            <w:tcW w:w="16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280" w:type="dxa"/>
            <w:vAlign w:val="bottom"/>
            <w:tcBorders>
              <w:top w:val="single" w:sz="8" w:color="auto"/>
            </w:tcBorders>
            <w:shd w:val="clear" w:color="auto" w:fill="CCEEFF"/>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80" w:type="dxa"/>
            <w:vAlign w:val="bottom"/>
          </w:tcPr>
          <w:p>
            <w:pPr>
              <w:spacing w:after="0"/>
              <w:rPr>
                <w:sz w:val="17"/>
                <w:szCs w:val="17"/>
                <w:color w:val="auto"/>
              </w:rPr>
            </w:pP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after five years through ten years</w:t>
            </w:r>
          </w:p>
        </w:tc>
        <w:tc>
          <w:tcPr>
            <w:tcW w:w="1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7"/>
                <w:szCs w:val="17"/>
                <w:color w:val="auto"/>
              </w:rPr>
            </w:pPr>
          </w:p>
        </w:tc>
      </w:tr>
      <w:tr>
        <w:trPr>
          <w:trHeight w:val="209"/>
        </w:trPr>
        <w:tc>
          <w:tcPr>
            <w:tcW w:w="4640" w:type="dxa"/>
            <w:vAlign w:val="bottom"/>
          </w:tcPr>
          <w:p>
            <w:pPr>
              <w:spacing w:after="0" w:line="202" w:lineRule="exact"/>
              <w:rPr>
                <w:sz w:val="20"/>
                <w:szCs w:val="20"/>
                <w:color w:val="auto"/>
              </w:rPr>
            </w:pPr>
            <w:r>
              <w:rPr>
                <w:rFonts w:ascii="Arial" w:cs="Arial" w:eastAsia="Arial" w:hAnsi="Arial"/>
                <w:sz w:val="18"/>
                <w:szCs w:val="18"/>
                <w:color w:val="auto"/>
              </w:rPr>
              <w:t>Due after ten years</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w:t>
            </w:r>
          </w:p>
        </w:tc>
        <w:tc>
          <w:tcPr>
            <w:tcW w:w="280" w:type="dxa"/>
            <w:vAlign w:val="bottom"/>
          </w:tcPr>
          <w:p>
            <w:pPr>
              <w:spacing w:after="0"/>
              <w:rPr>
                <w:sz w:val="18"/>
                <w:szCs w:val="18"/>
                <w:color w:val="auto"/>
              </w:rPr>
            </w:pPr>
          </w:p>
        </w:tc>
      </w:tr>
      <w:tr>
        <w:trPr>
          <w:trHeight w:val="203"/>
        </w:trPr>
        <w:tc>
          <w:tcPr>
            <w:tcW w:w="4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Subtotal</w:t>
            </w:r>
          </w:p>
        </w:tc>
        <w:tc>
          <w:tcPr>
            <w:tcW w:w="1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1,505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1,360</w:t>
            </w:r>
          </w:p>
        </w:tc>
        <w:tc>
          <w:tcPr>
            <w:tcW w:w="280" w:type="dxa"/>
            <w:vAlign w:val="bottom"/>
            <w:shd w:val="clear" w:color="auto" w:fill="CCEEFF"/>
          </w:tcPr>
          <w:p>
            <w:pPr>
              <w:spacing w:after="0"/>
              <w:rPr>
                <w:sz w:val="17"/>
                <w:szCs w:val="17"/>
                <w:color w:val="auto"/>
              </w:rPr>
            </w:pPr>
          </w:p>
        </w:tc>
      </w:tr>
      <w:tr>
        <w:trPr>
          <w:trHeight w:val="210"/>
        </w:trPr>
        <w:tc>
          <w:tcPr>
            <w:tcW w:w="4640" w:type="dxa"/>
            <w:vAlign w:val="bottom"/>
          </w:tcPr>
          <w:p>
            <w:pPr>
              <w:spacing w:after="0" w:line="202" w:lineRule="exact"/>
              <w:rPr>
                <w:sz w:val="20"/>
                <w:szCs w:val="20"/>
                <w:color w:val="auto"/>
              </w:rPr>
            </w:pPr>
            <w:r>
              <w:rPr>
                <w:rFonts w:ascii="Arial" w:cs="Arial" w:eastAsia="Arial" w:hAnsi="Arial"/>
                <w:sz w:val="18"/>
                <w:szCs w:val="18"/>
                <w:color w:val="auto"/>
              </w:rPr>
              <w:t>Loan-backed securities</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r>
      <w:tr>
        <w:trPr>
          <w:trHeight w:val="203"/>
        </w:trPr>
        <w:tc>
          <w:tcPr>
            <w:tcW w:w="4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1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1,893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1,721</w:t>
            </w:r>
          </w:p>
        </w:tc>
        <w:tc>
          <w:tcPr>
            <w:tcW w:w="280" w:type="dxa"/>
            <w:vAlign w:val="bottom"/>
            <w:shd w:val="clear" w:color="auto" w:fill="CCEEFF"/>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Bonds not due at a single maturity date have been presented in the year of final contractual maturity. Loan-backed securities are shown separately, as they are not due at a single maturity.</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short-term investments have original contractual maturities of one year or less.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269" w:right="339" w:bottom="1440" w:gutter="0" w:footer="0" w:header="0"/>
        </w:sectPr>
      </w:pPr>
    </w:p>
    <w:bookmarkStart w:id="202" w:name="page203"/>
    <w:bookmarkEnd w:id="20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Gross Unrealized Losses for Bonds - By Sector</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following table presents the estimated fair value and gross unrealized losses of bonds in an unrealized loss position, aggregated by sector and by length of time that the securities have been in a continuous gross unrealized loss position at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Equal to or Greater than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Equal to or Greater than</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12 Months</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Less than 12 Months</w:t>
            </w: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12 Months</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corporate</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RMBS</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corporate</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U.S. government and agency</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120</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CMBS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State and political subdivision</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Foreign government</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bonds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540" w:type="dxa"/>
            <w:vAlign w:val="bottom"/>
            <w:gridSpan w:val="3"/>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1,287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175</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50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Total number of bonds in 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180"/>
              <w:spacing w:after="0"/>
              <w:rPr>
                <w:sz w:val="20"/>
                <w:szCs w:val="20"/>
                <w:color w:val="auto"/>
              </w:rPr>
            </w:pPr>
            <w:r>
              <w:rPr>
                <w:rFonts w:ascii="Arial" w:cs="Arial" w:eastAsia="Arial" w:hAnsi="Arial"/>
                <w:sz w:val="18"/>
                <w:szCs w:val="18"/>
                <w:color w:val="auto"/>
              </w:rPr>
              <w:t>unrealized loss position</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Loan-backed Security Holdings - OTTI Losses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did not impair any loan-backed securities to estimated fair value during the three months ended March 31, 2024 and 2023 because of either (i) an intent to sell the security or (ii) the inability or lack of intent to retain the security for a period of time sufficient to recover the amortized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Evaluating Temporarily Impaired Bonds for OTTI</w:t>
      </w:r>
    </w:p>
    <w:p>
      <w:pPr>
        <w:spacing w:after="0" w:line="102" w:lineRule="exact"/>
        <w:rPr>
          <w:sz w:val="20"/>
          <w:szCs w:val="20"/>
          <w:color w:val="auto"/>
        </w:rPr>
      </w:pPr>
    </w:p>
    <w:p>
      <w:pPr>
        <w:jc w:val="both"/>
        <w:ind w:firstLine="449"/>
        <w:spacing w:after="0" w:line="239" w:lineRule="auto"/>
        <w:rPr>
          <w:sz w:val="20"/>
          <w:szCs w:val="20"/>
          <w:color w:val="auto"/>
        </w:rPr>
      </w:pPr>
      <w:r>
        <w:rPr>
          <w:rFonts w:ascii="Arial" w:cs="Arial" w:eastAsia="Arial" w:hAnsi="Arial"/>
          <w:sz w:val="18"/>
          <w:szCs w:val="18"/>
          <w:color w:val="auto"/>
        </w:rPr>
        <w:t>As more fully described in Note 1, the Company performs a regular evaluation, on a security-by-security basis, of its securities holdings in accordance with its OTTI policy in order to evaluate whether such investments are other than temporarily impaired. These securities were included in the Company’s OTTI review process. With respect to loan-backed securities in the bond portfolio, the Company performs scenario analyses. The scenarios attempt to project future delinquencies and principal losses. Based upon the Company’s current evaluation of its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 than temporarily impaired. Future impairments will depend primarily on economic fundamentals, issuer performance (including changes in estimated present value of projected future cash flows to be collected) and changes in credit ratings, collateral valuations, interest rates and credit spreads. If economic fundamentals deteriorate or if there are adverse changes in the above factors, additional impairments may be incurred in upcoming periods.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269" w:right="339" w:bottom="1440" w:gutter="0" w:footer="0" w:header="0"/>
        </w:sectPr>
      </w:pPr>
    </w:p>
    <w:bookmarkStart w:id="203" w:name="page204"/>
    <w:bookmarkEnd w:id="203"/>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Gross unrealized losses on bonds increased $19 million during the three months ended March 31, 2024 to $181 million from $162 million at December 31, 2023. The increase in gross unrealized losses for the three months ended March 31, 2024 was primarily attributable to increasing longer-term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NAIC Designation of 5GI</w:t>
      </w:r>
    </w:p>
    <w:p>
      <w:pPr>
        <w:spacing w:after="0" w:line="102"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As of March 31, 2024, the Company held three securities with a NAIC designation of 5GI with both a book/adjusted carrying value and an estimated fair value of $4 million. As of December 31, 2023, the Company held three securities with a NAIC designation of 5GI with both a book/adjusted carrying value and an estimated fair value of $4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 by Portfolio Segment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Mortgage loans are summarized as follows at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Percent</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left w:val="single" w:sz="8" w:color="CCEEFF"/>
            </w:tcBorders>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w:t>
            </w:r>
          </w:p>
        </w:tc>
        <w:tc>
          <w:tcPr>
            <w:tcW w:w="460" w:type="dxa"/>
            <w:vAlign w:val="bottom"/>
            <w:tcBorders>
              <w:left w:val="single" w:sz="8" w:color="CCEEFF"/>
            </w:tcBorders>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440" w:type="dxa"/>
            <w:vAlign w:val="bottom"/>
            <w:tcBorders>
              <w:left w:val="single" w:sz="8" w:color="CCEEFF"/>
            </w:tcBorders>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2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23</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2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mortgage loans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1200" w:type="dxa"/>
            <w:vAlign w:val="bottom"/>
            <w:tcBorders>
              <w:lef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120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At March 31, 2024 and December 31, 2023, the Company had mortgage loan participations of $182 million and $215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by Portfolio Segment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both March 31, 2024 and December 31, 2023, there were no valuation allowances on mortgage loans.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Diversification, Loan Origination and Interest Rate Changes</w:t>
      </w:r>
    </w:p>
    <w:p>
      <w:pPr>
        <w:spacing w:after="0" w:line="102"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Mortgage loans are collateralized by real estate primarily located in the United States and are diversified by geographic region. States where the associated real estate was located that were 5% or more of the Company’s total mortgage loans at March 31,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rPr>
              <w:t>State</w:t>
            </w:r>
          </w:p>
        </w:tc>
        <w:tc>
          <w:tcPr>
            <w:tcW w:w="9520" w:type="dxa"/>
            <w:vAlign w:val="bottom"/>
            <w:vMerge w:val="restart"/>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9520" w:type="dxa"/>
            <w:vAlign w:val="bottom"/>
            <w:vMerge w:val="continue"/>
          </w:tcPr>
          <w:p>
            <w:pPr>
              <w:spacing w:after="0"/>
              <w:rPr>
                <w:sz w:val="13"/>
                <w:szCs w:val="13"/>
                <w:color w:val="auto"/>
              </w:rPr>
            </w:pPr>
          </w:p>
        </w:tc>
        <w:tc>
          <w:tcPr>
            <w:tcW w:w="13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Mortgage Loans</w:t>
            </w:r>
          </w:p>
        </w:tc>
        <w:tc>
          <w:tcPr>
            <w:tcW w:w="0" w:type="dxa"/>
            <w:vAlign w:val="bottom"/>
          </w:tcPr>
          <w:p>
            <w:pPr>
              <w:spacing w:after="0"/>
              <w:rPr>
                <w:sz w:val="1"/>
                <w:szCs w:val="1"/>
                <w:color w:val="auto"/>
              </w:rPr>
            </w:pPr>
          </w:p>
        </w:tc>
      </w:tr>
      <w:tr>
        <w:trPr>
          <w:trHeight w:val="20"/>
        </w:trPr>
        <w:tc>
          <w:tcPr>
            <w:tcW w:w="9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California</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90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Florida</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New York</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Washington</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Colorado</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Alabama</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Generally, the Company, as the lender, only loans up to 75% of the purchase price of the underlying real estate. From time to time, the Company may originate loans in excess of 75% of the purchase price of the underlying real estate, if underwriting risk is sufficiently within the Company’s standards. The Company did not originate mortgage loans during the period ended March 31, 2024 and the year ended December 31, 2023.</w:t>
      </w:r>
    </w:p>
    <w:p>
      <w:pPr>
        <w:spacing w:after="0" w:line="66" w:lineRule="exact"/>
        <w:rPr>
          <w:sz w:val="20"/>
          <w:szCs w:val="20"/>
          <w:color w:val="auto"/>
        </w:rPr>
      </w:pPr>
    </w:p>
    <w:p>
      <w:pPr>
        <w:jc w:val="center"/>
        <w:ind w:right="380"/>
        <w:spacing w:after="0" w:line="443" w:lineRule="auto"/>
        <w:rPr>
          <w:sz w:val="20"/>
          <w:szCs w:val="20"/>
          <w:color w:val="auto"/>
        </w:rPr>
      </w:pPr>
      <w:r>
        <w:rPr>
          <w:rFonts w:ascii="Arial" w:cs="Arial" w:eastAsia="Arial" w:hAnsi="Arial"/>
          <w:sz w:val="18"/>
          <w:szCs w:val="18"/>
          <w:color w:val="auto"/>
        </w:rPr>
        <w:t>The Company did not fund mortgage loans during the period ended March 31, 2024 and the year ended December 31, 2023. 203</w:t>
      </w:r>
    </w:p>
    <w:p>
      <w:pPr>
        <w:sectPr>
          <w:pgSz w:w="11900" w:h="16838" w:orient="portrait"/>
          <w:cols w:equalWidth="0" w:num="1">
            <w:col w:w="11240"/>
          </w:cols>
          <w:pgMar w:left="320" w:top="269" w:right="339" w:bottom="1440" w:gutter="0" w:footer="0" w:header="0"/>
        </w:sectPr>
      </w:pPr>
    </w:p>
    <w:bookmarkStart w:id="204" w:name="page205"/>
    <w:bookmarkEnd w:id="204"/>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did not reduce interest rates on mortgage loans during the period ended March 31, 2024 and the year ended December 31,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Commercial Mortgage Loans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credit quality of commercial mortgage loans is presented below at (dollars in millions):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Recorded Investment</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Debt Service Coverage Ratios</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w:t>
            </w:r>
          </w:p>
        </w:tc>
      </w:tr>
      <w:tr>
        <w:trPr>
          <w:trHeight w:val="156"/>
        </w:trPr>
        <w:tc>
          <w:tcPr>
            <w:tcW w:w="4260" w:type="dxa"/>
            <w:vAlign w:val="bottom"/>
          </w:tcPr>
          <w:p>
            <w:pPr>
              <w:spacing w:after="0"/>
              <w:rPr>
                <w:sz w:val="13"/>
                <w:szCs w:val="13"/>
                <w:color w:val="auto"/>
              </w:rPr>
            </w:pPr>
          </w:p>
        </w:tc>
        <w:tc>
          <w:tcPr>
            <w:tcW w:w="5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&gt; 1.20x</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1.00x - 1.20x</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&lt; 1.00x</w:t>
            </w:r>
          </w:p>
        </w:tc>
        <w:tc>
          <w:tcPr>
            <w:tcW w:w="60" w:type="dxa"/>
            <w:vAlign w:val="bottom"/>
          </w:tcPr>
          <w:p>
            <w:pPr>
              <w:spacing w:after="0"/>
              <w:rPr>
                <w:sz w:val="13"/>
                <w:szCs w:val="13"/>
                <w:color w:val="auto"/>
              </w:rPr>
            </w:pPr>
          </w:p>
        </w:tc>
        <w:tc>
          <w:tcPr>
            <w:tcW w:w="5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Loan-to-value ratios:</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Less than 65%</w:t>
            </w:r>
          </w:p>
        </w:tc>
        <w:tc>
          <w:tcPr>
            <w:tcW w:w="26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2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65% to 75%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  —</w:t>
            </w: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76% to 80%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Greater than 80%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r>
      <w:tr>
        <w:trPr>
          <w:trHeight w:val="209"/>
        </w:trPr>
        <w:tc>
          <w:tcPr>
            <w:tcW w:w="4260" w:type="dxa"/>
            <w:vAlign w:val="bottom"/>
          </w:tcPr>
          <w:p>
            <w:pPr>
              <w:ind w:left="3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136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149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4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Recorded Investment</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Debt Service Coverage Ratios</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w:t>
            </w:r>
          </w:p>
        </w:tc>
      </w:tr>
      <w:tr>
        <w:trPr>
          <w:trHeight w:val="156"/>
        </w:trPr>
        <w:tc>
          <w:tcPr>
            <w:tcW w:w="4260" w:type="dxa"/>
            <w:vAlign w:val="bottom"/>
          </w:tcPr>
          <w:p>
            <w:pPr>
              <w:spacing w:after="0"/>
              <w:rPr>
                <w:sz w:val="13"/>
                <w:szCs w:val="13"/>
                <w:color w:val="auto"/>
              </w:rPr>
            </w:pPr>
          </w:p>
        </w:tc>
        <w:tc>
          <w:tcPr>
            <w:tcW w:w="5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&gt; 1.20x</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1.00x - 1.20x</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&lt; 1.00x</w:t>
            </w:r>
          </w:p>
        </w:tc>
        <w:tc>
          <w:tcPr>
            <w:tcW w:w="60" w:type="dxa"/>
            <w:vAlign w:val="bottom"/>
          </w:tcPr>
          <w:p>
            <w:pPr>
              <w:spacing w:after="0"/>
              <w:rPr>
                <w:sz w:val="13"/>
                <w:szCs w:val="13"/>
                <w:color w:val="auto"/>
              </w:rPr>
            </w:pPr>
          </w:p>
        </w:tc>
        <w:tc>
          <w:tcPr>
            <w:tcW w:w="5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Loan-to-value ratios:</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Less than 65%</w:t>
            </w:r>
          </w:p>
        </w:tc>
        <w:tc>
          <w:tcPr>
            <w:tcW w:w="26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  —</w:t>
            </w:r>
          </w:p>
        </w:tc>
        <w:tc>
          <w:tcPr>
            <w:tcW w:w="2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65% to 75%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76% to 80%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Greater than 80%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r>
      <w:tr>
        <w:trPr>
          <w:trHeight w:val="209"/>
        </w:trPr>
        <w:tc>
          <w:tcPr>
            <w:tcW w:w="4260" w:type="dxa"/>
            <w:vAlign w:val="bottom"/>
          </w:tcPr>
          <w:p>
            <w:pPr>
              <w:ind w:left="3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$ 158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$ 182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Agricultural Mortgage Loans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both March 31, 2024 and December 31, 2023, all agricultural mortgage loans had a loan to value ratio of less than 65%.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Analysis and Nonaccrual Status of Mortgage Loans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has a high quality, well performing, mortgage loan portfolio, with all mortgage loans classified as current at both March 31, 2024 and December 31, 2023. The Company defines delinquent mortgage loans, consistent with industry practice, when mortgage loans are past due as follows: commercial mortgage loans—60 days and agricultural mortgage loans - 90 days. The Company had no mortgage loans past due and no mortgage loans in nonaccrual status at either March 31, 2024 or December 31,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Mortgage Loans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impaired mortgage loans at either March 31, 2024 or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 Modified in a Troubled Debt Restructuring</w:t>
      </w:r>
    </w:p>
    <w:p>
      <w:pPr>
        <w:spacing w:after="0" w:line="102"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The Company had no mortgage loans modified in a troubled debt restructuring during the period ended March 31, 2024 and the year ended December 31, 2023.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269" w:right="339" w:bottom="1440" w:gutter="0" w:footer="0" w:header="0"/>
        </w:sectPr>
      </w:pPr>
    </w:p>
    <w:bookmarkStart w:id="205" w:name="page206"/>
    <w:bookmarkEnd w:id="20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2"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Investments in any counterparty that were greater than 10% of surplus included U.S. government and agency securities with a book/adjusted carrying value of $176 million and $180 million at March 31, 2024 and December 31, 2023,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Assets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a summary of restricted assets at book/adjusted carrying value at (dollars in millions):</w:t>
      </w:r>
    </w:p>
    <w:p>
      <w:pPr>
        <w:sectPr>
          <w:pgSz w:w="11900" w:h="16838" w:orient="portrait"/>
          <w:cols w:equalWidth="0" w:num="1">
            <w:col w:w="11240"/>
          </w:cols>
          <w:pgMar w:left="320" w:top="269" w:right="339" w:bottom="1440" w:gutter="0" w:footer="0" w:header="0"/>
        </w:sectPr>
      </w:pPr>
    </w:p>
    <w:p>
      <w:pPr>
        <w:spacing w:after="0" w:line="248"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6350</wp:posOffset>
            </wp:positionV>
            <wp:extent cx="21431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6350</wp:posOffset>
            </wp:positionV>
            <wp:extent cx="22802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tbl>
      <w:tblPr>
        <w:tblLayout w:type="fixed"/>
        <w:tblInd w:w="3680" w:type="dxa"/>
        <w:tblCellMar>
          <w:top w:w="0" w:type="dxa"/>
          <w:left w:w="0" w:type="dxa"/>
          <w:bottom w:w="0" w:type="dxa"/>
          <w:right w:w="0" w:type="dxa"/>
        </w:tblCellMar>
      </w:tblPr>
      <w:tr>
        <w:trPr>
          <w:trHeight w:val="162"/>
        </w:trPr>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Total Pledged</w:t>
            </w:r>
          </w:p>
        </w:tc>
        <w:tc>
          <w:tcPr>
            <w:tcW w:w="1200" w:type="dxa"/>
            <w:vAlign w:val="bottom"/>
          </w:tcPr>
          <w:p>
            <w:pPr>
              <w:spacing w:after="0"/>
              <w:rPr>
                <w:sz w:val="14"/>
                <w:szCs w:val="14"/>
                <w:color w:val="auto"/>
              </w:rPr>
            </w:pP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 of Total</w:t>
            </w:r>
          </w:p>
        </w:tc>
      </w:tr>
      <w:tr>
        <w:trPr>
          <w:trHeight w:val="162"/>
        </w:trPr>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&amp; Restricted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 of Total</w:t>
            </w: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rPr>
              <w:t>Admitted</w:t>
            </w:r>
          </w:p>
        </w:tc>
      </w:tr>
      <w:tr>
        <w:trPr>
          <w:trHeight w:val="169"/>
        </w:trPr>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Assets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rPr>
              <w:t>Assets</w:t>
            </w: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1431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2802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Total Pledged</w:t>
            </w:r>
          </w:p>
        </w:tc>
        <w:tc>
          <w:tcPr>
            <w:tcW w:w="1220" w:type="dxa"/>
            <w:vAlign w:val="bottom"/>
          </w:tcPr>
          <w:p>
            <w:pPr>
              <w:spacing w:after="0"/>
              <w:rPr>
                <w:sz w:val="14"/>
                <w:szCs w:val="14"/>
                <w:color w:val="auto"/>
              </w:rPr>
            </w:pP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rPr>
              <w:t>% of Total</w:t>
            </w:r>
          </w:p>
        </w:tc>
      </w:tr>
      <w:tr>
        <w:trPr>
          <w:trHeight w:val="162"/>
        </w:trPr>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&amp; Restricted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rPr>
              <w:t>Admitted</w:t>
            </w:r>
          </w:p>
        </w:tc>
      </w:tr>
      <w:tr>
        <w:trPr>
          <w:trHeight w:val="169"/>
        </w:trPr>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rPr>
              <w:t>Assets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rPr>
              <w:t>Assets</w:t>
            </w:r>
          </w:p>
        </w:tc>
      </w:tr>
    </w:tbl>
    <w:p>
      <w:pPr>
        <w:spacing w:after="0" w:line="1" w:lineRule="exact"/>
        <w:rPr>
          <w:sz w:val="20"/>
          <w:szCs w:val="20"/>
          <w:color w:val="auto"/>
        </w:rPr>
      </w:pPr>
    </w:p>
    <w:p>
      <w:pPr>
        <w:sectPr>
          <w:pgSz w:w="11900" w:h="16838" w:orient="portrait"/>
          <w:cols w:equalWidth="0" w:num="2">
            <w:col w:w="7040" w:space="620"/>
            <w:col w:w="3580"/>
          </w:cols>
          <w:pgMar w:left="320" w:top="26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State deposits</w:t>
            </w: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7"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w:t>
            </w:r>
          </w:p>
        </w:tc>
        <w:tc>
          <w:tcPr>
            <w:tcW w:w="4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jc w:val="right"/>
              <w:ind w:right="250"/>
              <w:spacing w:after="0" w:line="197"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w:t>
            </w:r>
          </w:p>
        </w:tc>
        <w:tc>
          <w:tcPr>
            <w:tcW w:w="4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6"/>
                <w:szCs w:val="16"/>
                <w:color w:val="auto"/>
              </w:rPr>
              <w:t>Derivatives collateral</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  —</w:t>
            </w:r>
          </w:p>
        </w:tc>
        <w:tc>
          <w:tcPr>
            <w:tcW w:w="12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440" w:type="dxa"/>
            <w:vAlign w:val="bottom"/>
          </w:tcPr>
          <w:p>
            <w:pPr>
              <w:spacing w:after="0"/>
              <w:rPr>
                <w:sz w:val="17"/>
                <w:szCs w:val="17"/>
                <w:color w:val="auto"/>
              </w:rPr>
            </w:pPr>
          </w:p>
        </w:tc>
        <w:tc>
          <w:tcPr>
            <w:tcW w:w="9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2</w:t>
            </w:r>
          </w:p>
        </w:tc>
        <w:tc>
          <w:tcPr>
            <w:tcW w:w="12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452"/>
        <w:spacing w:after="0" w:line="204" w:lineRule="auto"/>
        <w:tabs>
          <w:tab w:leader="none" w:pos="46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As of December 31, 2023, pledged &amp; restricted assets for derivatives collateral included General Account assets of $1 million, all of which supported Separate Account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Derivatives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table below provides a summary of the notional amount, book/adjusted carrying value, estimated fair value and primary underlying risk exposure by type of derivative held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Book/</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Book/</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Primary Underlying</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Adjusted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Risk Exposure</w:t>
            </w:r>
          </w:p>
        </w:tc>
        <w:tc>
          <w:tcPr>
            <w:tcW w:w="288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Instrument Type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2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Foreign currency exchange rate</w:t>
            </w:r>
          </w:p>
        </w:tc>
        <w:tc>
          <w:tcPr>
            <w:tcW w:w="15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Foreign currency</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34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Interest rate</w:t>
            </w:r>
          </w:p>
        </w:tc>
        <w:tc>
          <w:tcPr>
            <w:tcW w:w="1760" w:type="dxa"/>
            <w:vAlign w:val="bottom"/>
            <w:gridSpan w:val="2"/>
          </w:tcPr>
          <w:p>
            <w:pPr>
              <w:spacing w:after="0" w:line="202" w:lineRule="exact"/>
              <w:rPr>
                <w:sz w:val="20"/>
                <w:szCs w:val="20"/>
                <w:color w:val="auto"/>
              </w:rPr>
            </w:pPr>
            <w:r>
              <w:rPr>
                <w:rFonts w:ascii="Arial" w:cs="Arial" w:eastAsia="Arial" w:hAnsi="Arial"/>
                <w:sz w:val="18"/>
                <w:szCs w:val="18"/>
                <w:color w:val="auto"/>
              </w:rPr>
              <w:t>Interest rate caps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134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Equity index</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market</w:t>
            </w: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1,859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168</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Derivatives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uses foreign currency exchange rate derivatives, including foreign currency swaps to reduce the risk from fluctuations in foreign currency exchange rates associated with its assets denominated in foreign currencies.</w:t>
      </w:r>
    </w:p>
    <w:p>
      <w:pPr>
        <w:spacing w:after="0" w:line="4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Market Derivatives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uses equity derivatives to reduce its exposure to equity market risk, including equity index options and total rate of return swaps.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269" w:right="339" w:bottom="1440" w:gutter="0" w:footer="0" w:header="0"/>
          <w:type w:val="continuous"/>
        </w:sectPr>
      </w:pPr>
    </w:p>
    <w:bookmarkStart w:id="206" w:name="page207"/>
    <w:bookmarkEnd w:id="206"/>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Equity index options are used by the Company to hedge index-linked annuity products against adverse changes in equity markets. In an equity index option transaction, the Company enters into contracts to buy or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w:t>
      </w:r>
    </w:p>
    <w:p>
      <w:pPr>
        <w:spacing w:after="0" w:line="71" w:lineRule="exact"/>
        <w:rPr>
          <w:sz w:val="20"/>
          <w:szCs w:val="20"/>
          <w:color w:val="auto"/>
        </w:rPr>
      </w:pPr>
    </w:p>
    <w:p>
      <w:pPr>
        <w:jc w:val="both"/>
        <w:ind w:firstLine="449"/>
        <w:spacing w:after="0" w:line="242" w:lineRule="auto"/>
        <w:rPr>
          <w:sz w:val="20"/>
          <w:szCs w:val="20"/>
          <w:color w:val="auto"/>
        </w:rPr>
      </w:pPr>
      <w:r>
        <w:rPr>
          <w:rFonts w:ascii="Arial" w:cs="Arial" w:eastAsia="Arial" w:hAnsi="Arial"/>
          <w:sz w:val="18"/>
          <w:szCs w:val="18"/>
          <w:color w:val="auto"/>
        </w:rPr>
        <w:t>Total rate of return swaps are swaps whereby the Company agrees with another party to exchange, at specified intervals, the difference between the economic risk and reward of an asset or a market index and a floating rate, most commonly Fed Funds,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Total rate of return swaps are used by the Company to hedge index-linked annuity products against adverse changes in equity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uses interest rate derivatives to reduce its exposure to changes in interest rates, including interest rate caps.</w:t>
      </w:r>
    </w:p>
    <w:p>
      <w:pPr>
        <w:spacing w:after="0" w:line="212"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Interest rate caps are purchased by the Company primarily to protect against interest rate exposure arising from duration mismatches between assets and liabilities. At the outset of the contract, the Company pays a premium for the right to receive the cash payments equal to the excess of the market rate over the strike price multiplied by the notional amount, if the observed reference interest rate is above the strike level of the cap on the applicable reset date. In certain instances, the Company may lock in the economic impact of existing purchased caps by entering into offsetting written caps.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designates and accounts for foreign currency swaps to hedge the foreign currency cash flow exposure of foreign currency denominated assets as cash flow hedges when they have met the effectiveness requirements of SSAP 86.</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0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For the periods ended March 31, 2024 and 2023 there were no gains (losses) related to cash flow derivatives designated as cash flow hedges that no longer qualify for hedge accounting or for which the Company removed the hedge designation.</w:t>
      </w:r>
    </w:p>
    <w:p>
      <w:pPr>
        <w:spacing w:after="0" w:line="4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In certain instances, the Company may discontinue cash flow hedge accounting because it is no longer probable that the forecasted transaction will occur by the end of the originally specified time period or within two months of the anticipated date. For the periods ended March 31, 2024 and 2023 there were no gains (losses) related to such discontinued cash flow hedges.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hedged forecasted transactions for the periods ended March 31, 2024 and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Non-qualifying Derivatives</w:t>
      </w:r>
    </w:p>
    <w:p>
      <w:pPr>
        <w:spacing w:after="0" w:line="10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enters into the following derivatives that do not qualify for hedge accounting under SSAP 86: (i) interest rate caps to economically hedge its exposure to interest rates; (ii) foreign currency swaps to economically hedge its exposure to adverse movements in exchange rates; and (iii) equity index options and total rate of return swaps to hedge index-linked annuity products against adverse changes in equity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for Other than Hedging Purposes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held no derivatives for other than hedging purposes during the periods ended March 31, 2024 and December 31, 2023.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269" w:right="339" w:bottom="1440" w:gutter="0" w:footer="0" w:header="0"/>
        </w:sectPr>
      </w:pPr>
    </w:p>
    <w:bookmarkStart w:id="207" w:name="page208"/>
    <w:bookmarkEnd w:id="207"/>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Risk and Credit Risk</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table below summarizes the notional amount of the Company’s financial instruments (derivatives that are designated as effective hedging instruments) with off-balance sheet credit risk at (in millions):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Asset</w:t>
            </w:r>
          </w:p>
        </w:tc>
        <w:tc>
          <w:tcPr>
            <w:tcW w:w="13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2140" w:type="dxa"/>
            <w:vAlign w:val="bottom"/>
          </w:tcPr>
          <w:p>
            <w:pPr>
              <w:spacing w:after="0"/>
              <w:rPr>
                <w:sz w:val="17"/>
                <w:szCs w:val="17"/>
                <w:color w:val="auto"/>
              </w:rPr>
            </w:pPr>
          </w:p>
        </w:tc>
        <w:tc>
          <w:tcPr>
            <w:tcW w:w="18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March 31, 2024</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December 31, 2023</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December 31, 2023</w:t>
            </w:r>
          </w:p>
        </w:tc>
      </w:tr>
      <w:tr>
        <w:trPr>
          <w:trHeight w:val="155"/>
        </w:trPr>
        <w:tc>
          <w:tcPr>
            <w:tcW w:w="2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Foreign currency swaps</w:t>
            </w:r>
          </w:p>
        </w:tc>
        <w:tc>
          <w:tcPr>
            <w:tcW w:w="1200" w:type="dxa"/>
            <w:vAlign w:val="bottom"/>
            <w:tcBorders>
              <w:top w:val="single" w:sz="8" w:color="auto"/>
            </w:tcBorders>
            <w:shd w:val="clear" w:color="auto" w:fill="CCEEFF"/>
          </w:tcPr>
          <w:p>
            <w:pPr>
              <w:jc w:val="right"/>
              <w:ind w:right="368"/>
              <w:spacing w:after="0" w:line="155" w:lineRule="exact"/>
              <w:rPr>
                <w:sz w:val="20"/>
                <w:szCs w:val="20"/>
                <w:color w:val="auto"/>
              </w:rPr>
            </w:pPr>
            <w:r>
              <w:rPr>
                <w:rFonts w:ascii="Arial" w:cs="Arial" w:eastAsia="Arial" w:hAnsi="Arial"/>
                <w:sz w:val="14"/>
                <w:szCs w:val="14"/>
                <w:color w:val="auto"/>
              </w:rPr>
              <w:t>$  50</w:t>
            </w:r>
          </w:p>
        </w:tc>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468"/>
              <w:spacing w:after="0" w:line="155" w:lineRule="exact"/>
              <w:rPr>
                <w:sz w:val="20"/>
                <w:szCs w:val="20"/>
                <w:color w:val="auto"/>
              </w:rPr>
            </w:pPr>
            <w:r>
              <w:rPr>
                <w:rFonts w:ascii="Arial" w:cs="Arial" w:eastAsia="Arial" w:hAnsi="Arial"/>
                <w:sz w:val="14"/>
                <w:szCs w:val="14"/>
                <w:color w:val="auto"/>
              </w:rPr>
              <w:t>$  52</w:t>
            </w:r>
          </w:p>
        </w:tc>
        <w:tc>
          <w:tcPr>
            <w:tcW w:w="5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w:t>
            </w:r>
          </w:p>
        </w:tc>
        <w:tc>
          <w:tcPr>
            <w:tcW w:w="4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  —</w:t>
            </w:r>
          </w:p>
        </w:tc>
      </w:tr>
    </w:tbl>
    <w:p>
      <w:pPr>
        <w:spacing w:after="0" w:line="89"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66"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manages its credit risk related to derivatives by entering into transactions with creditworthy counterparties and establishing and monitoring exposure limits. The Company’s OTC derivative transactions are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set-off receivables from the counterparty against payables to the same counterparty arising out of all included transactions. All of the Company’s ISDA Master Agreements also include Credit Support Annex provisions which may require both the pledging and accepting of collateral in connection with its OTC derivatives.</w:t>
      </w:r>
    </w:p>
    <w:p>
      <w:pPr>
        <w:spacing w:after="0" w:line="77"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Off-balance sheet credit exposure is the excess of positive estimated fair value over positive book/adjusted carrying value for the Company’s highly effective hedges at the reporting date. All collateral received from counterparties to mitigate credit-related losses is deemed worthless for the purpose of calculating the Company’s off-balance sheet credit exposure. The off-balance sheet credit exposure of the Company’s swaps was $3 million and $3 million at March 31, 2024 and December 31, 2023, respectively.</w:t>
      </w:r>
    </w:p>
    <w:p>
      <w:pPr>
        <w:spacing w:after="0" w:line="66"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Company enters into various collateral arrangements, which may require both the pledging and accepting of collateral in connection with its derivatives. The table below summarizes the collateral pledged in connection with its OTC derivatives at (in millions):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Securities</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7"/>
                <w:szCs w:val="17"/>
                <w:color w:val="auto"/>
              </w:rPr>
            </w:pPr>
          </w:p>
        </w:tc>
        <w:tc>
          <w:tcPr>
            <w:tcW w:w="10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1720" w:type="dxa"/>
            <w:vAlign w:val="bottom"/>
            <w:gridSpan w:val="5"/>
          </w:tcPr>
          <w:p>
            <w:pPr>
              <w:ind w:left="1020"/>
              <w:spacing w:after="0"/>
              <w:rPr>
                <w:sz w:val="20"/>
                <w:szCs w:val="20"/>
                <w:color w:val="auto"/>
              </w:rPr>
            </w:pPr>
            <w:r>
              <w:rPr>
                <w:rFonts w:ascii="Arial" w:cs="Arial" w:eastAsia="Arial" w:hAnsi="Arial"/>
                <w:sz w:val="14"/>
                <w:szCs w:val="14"/>
                <w:b w:val="1"/>
                <w:bCs w:val="1"/>
                <w:color w:val="auto"/>
              </w:rPr>
              <w:t>2023</w:t>
            </w:r>
          </w:p>
        </w:tc>
      </w:tr>
      <w:tr>
        <w:trPr>
          <w:trHeight w:val="156"/>
        </w:trPr>
        <w:tc>
          <w:tcPr>
            <w:tcW w:w="20" w:type="dxa"/>
            <w:vAlign w:val="bottom"/>
          </w:tcPr>
          <w:p>
            <w:pPr>
              <w:spacing w:after="0"/>
              <w:rPr>
                <w:sz w:val="13"/>
                <w:szCs w:val="13"/>
                <w:color w:val="auto"/>
              </w:rPr>
            </w:pPr>
          </w:p>
        </w:tc>
        <w:tc>
          <w:tcPr>
            <w:tcW w:w="6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Initial Margin:</w:t>
            </w: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400" w:type="dxa"/>
            <w:vAlign w:val="bottom"/>
          </w:tcPr>
          <w:p>
            <w:pPr>
              <w:ind w:left="260"/>
              <w:spacing w:after="0"/>
              <w:rPr>
                <w:sz w:val="20"/>
                <w:szCs w:val="20"/>
                <w:color w:val="auto"/>
              </w:rPr>
            </w:pPr>
            <w:r>
              <w:rPr>
                <w:rFonts w:ascii="Arial" w:cs="Arial" w:eastAsia="Arial" w:hAnsi="Arial"/>
                <w:sz w:val="14"/>
                <w:szCs w:val="14"/>
                <w:color w:val="auto"/>
              </w:rPr>
              <w:t>OTC-bilateral</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  —</w:t>
            </w:r>
          </w:p>
        </w:tc>
        <w:tc>
          <w:tcPr>
            <w:tcW w:w="1120" w:type="dxa"/>
            <w:vAlign w:val="bottom"/>
            <w:gridSpan w:val="3"/>
          </w:tcPr>
          <w:p>
            <w:pPr>
              <w:ind w:left="104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w w:val="80"/>
              </w:rPr>
              <w:t>  —</w:t>
            </w:r>
          </w:p>
        </w:tc>
      </w:tr>
      <w:tr>
        <w:trPr>
          <w:trHeight w:val="162"/>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Variation Margin:</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400" w:type="dxa"/>
            <w:vAlign w:val="bottom"/>
          </w:tcPr>
          <w:p>
            <w:pPr>
              <w:ind w:left="260"/>
              <w:spacing w:after="0"/>
              <w:rPr>
                <w:sz w:val="20"/>
                <w:szCs w:val="20"/>
                <w:color w:val="auto"/>
              </w:rPr>
            </w:pPr>
            <w:r>
              <w:rPr>
                <w:rFonts w:ascii="Arial" w:cs="Arial" w:eastAsia="Arial" w:hAnsi="Arial"/>
                <w:sz w:val="14"/>
                <w:szCs w:val="14"/>
                <w:color w:val="auto"/>
              </w:rPr>
              <w:t>OTC-bilateral</w:t>
            </w:r>
          </w:p>
        </w:tc>
        <w:tc>
          <w:tcPr>
            <w:tcW w:w="2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OTC</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w:t>
            </w:r>
          </w:p>
        </w:tc>
        <w:tc>
          <w:tcPr>
            <w:tcW w:w="1120" w:type="dxa"/>
            <w:vAlign w:val="bottom"/>
            <w:gridSpan w:val="3"/>
            <w:shd w:val="clear" w:color="auto" w:fill="CCEEFF"/>
          </w:tcPr>
          <w:p>
            <w:pPr>
              <w:ind w:left="1040"/>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2"/>
          <w:szCs w:val="22"/>
          <w:color w:val="auto"/>
          <w:vertAlign w:val="superscript"/>
        </w:rPr>
      </w:pPr>
      <w:r>
        <w:rPr>
          <w:rFonts w:ascii="Arial" w:cs="Arial" w:eastAsia="Arial" w:hAnsi="Arial"/>
          <w:sz w:val="14"/>
          <w:szCs w:val="14"/>
          <w:color w:val="auto"/>
        </w:rPr>
        <w:t>Securities pledged as collateral are reported in bonds. Subject to certain constraints, the counterparties are permitted by contract to sell or repledge this collateral.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269" w:right="339" w:bottom="1440" w:gutter="0" w:footer="0" w:header="0"/>
        </w:sectPr>
      </w:pPr>
    </w:p>
    <w:bookmarkStart w:id="208" w:name="page209"/>
    <w:bookmarkEnd w:id="208"/>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collateral received by the Company in connection with its OTC derivatives at (in millions):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1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Cash</w:t>
            </w:r>
            <w:r>
              <w:rPr>
                <w:rFonts w:ascii="Arial" w:cs="Arial" w:eastAsia="Arial" w:hAnsi="Arial"/>
                <w:sz w:val="21"/>
                <w:szCs w:val="21"/>
                <w:b w:val="1"/>
                <w:bCs w:val="1"/>
                <w:color w:val="auto"/>
                <w:w w:val="89"/>
                <w:vertAlign w:val="superscript"/>
              </w:rPr>
              <w:t>(1)</w:t>
            </w: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Securities</w:t>
            </w:r>
            <w:r>
              <w:rPr>
                <w:rFonts w:ascii="Arial" w:cs="Arial" w:eastAsia="Arial" w:hAnsi="Arial"/>
                <w:sz w:val="21"/>
                <w:szCs w:val="21"/>
                <w:b w:val="1"/>
                <w:bCs w:val="1"/>
                <w:color w:val="auto"/>
                <w:vertAlign w:val="superscript"/>
              </w:rPr>
              <w:t>(2)</w:t>
            </w: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r>
      <w:tr>
        <w:trPr>
          <w:trHeight w:val="196"/>
        </w:trPr>
        <w:tc>
          <w:tcPr>
            <w:tcW w:w="1840" w:type="dxa"/>
            <w:vAlign w:val="bottom"/>
          </w:tcPr>
          <w:p>
            <w:pPr>
              <w:spacing w:after="0"/>
              <w:rPr>
                <w:sz w:val="17"/>
                <w:szCs w:val="17"/>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8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4"/>
          </w:tcPr>
          <w:p>
            <w:pPr>
              <w:ind w:left="260"/>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7"/>
                <w:szCs w:val="17"/>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r>
      <w:tr>
        <w:trPr>
          <w:trHeight w:val="156"/>
        </w:trPr>
        <w:tc>
          <w:tcPr>
            <w:tcW w:w="1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Initial Margin:</w:t>
            </w: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r>
      <w:tr>
        <w:trPr>
          <w:trHeight w:val="162"/>
        </w:trPr>
        <w:tc>
          <w:tcPr>
            <w:tcW w:w="1840" w:type="dxa"/>
            <w:vAlign w:val="bottom"/>
          </w:tcPr>
          <w:p>
            <w:pPr>
              <w:ind w:left="280"/>
              <w:spacing w:after="0"/>
              <w:rPr>
                <w:sz w:val="20"/>
                <w:szCs w:val="20"/>
                <w:color w:val="auto"/>
              </w:rPr>
            </w:pPr>
            <w:r>
              <w:rPr>
                <w:rFonts w:ascii="Arial" w:cs="Arial" w:eastAsia="Arial" w:hAnsi="Arial"/>
                <w:sz w:val="14"/>
                <w:szCs w:val="14"/>
                <w:color w:val="auto"/>
              </w:rPr>
              <w:t>OTC-bilateral</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560"/>
              <w:spacing w:after="0"/>
              <w:rPr>
                <w:sz w:val="20"/>
                <w:szCs w:val="20"/>
                <w:color w:val="auto"/>
              </w:rPr>
            </w:pPr>
            <w:r>
              <w:rPr>
                <w:rFonts w:ascii="Arial" w:cs="Arial" w:eastAsia="Arial" w:hAnsi="Arial"/>
                <w:sz w:val="14"/>
                <w:szCs w:val="14"/>
                <w:color w:val="auto"/>
                <w:w w:val="72"/>
              </w:rPr>
              <w:t>  —</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80"/>
              <w:spacing w:after="0"/>
              <w:rPr>
                <w:sz w:val="20"/>
                <w:szCs w:val="20"/>
                <w:color w:val="auto"/>
              </w:rPr>
            </w:pPr>
            <w:r>
              <w:rPr>
                <w:rFonts w:ascii="Arial" w:cs="Arial" w:eastAsia="Arial" w:hAnsi="Arial"/>
                <w:sz w:val="14"/>
                <w:szCs w:val="14"/>
                <w:color w:val="auto"/>
                <w:w w:val="74"/>
              </w:rPr>
              <w:t>  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Variation Margin:</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9"/>
        </w:trPr>
        <w:tc>
          <w:tcPr>
            <w:tcW w:w="1840" w:type="dxa"/>
            <w:vAlign w:val="bottom"/>
          </w:tcPr>
          <w:p>
            <w:pPr>
              <w:ind w:left="280"/>
              <w:spacing w:after="0"/>
              <w:rPr>
                <w:sz w:val="20"/>
                <w:szCs w:val="20"/>
                <w:color w:val="auto"/>
              </w:rPr>
            </w:pPr>
            <w:r>
              <w:rPr>
                <w:rFonts w:ascii="Arial" w:cs="Arial" w:eastAsia="Arial" w:hAnsi="Arial"/>
                <w:sz w:val="14"/>
                <w:szCs w:val="14"/>
                <w:color w:val="auto"/>
              </w:rPr>
              <w:t>OTC-bilateral</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380" w:type="dxa"/>
            <w:vAlign w:val="bottom"/>
          </w:tcPr>
          <w:p>
            <w:pPr>
              <w:spacing w:after="0"/>
              <w:rPr>
                <w:sz w:val="14"/>
                <w:szCs w:val="14"/>
                <w:color w:val="auto"/>
              </w:rPr>
            </w:pPr>
          </w:p>
        </w:tc>
      </w:tr>
      <w:tr>
        <w:trPr>
          <w:trHeight w:val="162"/>
        </w:trPr>
        <w:tc>
          <w:tcPr>
            <w:tcW w:w="18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82"/>
              </w:rPr>
              <w:t>  84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color w:val="auto"/>
                <w:w w:val="82"/>
              </w:rPr>
              <w:t>  44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82"/>
              </w:rPr>
              <w:t>  89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82"/>
              </w:rPr>
              <w:t>  47</w:t>
            </w:r>
          </w:p>
        </w:tc>
      </w:tr>
      <w:tr>
        <w:trPr>
          <w:trHeight w:val="20"/>
        </w:trPr>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47" w:lineRule="exact"/>
        <w:rPr>
          <w:sz w:val="20"/>
          <w:szCs w:val="20"/>
          <w:color w:val="auto"/>
        </w:rPr>
      </w:pPr>
    </w:p>
    <w:p>
      <w:pPr>
        <w:ind w:left="460" w:hanging="452"/>
        <w:spacing w:after="0" w:line="204" w:lineRule="auto"/>
        <w:tabs>
          <w:tab w:leader="none" w:pos="46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Cash collateral received is reported in cash, cash equivalents and short-term investments and the obligation to return the collateral is reported in aggregate write-ins for liabilities as cash collateral received on derivatives.</w:t>
      </w:r>
    </w:p>
    <w:p>
      <w:pPr>
        <w:ind w:left="460" w:hanging="452"/>
        <w:spacing w:after="0" w:line="230" w:lineRule="auto"/>
        <w:tabs>
          <w:tab w:leader="none" w:pos="46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Securities collateral received is held in separate custodial accounts and is not reflected in the interim condensed financial statements.</w:t>
      </w:r>
    </w:p>
    <w:p>
      <w:pPr>
        <w:spacing w:after="0" w:line="89" w:lineRule="exact"/>
        <w:rPr>
          <w:sz w:val="20"/>
          <w:szCs w:val="20"/>
          <w:color w:val="auto"/>
        </w:rPr>
      </w:pPr>
    </w:p>
    <w:p>
      <w:pPr>
        <w:jc w:val="both"/>
        <w:ind w:firstLine="449"/>
        <w:spacing w:after="0" w:line="237" w:lineRule="auto"/>
        <w:rPr>
          <w:sz w:val="20"/>
          <w:szCs w:val="20"/>
          <w:color w:val="auto"/>
        </w:rPr>
      </w:pPr>
      <w:r>
        <w:rPr>
          <w:rFonts w:ascii="Arial" w:cs="Arial" w:eastAsia="Arial" w:hAnsi="Arial"/>
          <w:sz w:val="18"/>
          <w:szCs w:val="18"/>
          <w:color w:val="auto"/>
        </w:rPr>
        <w:t>The Company’s collateral arrangements for its OTC derivatives generally require the counterparty in a net liability position, after considering the effect of netting agreements, to pledge collateral when the amount owed by that party reaches a minimum transfer amount. In addition, the Company’s netting agreements for derivatives contain provisions that require both the Company and the counterparty to maintain a specific investment grade credit rating from each of Moody’s Investors Service (“Moody’s”) and Standard and Poor’s Ratings Service (“S&amp;P”). If a party’s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77"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Certain of the Company’s derivative contracts require premiums to be paid at a series of specified future dates over the life of the contract or at maturity. The discounted value of these future settled premiums is accounted for separately from the estimated fair value of each derivative.</w:t>
      </w:r>
    </w:p>
    <w:p>
      <w:pPr>
        <w:spacing w:after="0" w:line="61" w:lineRule="exact"/>
        <w:rPr>
          <w:sz w:val="20"/>
          <w:szCs w:val="20"/>
          <w:color w:val="auto"/>
        </w:rPr>
      </w:pPr>
    </w:p>
    <w:p>
      <w:pPr>
        <w:ind w:firstLine="449"/>
        <w:spacing w:after="0" w:line="271" w:lineRule="auto"/>
        <w:rPr>
          <w:sz w:val="20"/>
          <w:szCs w:val="20"/>
          <w:color w:val="auto"/>
        </w:rPr>
      </w:pPr>
      <w:r>
        <w:rPr>
          <w:rFonts w:ascii="Arial" w:cs="Arial" w:eastAsia="Arial" w:hAnsi="Arial"/>
          <w:sz w:val="18"/>
          <w:szCs w:val="18"/>
          <w:color w:val="auto"/>
        </w:rPr>
        <w:t>The table below summarizes the net amount of undiscounted future settled premium payments (receipts), by year, as of March 31, 2024 (in millions):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8220" w:type="dxa"/>
            <w:vAlign w:val="bottom"/>
            <w:gridSpan w:val="5"/>
          </w:tcPr>
          <w:p>
            <w:pPr>
              <w:jc w:val="center"/>
              <w:ind w:left="6388"/>
              <w:spacing w:after="0"/>
              <w:rPr>
                <w:sz w:val="20"/>
                <w:szCs w:val="20"/>
                <w:color w:val="auto"/>
              </w:rPr>
            </w:pPr>
            <w:r>
              <w:rPr>
                <w:rFonts w:ascii="Arial" w:cs="Arial" w:eastAsia="Arial" w:hAnsi="Arial"/>
                <w:sz w:val="14"/>
                <w:szCs w:val="14"/>
                <w:b w:val="1"/>
                <w:bCs w:val="1"/>
                <w:color w:val="auto"/>
              </w:rPr>
              <w:t>Net Undiscounted Future</w:t>
            </w:r>
          </w:p>
        </w:tc>
        <w:tc>
          <w:tcPr>
            <w:tcW w:w="0" w:type="dxa"/>
            <w:vAlign w:val="bottom"/>
          </w:tcPr>
          <w:p>
            <w:pPr>
              <w:spacing w:after="0"/>
              <w:rPr>
                <w:sz w:val="1"/>
                <w:szCs w:val="1"/>
                <w:color w:val="auto"/>
              </w:rPr>
            </w:pPr>
          </w:p>
        </w:tc>
      </w:tr>
      <w:tr>
        <w:trPr>
          <w:trHeight w:val="162"/>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6500" w:type="dxa"/>
            <w:vAlign w:val="bottom"/>
          </w:tcPr>
          <w:p>
            <w:pPr>
              <w:spacing w:after="0"/>
              <w:rPr>
                <w:sz w:val="14"/>
                <w:szCs w:val="14"/>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Settled Premium</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6500" w:type="dxa"/>
            <w:vAlign w:val="bottom"/>
          </w:tcPr>
          <w:p>
            <w:pPr>
              <w:spacing w:after="0"/>
              <w:rPr>
                <w:sz w:val="15"/>
                <w:szCs w:val="15"/>
                <w:color w:val="auto"/>
              </w:rPr>
            </w:pPr>
          </w:p>
        </w:tc>
        <w:tc>
          <w:tcPr>
            <w:tcW w:w="1720" w:type="dxa"/>
            <w:vAlign w:val="bottom"/>
            <w:gridSpan w:val="4"/>
          </w:tcPr>
          <w:p>
            <w:pPr>
              <w:jc w:val="center"/>
              <w:ind w:right="20"/>
              <w:spacing w:after="0" w:line="158" w:lineRule="exact"/>
              <w:rPr>
                <w:sz w:val="20"/>
                <w:szCs w:val="20"/>
                <w:color w:val="auto"/>
              </w:rPr>
            </w:pPr>
            <w:r>
              <w:rPr>
                <w:rFonts w:ascii="Arial" w:cs="Arial" w:eastAsia="Arial" w:hAnsi="Arial"/>
                <w:sz w:val="14"/>
                <w:szCs w:val="14"/>
                <w:b w:val="1"/>
                <w:bCs w:val="1"/>
                <w:color w:val="auto"/>
              </w:rPr>
              <w:t>Payments (Receipts)</w:t>
            </w:r>
          </w:p>
        </w:tc>
        <w:tc>
          <w:tcPr>
            <w:tcW w:w="0" w:type="dxa"/>
            <w:vAlign w:val="bottom"/>
          </w:tcPr>
          <w:p>
            <w:pPr>
              <w:spacing w:after="0"/>
              <w:rPr>
                <w:sz w:val="1"/>
                <w:szCs w:val="1"/>
                <w:color w:val="auto"/>
              </w:rPr>
            </w:pPr>
          </w:p>
        </w:tc>
      </w:tr>
      <w:tr>
        <w:trPr>
          <w:trHeight w:val="149"/>
        </w:trPr>
        <w:tc>
          <w:tcPr>
            <w:tcW w:w="7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2024</w:t>
            </w:r>
          </w:p>
        </w:tc>
        <w:tc>
          <w:tcPr>
            <w:tcW w:w="65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20"/>
                <w:szCs w:val="20"/>
                <w:color w:val="auto"/>
              </w:rPr>
            </w:pPr>
            <w:r>
              <w:rPr>
                <w:rFonts w:ascii="Arial" w:cs="Arial" w:eastAsia="Arial" w:hAnsi="Arial"/>
                <w:sz w:val="14"/>
                <w:szCs w:val="14"/>
                <w:color w:val="auto"/>
              </w:rPr>
              <w:t>2025</w:t>
            </w: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6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20"/>
                <w:szCs w:val="20"/>
                <w:color w:val="auto"/>
              </w:rPr>
            </w:pPr>
            <w:r>
              <w:rPr>
                <w:rFonts w:ascii="Arial" w:cs="Arial" w:eastAsia="Arial" w:hAnsi="Arial"/>
                <w:sz w:val="14"/>
                <w:szCs w:val="14"/>
                <w:color w:val="auto"/>
              </w:rPr>
              <w:t>2027</w:t>
            </w: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14</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Thereafter</w:t>
            </w:r>
          </w:p>
        </w:tc>
        <w:tc>
          <w:tcPr>
            <w:tcW w:w="6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20"/>
                <w:szCs w:val="20"/>
                <w:color w:val="auto"/>
              </w:rPr>
            </w:pPr>
            <w:r>
              <w:rPr>
                <w:rFonts w:ascii="Arial" w:cs="Arial" w:eastAsia="Arial" w:hAnsi="Arial"/>
                <w:sz w:val="14"/>
                <w:szCs w:val="14"/>
                <w:color w:val="auto"/>
              </w:rPr>
              <w:t>Total</w:t>
            </w:r>
          </w:p>
        </w:tc>
        <w:tc>
          <w:tcPr>
            <w:tcW w:w="7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4"/>
                <w:szCs w:val="14"/>
                <w:color w:val="auto"/>
                <w:w w:val="82"/>
              </w:rPr>
              <w:t>  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449"/>
        <w:spacing w:after="0" w:line="271" w:lineRule="auto"/>
        <w:rPr>
          <w:sz w:val="20"/>
          <w:szCs w:val="20"/>
          <w:color w:val="auto"/>
        </w:rPr>
      </w:pPr>
      <w:r>
        <w:rPr>
          <w:rFonts w:ascii="Arial" w:cs="Arial" w:eastAsia="Arial" w:hAnsi="Arial"/>
          <w:sz w:val="18"/>
          <w:szCs w:val="18"/>
          <w:color w:val="auto"/>
        </w:rPr>
        <w:t>The following table summarizes the estimated fair value of the Company’s derivatives with future settled premiums and the estimated fair value impact thereof at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2023</w:t>
            </w: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undiscounted future premium payments (receipts)</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93"/>
              </w:rPr>
              <w:t>100</w:t>
            </w:r>
          </w:p>
        </w:tc>
      </w:tr>
      <w:tr>
        <w:trPr>
          <w:trHeight w:val="203"/>
        </w:trPr>
        <w:tc>
          <w:tcPr>
            <w:tcW w:w="8520" w:type="dxa"/>
            <w:vAlign w:val="bottom"/>
          </w:tcPr>
          <w:p>
            <w:pPr>
              <w:ind w:left="360"/>
              <w:spacing w:after="0" w:line="202" w:lineRule="exact"/>
              <w:rPr>
                <w:sz w:val="20"/>
                <w:szCs w:val="20"/>
                <w:color w:val="auto"/>
              </w:rPr>
            </w:pPr>
            <w:r>
              <w:rPr>
                <w:rFonts w:ascii="Arial" w:cs="Arial" w:eastAsia="Arial" w:hAnsi="Arial"/>
                <w:sz w:val="18"/>
                <w:szCs w:val="18"/>
                <w:color w:val="auto"/>
              </w:rPr>
              <w:t>Estimated fair value of derivative net assets (liabilities), including discounted future premiums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58</w:t>
            </w:r>
          </w:p>
        </w:tc>
        <w:tc>
          <w:tcPr>
            <w:tcW w:w="5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26</w:t>
            </w:r>
          </w:p>
        </w:tc>
      </w:tr>
      <w:tr>
        <w:trPr>
          <w:trHeight w:val="203"/>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Estimated fair value of derivative net assets (liabilities), excluding discounted future premiums</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145</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w w:val="93"/>
              </w:rPr>
              <w:t>116</w:t>
            </w:r>
          </w:p>
        </w:tc>
      </w:tr>
      <w:tr>
        <w:trPr>
          <w:trHeight w:val="368"/>
        </w:trPr>
        <w:tc>
          <w:tcPr>
            <w:tcW w:w="8520" w:type="dxa"/>
            <w:vAlign w:val="bottom"/>
          </w:tcPr>
          <w:p>
            <w:pPr>
              <w:jc w:val="right"/>
              <w:ind w:right="2650"/>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240"/>
          </w:cols>
          <w:pgMar w:left="320" w:top="269" w:right="339" w:bottom="1440" w:gutter="0" w:footer="0" w:header="0"/>
        </w:sectPr>
      </w:pPr>
    </w:p>
    <w:bookmarkStart w:id="209" w:name="page210"/>
    <w:bookmarkEnd w:id="209"/>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net investment income for the periods ended March 31, were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4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2024</w:t>
            </w:r>
          </w:p>
        </w:tc>
        <w:tc>
          <w:tcPr>
            <w:tcW w:w="2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10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Bonds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$ 18</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0140" w:type="dxa"/>
            <w:vAlign w:val="bottom"/>
          </w:tcPr>
          <w:p>
            <w:pPr>
              <w:spacing w:after="0" w:line="202" w:lineRule="exact"/>
              <w:rPr>
                <w:sz w:val="20"/>
                <w:szCs w:val="20"/>
                <w:color w:val="auto"/>
              </w:rPr>
            </w:pPr>
            <w:r>
              <w:rPr>
                <w:rFonts w:ascii="Arial" w:cs="Arial" w:eastAsia="Arial" w:hAnsi="Arial"/>
                <w:sz w:val="18"/>
                <w:szCs w:val="18"/>
                <w:color w:val="auto"/>
              </w:rPr>
              <w:t>Mortgage loans</w:t>
            </w:r>
          </w:p>
        </w:tc>
        <w:tc>
          <w:tcPr>
            <w:tcW w:w="3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w:t>
            </w: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4</w:t>
            </w:r>
          </w:p>
        </w:tc>
      </w:tr>
      <w:tr>
        <w:trPr>
          <w:trHeight w:val="203"/>
        </w:trPr>
        <w:tc>
          <w:tcPr>
            <w:tcW w:w="10140" w:type="dxa"/>
            <w:vAlign w:val="bottom"/>
          </w:tcPr>
          <w:p>
            <w:pPr>
              <w:spacing w:after="0" w:line="202" w:lineRule="exact"/>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(27)</w:t>
            </w: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invested assets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r>
      <w:tr>
        <w:trPr>
          <w:trHeight w:val="209"/>
        </w:trPr>
        <w:tc>
          <w:tcPr>
            <w:tcW w:w="10140" w:type="dxa"/>
            <w:vAlign w:val="bottom"/>
          </w:tcPr>
          <w:p>
            <w:pPr>
              <w:ind w:left="180"/>
              <w:spacing w:after="0"/>
              <w:rPr>
                <w:sz w:val="20"/>
                <w:szCs w:val="20"/>
                <w:color w:val="auto"/>
              </w:rPr>
            </w:pPr>
            <w:r>
              <w:rPr>
                <w:rFonts w:ascii="Arial" w:cs="Arial" w:eastAsia="Arial" w:hAnsi="Arial"/>
                <w:sz w:val="18"/>
                <w:szCs w:val="18"/>
                <w:color w:val="auto"/>
              </w:rPr>
              <w:t>Gross investment income</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10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investment expenses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r>
      <w:tr>
        <w:trPr>
          <w:trHeight w:val="210"/>
        </w:trPr>
        <w:tc>
          <w:tcPr>
            <w:tcW w:w="10140" w:type="dxa"/>
            <w:vAlign w:val="bottom"/>
          </w:tcPr>
          <w:p>
            <w:pPr>
              <w:ind w:left="180"/>
              <w:spacing w:after="0"/>
              <w:rPr>
                <w:sz w:val="20"/>
                <w:szCs w:val="20"/>
                <w:color w:val="auto"/>
              </w:rPr>
            </w:pPr>
            <w:r>
              <w:rPr>
                <w:rFonts w:ascii="Arial" w:cs="Arial" w:eastAsia="Arial" w:hAnsi="Arial"/>
                <w:sz w:val="18"/>
                <w:szCs w:val="18"/>
                <w:color w:val="auto"/>
              </w:rPr>
              <w:t>Net investment income, before IMR amortization</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IMR amortization</w:t>
            </w:r>
          </w:p>
        </w:tc>
        <w:tc>
          <w:tcPr>
            <w:tcW w:w="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9"/>
        </w:trPr>
        <w:tc>
          <w:tcPr>
            <w:tcW w:w="101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23</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Capital Gains (Losses), Net of Federal Income Tax and Interest Maintenance Reserve Transfer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realized capital gains (losses) on investments and derivatives for the periods ended March 31, were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
        </w:trPr>
        <w:tc>
          <w:tcPr>
            <w:tcW w:w="10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Bonds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6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w:t>
            </w:r>
          </w:p>
        </w:tc>
        <w:tc>
          <w:tcPr>
            <w:tcW w:w="4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w:t>
            </w:r>
          </w:p>
        </w:tc>
        <w:tc>
          <w:tcPr>
            <w:tcW w:w="0" w:type="dxa"/>
            <w:vAlign w:val="bottom"/>
          </w:tcPr>
          <w:p>
            <w:pPr>
              <w:spacing w:after="0"/>
              <w:rPr>
                <w:sz w:val="1"/>
                <w:szCs w:val="1"/>
                <w:color w:val="auto"/>
              </w:rPr>
            </w:pPr>
          </w:p>
        </w:tc>
      </w:tr>
      <w:tr>
        <w:trPr>
          <w:trHeight w:val="203"/>
        </w:trPr>
        <w:tc>
          <w:tcPr>
            <w:tcW w:w="10160" w:type="dxa"/>
            <w:vAlign w:val="bottom"/>
          </w:tcPr>
          <w:p>
            <w:pPr>
              <w:spacing w:after="0" w:line="202" w:lineRule="exact"/>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101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0160" w:type="dxa"/>
            <w:vAlign w:val="bottom"/>
          </w:tcPr>
          <w:p>
            <w:pPr>
              <w:spacing w:after="0"/>
              <w:rPr>
                <w:sz w:val="20"/>
                <w:szCs w:val="20"/>
                <w:color w:val="auto"/>
              </w:rPr>
            </w:pPr>
            <w:r>
              <w:rPr>
                <w:rFonts w:ascii="Arial" w:cs="Arial" w:eastAsia="Arial" w:hAnsi="Arial"/>
                <w:sz w:val="18"/>
                <w:szCs w:val="18"/>
                <w:color w:val="auto"/>
              </w:rPr>
              <w:t>Net realized capital gains (losses), before Federal income tax</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1016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Less: Federal income tax expense (benefit)</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160" w:type="dxa"/>
            <w:vAlign w:val="bottom"/>
          </w:tcPr>
          <w:p>
            <w:pPr>
              <w:spacing w:after="0"/>
              <w:rPr>
                <w:sz w:val="20"/>
                <w:szCs w:val="20"/>
                <w:color w:val="auto"/>
              </w:rPr>
            </w:pPr>
            <w:r>
              <w:rPr>
                <w:rFonts w:ascii="Arial" w:cs="Arial" w:eastAsia="Arial" w:hAnsi="Arial"/>
                <w:sz w:val="18"/>
                <w:szCs w:val="18"/>
                <w:color w:val="auto"/>
              </w:rPr>
              <w:t>Net realized capital gains (losses), before IMR transfer</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101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IMR transfer, net of Federal income tax expense (benefit) of less than $1 million and less than $1 million, respectively</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160" w:type="dxa"/>
            <w:vAlign w:val="bottom"/>
          </w:tcPr>
          <w:p>
            <w:pPr>
              <w:spacing w:after="0"/>
              <w:rPr>
                <w:sz w:val="20"/>
                <w:szCs w:val="20"/>
                <w:color w:val="auto"/>
              </w:rPr>
            </w:pPr>
            <w:r>
              <w:rPr>
                <w:rFonts w:ascii="Arial" w:cs="Arial" w:eastAsia="Arial" w:hAnsi="Arial"/>
                <w:sz w:val="18"/>
                <w:szCs w:val="18"/>
                <w:color w:val="auto"/>
              </w:rPr>
              <w:t>Net realized capital gains (losses), net of Federal income tax and IMR transfer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$ 93</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Proceeds from Sales and Disposals and Realized Capital Gains (Losses) on Bonds</w:t>
      </w:r>
    </w:p>
    <w:p>
      <w:pPr>
        <w:spacing w:after="0" w:line="10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Proceeds from sales or disposals of bonds and the related gross realized capital gains (losses) on bonds determined on a specific identification basis were as follows for the periods ended March 31,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6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Proceeds from sales and disposals</w:t>
            </w:r>
          </w:p>
        </w:tc>
        <w:tc>
          <w:tcPr>
            <w:tcW w:w="5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  12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  28</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8"/>
                <w:szCs w:val="18"/>
                <w:color w:val="auto"/>
              </w:rPr>
              <w:t>Gross realized capital gains on sales</w:t>
            </w:r>
          </w:p>
        </w:tc>
        <w:tc>
          <w:tcPr>
            <w:tcW w:w="5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realized capital losses on sales</w:t>
            </w:r>
          </w:p>
        </w:tc>
        <w:tc>
          <w:tcPr>
            <w:tcW w:w="5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369"/>
        </w:trPr>
        <w:tc>
          <w:tcPr>
            <w:tcW w:w="4240" w:type="dxa"/>
            <w:vAlign w:val="bottom"/>
          </w:tcPr>
          <w:p>
            <w:pPr>
              <w:spacing w:after="0"/>
              <w:rPr>
                <w:sz w:val="24"/>
                <w:szCs w:val="24"/>
                <w:color w:val="auto"/>
              </w:rPr>
            </w:pPr>
          </w:p>
        </w:tc>
        <w:tc>
          <w:tcPr>
            <w:tcW w:w="5860" w:type="dxa"/>
            <w:vAlign w:val="bottom"/>
          </w:tcPr>
          <w:p>
            <w:pPr>
              <w:jc w:val="right"/>
              <w:ind w:right="4235"/>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269" w:right="339" w:bottom="1440" w:gutter="0" w:footer="0" w:header="0"/>
        </w:sectPr>
      </w:pPr>
    </w:p>
    <w:bookmarkStart w:id="210" w:name="page211"/>
    <w:bookmarkEnd w:id="210"/>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Penalty and Acceleration Fees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had securities sold, redeemed or otherwise disposed of as a result of a callable feature. The number of securities sold, disposed or otherwise redeemed and the aggregate amount of investment income generated as a result of a prepayment penalty and/or acceleration fee were as follows for the three months ended March 31, (in millions, except number of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196"/>
        </w:trPr>
        <w:tc>
          <w:tcPr>
            <w:tcW w:w="10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CUSIPs</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7"/>
                <w:szCs w:val="17"/>
                <w:color w:val="auto"/>
              </w:rPr>
            </w:pPr>
          </w:p>
        </w:tc>
      </w:tr>
      <w:tr>
        <w:trPr>
          <w:trHeight w:val="321"/>
        </w:trPr>
        <w:tc>
          <w:tcPr>
            <w:tcW w:w="10160" w:type="dxa"/>
            <w:vAlign w:val="bottom"/>
          </w:tcPr>
          <w:p>
            <w:pPr>
              <w:spacing w:after="0"/>
              <w:rPr>
                <w:sz w:val="20"/>
                <w:szCs w:val="20"/>
                <w:color w:val="auto"/>
              </w:rPr>
            </w:pPr>
            <w:r>
              <w:rPr>
                <w:rFonts w:ascii="Arial" w:cs="Arial" w:eastAsia="Arial" w:hAnsi="Arial"/>
                <w:sz w:val="18"/>
                <w:szCs w:val="18"/>
                <w:color w:val="auto"/>
              </w:rPr>
              <w:t>Aggregate Amount of Investment Income</w:t>
            </w:r>
            <w:r>
              <w:rPr>
                <w:rFonts w:ascii="Arial" w:cs="Arial" w:eastAsia="Arial" w:hAnsi="Arial"/>
                <w:sz w:val="26"/>
                <w:szCs w:val="26"/>
                <w:color w:val="auto"/>
                <w:vertAlign w:val="superscript"/>
              </w:rPr>
              <w:t>(1)</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  —</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  —</w:t>
            </w:r>
          </w:p>
        </w:tc>
      </w:tr>
    </w:tbl>
    <w:p>
      <w:pPr>
        <w:ind w:left="460" w:hanging="452"/>
        <w:spacing w:after="0" w:line="192" w:lineRule="auto"/>
        <w:tabs>
          <w:tab w:leader="none" w:pos="460" w:val="left"/>
        </w:tabs>
        <w:numPr>
          <w:ilvl w:val="0"/>
          <w:numId w:val="86"/>
        </w:numPr>
        <w:rPr>
          <w:rFonts w:ascii="Arial" w:cs="Arial" w:eastAsia="Arial" w:hAnsi="Arial"/>
          <w:sz w:val="20"/>
          <w:szCs w:val="20"/>
          <w:color w:val="auto"/>
          <w:vertAlign w:val="superscript"/>
        </w:rPr>
      </w:pPr>
      <w:r>
        <w:rPr>
          <w:rFonts w:ascii="Arial" w:cs="Arial" w:eastAsia="Arial" w:hAnsi="Arial"/>
          <w:sz w:val="14"/>
          <w:szCs w:val="14"/>
          <w:color w:val="auto"/>
        </w:rPr>
        <w:t>Aggregate Amount of Investment Income for the period ended March 31, 2023 was less than $1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Due and Accrued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nonadmitted amounts for interest income due and accrued as of March 31, 2024 were as follows (in millions):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Due and Accrued:</w:t>
      </w:r>
    </w:p>
    <w:p>
      <w:pPr>
        <w:spacing w:after="0" w:line="253"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9"/>
        </w:trPr>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2</w:t>
            </w:r>
          </w:p>
        </w:tc>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Nonadmitted</w:t>
            </w:r>
          </w:p>
        </w:tc>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3"/>
        </w:trPr>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3</w:t>
            </w:r>
          </w:p>
        </w:tc>
        <w:tc>
          <w:tcPr>
            <w:tcW w:w="3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Admitted</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82"/>
              </w:rPr>
              <w:t>  17</w:t>
            </w:r>
          </w:p>
        </w:tc>
      </w:tr>
      <w:tr>
        <w:trPr>
          <w:trHeight w:val="20"/>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2024, the Company had aggregate deferred interest of $0.</w:t>
      </w:r>
    </w:p>
    <w:p>
      <w:pPr>
        <w:spacing w:after="0" w:line="104"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As of March 31, 2024, the Company had cumulative amounts of paid-in-kind (“PIK”) interest included in the current principal balance of $3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102"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is a party to service agreements with its affiliates, including, but not limited to, Brighthouse Services, LLC, that provide for a broad range of services to be rendered and facilities and equipment to be provided. Services, facilities and equipment are requested by the recipient as deemed necessary for its operations. These agreements involve cost allocation arrangements, under which the recipient pays the provider for all expenses, direct and indirect, reasonably and equitably determined to be attributable to the services, facilities and equipment provided. There are also a number of other service arrangements with affiliates pursuant to which the provider, at the request of the recipient, renders specified services for a stated fee. Income and expenses under these agreements are reflected in other income (loss) and insurance expenses and taxes (other than Federal income and capital gains taxes), respectively, on the Statutory Statements of Operations and Changes in Capital and Surplus.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Selling and Distribution Agreements</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entered into marketing and selling agreements with several affiliates (“Distributors”), in which the Distributors agree to sell, on the Company’s behalf, insurance products through authorized retailers. The Company agrees to compensate the Distributors for the sale and servicing of such insurance products in accordance with the terms of the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Agreements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reinsurance agreements with its parent, Brighthouse Insurance.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269" w:right="339" w:bottom="1440" w:gutter="0" w:footer="0" w:header="0"/>
        </w:sectPr>
      </w:pPr>
    </w:p>
    <w:bookmarkStart w:id="211" w:name="page212"/>
    <w:bookmarkEnd w:id="211"/>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significant effects of ceded related party reinsurance included in the Statutory Statements of Operations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Changes in Capital and Surplus are as follows for the three months ended March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Premiums and annuity considerations</w:t>
            </w: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(235)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1"/>
              </w:rPr>
              <w:t>(38)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2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(76)</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payments</w:t>
            </w:r>
          </w:p>
        </w:tc>
        <w:tc>
          <w:tcPr>
            <w:tcW w:w="2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(225)</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(92)</w:t>
            </w:r>
          </w:p>
        </w:tc>
      </w:tr>
      <w:tr>
        <w:trPr>
          <w:trHeight w:val="239"/>
        </w:trPr>
        <w:tc>
          <w:tcPr>
            <w:tcW w:w="7400" w:type="dxa"/>
            <w:vAlign w:val="bottom"/>
          </w:tcPr>
          <w:p>
            <w:pPr>
              <w:spacing w:after="0"/>
              <w:rPr>
                <w:sz w:val="20"/>
                <w:szCs w:val="20"/>
                <w:color w:val="auto"/>
              </w:rPr>
            </w:pPr>
            <w:r>
              <w:rPr>
                <w:rFonts w:ascii="Arial" w:cs="Arial" w:eastAsia="Arial" w:hAnsi="Arial"/>
                <w:sz w:val="18"/>
                <w:szCs w:val="18"/>
                <w:color w:val="auto"/>
              </w:rPr>
              <w:t>Changes to reserves, deposit funds and other policy liabilities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bl>
    <w:p>
      <w:pPr>
        <w:spacing w:after="0" w:line="53"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8"/>
          <w:szCs w:val="18"/>
          <w:color w:val="auto"/>
        </w:rPr>
        <w:t>Information regarding the significant effects of ceded related party reinsurance included in the Statutory Statements of Admitted Assets, Liabilities and Capital and Surplus are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Pr>
          <w:p>
            <w:pPr>
              <w:spacing w:after="0"/>
              <w:rPr>
                <w:sz w:val="14"/>
                <w:szCs w:val="14"/>
                <w:color w:val="auto"/>
              </w:rPr>
            </w:pPr>
          </w:p>
        </w:tc>
        <w:tc>
          <w:tcPr>
            <w:tcW w:w="26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19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(2,166)</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(2,133)</w:t>
            </w:r>
          </w:p>
        </w:tc>
        <w:tc>
          <w:tcPr>
            <w:tcW w:w="120" w:type="dxa"/>
            <w:vAlign w:val="bottom"/>
            <w:tcBorders>
              <w:top w:val="single" w:sz="8" w:color="CCEEFF"/>
            </w:tcBorders>
            <w:shd w:val="clear" w:color="auto" w:fill="CCEEFF"/>
          </w:tcPr>
          <w:p>
            <w:pPr>
              <w:spacing w:after="0"/>
              <w:rPr>
                <w:sz w:val="17"/>
                <w:szCs w:val="17"/>
                <w:color w:val="auto"/>
              </w:rPr>
            </w:pPr>
          </w:p>
        </w:tc>
      </w:tr>
    </w:tbl>
    <w:p>
      <w:pPr>
        <w:spacing w:after="0" w:line="89"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Information regarding the significant effects of ceded related party deferred gains on reinsurance, net of income tax, which are recognized as an adjustment to surplus are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Capitalization of deferred gain on reinsurance</w:t>
            </w:r>
          </w:p>
        </w:tc>
        <w:tc>
          <w:tcPr>
            <w:tcW w:w="140" w:type="dxa"/>
            <w:vAlign w:val="bottom"/>
          </w:tcPr>
          <w:p>
            <w:pPr>
              <w:spacing w:after="0"/>
              <w:rPr>
                <w:sz w:val="17"/>
                <w:szCs w:val="17"/>
                <w:color w:val="auto"/>
              </w:rPr>
            </w:pPr>
          </w:p>
        </w:tc>
        <w:tc>
          <w:tcPr>
            <w:tcW w:w="8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deferred gains on reinsurance</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8"/>
          <w:szCs w:val="18"/>
          <w:color w:val="auto"/>
        </w:rPr>
        <w:t>The Company has reinsurance agreements with Brighthouse Insurance to cede 100% of certain variable annuities and 100% of the living and death benefit guarantees issued in connection with variable annuities. Financial impacts recorded by the Company as a result of this agreement are as follows for the three months ended March 31,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r>
      <w:tr>
        <w:trPr>
          <w:trHeight w:val="196"/>
        </w:trPr>
        <w:tc>
          <w:tcPr>
            <w:tcW w:w="10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579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938</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1008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10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105</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r>
      <w:tr>
        <w:trPr>
          <w:trHeight w:val="239"/>
        </w:trPr>
        <w:tc>
          <w:tcPr>
            <w:tcW w:w="10080" w:type="dxa"/>
            <w:vAlign w:val="bottom"/>
          </w:tcPr>
          <w:p>
            <w:pPr>
              <w:spacing w:after="0"/>
              <w:rPr>
                <w:sz w:val="20"/>
                <w:szCs w:val="20"/>
                <w:color w:val="auto"/>
              </w:rPr>
            </w:pPr>
            <w:r>
              <w:rPr>
                <w:rFonts w:ascii="Arial" w:cs="Arial" w:eastAsia="Arial" w:hAnsi="Arial"/>
                <w:sz w:val="18"/>
                <w:szCs w:val="18"/>
                <w:color w:val="auto"/>
              </w:rPr>
              <w:t>Benefit payments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bl>
    <w:p>
      <w:pPr>
        <w:spacing w:after="0" w:line="16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On October 1, 2023, the Company entered into a reinsurance agreement with Brighthouse Insurance to cede 90% of certain index-linked annuity policies. Financial impacts recorded by the Company as a result of this agreement are as follows for the three months ended March 31,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1,518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  —</w:t>
            </w:r>
          </w:p>
        </w:tc>
        <w:tc>
          <w:tcPr>
            <w:tcW w:w="60" w:type="dxa"/>
            <w:vAlign w:val="bottom"/>
            <w:shd w:val="clear" w:color="auto" w:fill="CCEEFF"/>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Premiums and annuity considerations</w:t>
            </w:r>
          </w:p>
        </w:tc>
        <w:tc>
          <w:tcPr>
            <w:tcW w:w="2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2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39"/>
        </w:trPr>
        <w:tc>
          <w:tcPr>
            <w:tcW w:w="7520" w:type="dxa"/>
            <w:vAlign w:val="bottom"/>
          </w:tcPr>
          <w:p>
            <w:pPr>
              <w:spacing w:after="0"/>
              <w:rPr>
                <w:sz w:val="20"/>
                <w:szCs w:val="20"/>
                <w:color w:val="auto"/>
              </w:rPr>
            </w:pPr>
            <w:r>
              <w:rPr>
                <w:rFonts w:ascii="Arial" w:cs="Arial" w:eastAsia="Arial" w:hAnsi="Arial"/>
                <w:sz w:val="18"/>
                <w:szCs w:val="18"/>
                <w:color w:val="auto"/>
              </w:rPr>
              <w:t>Benefit payments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53"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See Note 4 of the annual December 31, 2023 audited statutory financial statements herein for additional information on the novation and settlement of this reinsurance agreement, which resulted in cash and non-cash transfers of assets and liabilities in the period ended March 31, 2024.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269" w:right="339" w:bottom="1440" w:gutter="0" w:footer="0" w:header="0"/>
        </w:sectPr>
      </w:pPr>
    </w:p>
    <w:bookmarkStart w:id="212" w:name="page213"/>
    <w:bookmarkEnd w:id="21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2"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entered into a Limited Liability Company Agreement (the “Agreement”) with Brighthouse Investment Advisers, LLC (“Brighthouse Advisers”) and several other affiliates that are also members of Brighthouse Advisers. Among other things, the Agreement sets forth provisions for the allocation of income and losses to the members of Brighthouse Advisers, including the Company.</w:t>
      </w:r>
    </w:p>
    <w:p>
      <w:pPr>
        <w:spacing w:after="0" w:line="61"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has receivables and payables with affiliates for services necessary to conduct its business. Amounts admitted are expected to be settled within 90 days. Receivables from affiliates, included in other assets, totaled $3 million both at March 31, 2024 and December 31, 2023. Payables to affiliates, included in other liabilities, totaled $171 million and $117 million at March 31, 2024 and December 31, 2023,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Reinsurance and Other Insurance Transactions</w:t>
      </w:r>
    </w:p>
    <w:p>
      <w:pPr>
        <w:spacing w:after="0" w:line="10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The Company participates in reinsurance activities in order to limit losses, minimize exposure to significant risks and provide additional capacity for future growth.</w:t>
      </w:r>
    </w:p>
    <w:p>
      <w:pPr>
        <w:spacing w:after="0" w:line="61"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For its individual life insurance products, the Company has historically reinsured the mortality risk primarily on an excess of retention basis or on a quota share basis. The Company currently retains up to $ 100,000 per life and reinsures 100% of amounts in excess of the amount the Company retains. In addition to reinsuring mortality risk as described above, the Company reinsures other risks, as well as specific coverages. Placement of reinsurance is done primarily on an automatic basis and also on a facultative basis for risks with specified characteristics. The Company evaluates its reinsurance programs routinely and may increase or decrease its retention at any time.</w:t>
      </w:r>
    </w:p>
    <w:p>
      <w:pPr>
        <w:spacing w:after="0" w:line="68"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8"/>
          <w:szCs w:val="18"/>
          <w:color w:val="auto"/>
        </w:rPr>
        <w:t>For annuities, the Company currently reinsures to Brighthouse Insurance 100% of certain variable annuity risks or 100% of the living and death benefit guarantees issued in connection with variable annuities. Under the benefit guarantee reinsurance agreements, the Company pays a reinsurance premium generally based on fees associated with the guarantees collected from policyholders, and receives reimbursement for benefits paid or accrued in excess of account values, subject to certain limitations. In addition, the Company currently reinsures to Brighthouse Insurance 90% of certain index-linked annuity policies.</w:t>
      </w:r>
    </w:p>
    <w:p>
      <w:pPr>
        <w:spacing w:after="0" w:line="68"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61"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reinsures its business through a diversified group of highly rated reinsurers. The Company analyzes recent trends in arbitration and litigation outcomes in disputes, if any, and monitors ratings and the financial strength of its reinsurers. In addition, the reinsurance recoverable balance due from each reinsurer and the recoverability of such balance is evaluated as part of this overall monitoring process. The Company generally secures large reinsurance recoverable balances with various forms of collateral, including secured trusts, funds withheld accounts and irrevocable letters of credit. No single unrelated reinsurer has a material obligation to the Company nor is the Company’s business substantially dependent upon any reinsurance agreement. The Company is contingently liable with respect to ceded reinsurance should any reinsurer be unable to meet its obligations under these agreements.</w:t>
      </w:r>
    </w:p>
    <w:p>
      <w:pPr>
        <w:spacing w:after="0" w:line="77"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financial statements include the impact of reinsurance. Information regarding the significant effects of related and unrelated ceded reinsurance included in the Statutory Statements of Operations and Changes in Capital and Surplus was as follows for the three months ended March 31,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5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Premiums and annuity considerations</w:t>
            </w:r>
          </w:p>
        </w:tc>
        <w:tc>
          <w:tcPr>
            <w:tcW w:w="4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(235)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1"/>
              </w:rPr>
              <w:t>(39)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Reserve adjustments on reinsurance ceded</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(76)</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payments</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(234)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(96)</w:t>
            </w:r>
          </w:p>
        </w:tc>
      </w:tr>
      <w:tr>
        <w:trPr>
          <w:trHeight w:val="239"/>
        </w:trPr>
        <w:tc>
          <w:tcPr>
            <w:tcW w:w="5180" w:type="dxa"/>
            <w:vAlign w:val="bottom"/>
          </w:tcPr>
          <w:p>
            <w:pPr>
              <w:spacing w:after="0"/>
              <w:rPr>
                <w:sz w:val="20"/>
                <w:szCs w:val="20"/>
                <w:color w:val="auto"/>
              </w:rPr>
            </w:pPr>
            <w:r>
              <w:rPr>
                <w:rFonts w:ascii="Arial" w:cs="Arial" w:eastAsia="Arial" w:hAnsi="Arial"/>
                <w:sz w:val="18"/>
                <w:szCs w:val="18"/>
                <w:color w:val="auto"/>
              </w:rPr>
              <w:t>Changes to reserves, deposit funds and other policy liabilities</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332"/>
        </w:trPr>
        <w:tc>
          <w:tcPr>
            <w:tcW w:w="5180" w:type="dxa"/>
            <w:vAlign w:val="bottom"/>
          </w:tcPr>
          <w:p>
            <w:pPr>
              <w:spacing w:after="0"/>
              <w:rPr>
                <w:sz w:val="24"/>
                <w:szCs w:val="24"/>
                <w:color w:val="auto"/>
              </w:rPr>
            </w:pPr>
          </w:p>
        </w:tc>
        <w:tc>
          <w:tcPr>
            <w:tcW w:w="4760" w:type="dxa"/>
            <w:vAlign w:val="bottom"/>
          </w:tcPr>
          <w:p>
            <w:pPr>
              <w:jc w:val="right"/>
              <w:ind w:right="407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269" w:right="339" w:bottom="1440" w:gutter="0" w:footer="0" w:header="0"/>
        </w:sectPr>
      </w:pPr>
    </w:p>
    <w:bookmarkStart w:id="213" w:name="page214"/>
    <w:bookmarkEnd w:id="213"/>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BRIGHTHOUSE LIFE INSURANCE COMPANY OF NY</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Notes to the Interim Condensed Statutory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2024 and 2023 (Unaudited) and December 31, 2023 (continued)</w:t>
      </w:r>
    </w:p>
    <w:p>
      <w:pPr>
        <w:spacing w:after="0" w:line="200" w:lineRule="exact"/>
        <w:rPr>
          <w:sz w:val="20"/>
          <w:szCs w:val="20"/>
          <w:color w:val="auto"/>
        </w:rPr>
      </w:pPr>
    </w:p>
    <w:p>
      <w:pPr>
        <w:spacing w:after="0" w:line="223"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8"/>
          <w:szCs w:val="18"/>
          <w:color w:val="auto"/>
        </w:rPr>
        <w:t>The financial statements include the impact of reinsurance. Information regarding the significant effects of related and unrelated ceded reinsurance included in the Statutory Statements of Admitted Assets, Liabilities and Capital and Surplus was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Reserves for life insurance, annuities and deposit-type contracts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(3,063)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(3,035)</w:t>
            </w:r>
          </w:p>
        </w:tc>
        <w:tc>
          <w:tcPr>
            <w:tcW w:w="120" w:type="dxa"/>
            <w:vAlign w:val="bottom"/>
            <w:shd w:val="clear" w:color="auto" w:fill="CCEEFF"/>
          </w:tcPr>
          <w:p>
            <w:pPr>
              <w:spacing w:after="0"/>
              <w:rPr>
                <w:sz w:val="17"/>
                <w:szCs w:val="17"/>
                <w:color w:val="auto"/>
              </w:rPr>
            </w:pPr>
          </w:p>
        </w:tc>
      </w:tr>
      <w:tr>
        <w:trPr>
          <w:trHeight w:val="239"/>
        </w:trPr>
        <w:tc>
          <w:tcPr>
            <w:tcW w:w="7100" w:type="dxa"/>
            <w:vAlign w:val="bottom"/>
          </w:tcPr>
          <w:p>
            <w:pPr>
              <w:spacing w:after="0"/>
              <w:rPr>
                <w:sz w:val="20"/>
                <w:szCs w:val="20"/>
                <w:color w:val="auto"/>
              </w:rPr>
            </w:pPr>
            <w:r>
              <w:rPr>
                <w:rFonts w:ascii="Arial" w:cs="Arial" w:eastAsia="Arial" w:hAnsi="Arial"/>
                <w:sz w:val="18"/>
                <w:szCs w:val="18"/>
                <w:color w:val="auto"/>
              </w:rPr>
              <w:t>Funds held under reinsurance treaties</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r>
    </w:tbl>
    <w:p>
      <w:pPr>
        <w:spacing w:after="0" w:line="53" w:lineRule="exact"/>
        <w:rPr>
          <w:sz w:val="20"/>
          <w:szCs w:val="20"/>
          <w:color w:val="auto"/>
        </w:rPr>
      </w:pPr>
    </w:p>
    <w:p>
      <w:pPr>
        <w:jc w:val="both"/>
        <w:ind w:firstLine="449"/>
        <w:spacing w:after="0"/>
        <w:rPr>
          <w:sz w:val="20"/>
          <w:szCs w:val="20"/>
          <w:color w:val="auto"/>
        </w:rPr>
      </w:pPr>
      <w:r>
        <w:rPr>
          <w:rFonts w:ascii="Arial" w:cs="Arial" w:eastAsia="Arial" w:hAnsi="Arial"/>
          <w:sz w:val="18"/>
          <w:szCs w:val="18"/>
          <w:color w:val="auto"/>
        </w:rPr>
        <w:t>The Company has ceded reinsurance to related and unrelated companies that are unauthorized, or not accredited to write reinsurance agreements in the domiciliary state of the Company. The unauthorized reinsurance liability is calculated to record a liability for reserve credits taken that are not fully collateralized by each unauthorized reinsurance company. The unauthorized companies provide collateral to the Company to support the ceded liabilities. The collateral provided includes but is not limited to letters of credit (“LOCs”) and trust agreements. The unauthorized liability balance for the Company was less than $1 million at both March 31, 2024 and December 31, 2023. LOCs that are provided for reinsurance agreements with unrelated companies totaled less than $1 million at both March 31, 2024 and December 31, 2023. Assets held in trust for reinsurance agreements with Brighthouse Insurance totaled $2,469 million and $2,458 million at March 31, 2024 and December, 31 2023, respectively.</w:t>
      </w:r>
    </w:p>
    <w:p>
      <w:pPr>
        <w:spacing w:after="0" w:line="7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8"/>
          <w:szCs w:val="18"/>
          <w:color w:val="auto"/>
        </w:rPr>
        <w:t>The Company has entered into reinsurance agreements to cede in -force business to reinsurers. These agreements may result in deferred gains on reinsurance, net of income tax, which are recorded in unassigned surplus (deficit). The change in deferred gains on reinsurance is recognized as an adjustment to surplus and is reflected in change in surplus as a result of reinsurance. The rollforward of deferred gains on reinsurance agreements is as follows at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Capitalization of deferred gain on reinsurance</w:t>
            </w:r>
          </w:p>
        </w:tc>
        <w:tc>
          <w:tcPr>
            <w:tcW w:w="140" w:type="dxa"/>
            <w:vAlign w:val="bottom"/>
          </w:tcPr>
          <w:p>
            <w:pPr>
              <w:spacing w:after="0"/>
              <w:rPr>
                <w:sz w:val="17"/>
                <w:szCs w:val="17"/>
                <w:color w:val="auto"/>
              </w:rPr>
            </w:pPr>
          </w:p>
        </w:tc>
        <w:tc>
          <w:tcPr>
            <w:tcW w:w="8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deferred gains on reinsurance</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104"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Company has evaluated events subsequent to March 31, 2024 through June 10, 2024, which is the date these financial statements were available to be issued, and has determined there are no material subsequent events requiring adjustment to or disclosure in the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269" w:right="339" w:bottom="1440" w:gutter="0" w:footer="0" w:header="0"/>
        </w:sectPr>
      </w:pPr>
    </w:p>
    <w:bookmarkStart w:id="214" w:name="page215"/>
    <w:bookmarkEnd w:id="21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1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INDEX PUBLISHERS</w:t>
      </w:r>
    </w:p>
    <w:p>
      <w:pPr>
        <w:spacing w:after="0" w:line="135"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BLNY uses the Indices under license from the Indices’ respective publishers. The following information about the Indices is included in this prospectus in accordance with BLNY’s license agreements with the publishers of the Indices: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S&amp;P Opco, LLC requires that the following disclaimer be included in this prospectus:</w:t>
      </w:r>
    </w:p>
    <w:p>
      <w:pPr>
        <w:spacing w:after="0" w:line="114" w:lineRule="exact"/>
        <w:rPr>
          <w:sz w:val="20"/>
          <w:szCs w:val="20"/>
          <w:color w:val="auto"/>
        </w:rPr>
      </w:pPr>
    </w:p>
    <w:p>
      <w:pPr>
        <w:jc w:val="both"/>
        <w:ind w:left="120" w:right="639" w:firstLine="360"/>
        <w:spacing w:after="0" w:line="228" w:lineRule="auto"/>
        <w:rPr>
          <w:sz w:val="20"/>
          <w:szCs w:val="20"/>
          <w:color w:val="auto"/>
        </w:rPr>
      </w:pPr>
      <w:r>
        <w:rPr>
          <w:rFonts w:ascii="Times New Roman" w:cs="Times New Roman" w:eastAsia="Times New Roman" w:hAnsi="Times New Roman"/>
          <w:sz w:val="18"/>
          <w:szCs w:val="18"/>
          <w:color w:val="auto"/>
        </w:rPr>
        <w:t>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product of S&amp;P Dow Jones Indices LLC or its affiliates (“SPDJI”) and has been licensed for use by affiliates of Brighthouse Financial, Inc., including Brighthouse Services, LLC and Brighthouse Life Insurance Company of NY (collectively, “Brighthouse Financial”). S&amp;P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US 500, The 500, iBoxx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iTraxx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of S&amp;P Global, Inc. or its affiliates (“S&amp;P”); Dow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Dow Jones Trademark Holdings LLC (“Dow Jones”); and these trademarks have been licensed for use by SPDJI and sublicensed for certain purposes by Brighthouse Financial. It is not possible to invest directly in an index.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SPDJI, Dow Jones, S&amp;P, any of their respective affiliates (collectively, “S&amp;P Dow Jones Indices”). S&amp;P Dow Jones Indices makes no representation or warranty, express or implied, to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particularly or the ability of the S&amp;P 500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track general market performance. Past performance of an index is not an indication or guarantee of future results. S&amp;P Dow Jones Indices’ only relationship to Brighthouse Financial with respect to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the licensing of the Index and certain trademarks, service marks and/or trade names of S&amp;P Dow Jones Indices and/or its licensors.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determined, composed and calculated by S&amp;P Dow Jones Indices without regard to Brighthouse Financial or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S&amp;P Dow Jones Indices have no obligation to take the needs of Brighthouse Financial or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into consideration in determining, composing or calculating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S&amp;P Dow Jones Indices have no obligation or liability in connection with the administration, marketing or trading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There is no assurance that investment products based on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p>
    <w:p>
      <w:pPr>
        <w:spacing w:after="0" w:line="94"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7"/>
          <w:szCs w:val="17"/>
          <w:color w:val="auto"/>
        </w:rPr>
        <w:t>NEITHER S&amp;P DOW JONES INDICES NOR THIRD PARTY LICENSOR GUARANTEES THE ADEQUACY, ACCURACY, TIMELINESS AND/OR THE COMPLETENESS OF THE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II 6-YEAR ANNUITY, OR ANY OTHER PERSON OR ENTITY FROM THE USE OF THE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 OF SUCH DAMAGES, WHETHER IN CONTRACT, TORT, STRICT LIABILITY, OR OTHERWISE. S&amp;P DOW JONES INDICES HAS NOT REVIEWED, PREPARED AND/OR CERTIFIED ANY PORTION OF, NOR DOES S&amp;P DOW JONES INDICES HAVE ANY CONTROL OVER, THE LICENSEE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II 6-YEAR ANNUITY REGISTRATION STATEMENT, PROSPECTUS OR OTHER OFFERING MATERIALS. THERE ARE NO THIRD-PARTY BENEFICIARIES OF ANY AGREEMENTS OR ARRANGEMENTS BETWEEN S&amp;P DOW JONES INDICES AND BRIGHTHOUSE FINANCIAL, OTHER THAN THE LICENSORS OF S&amp;P DOW JONES INDICES.</w:t>
      </w: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Frank Russell Company requires that the following disclaimer be included in this prospectus:</w:t>
      </w:r>
    </w:p>
    <w:p>
      <w:pPr>
        <w:spacing w:after="0" w:line="100" w:lineRule="exact"/>
        <w:rPr>
          <w:sz w:val="20"/>
          <w:szCs w:val="20"/>
          <w:color w:val="auto"/>
        </w:rPr>
      </w:pPr>
    </w:p>
    <w:p>
      <w:pPr>
        <w:jc w:val="both"/>
        <w:ind w:left="120" w:right="639" w:firstLine="360"/>
        <w:spacing w:after="0" w:line="228"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Frank Russell Company (“Russell”). Russell makes no representation or warranty, express or implied, to the owners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member of the public regarding the advisability of investing in securities generally or in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particularly or the ability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to track general stock market performance or a segment of the same. Russell’s publication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in no way suggests or implies an opinion by Russell as to the advisability of investment in any or all of the securities upon which the Russell 2000® Index is based. Russell’s only relationship to affiliates of Brighthouse Financial, Inc., including Brighthouse Services, LLC and Brighthouse Life Insurance Company (collectively, “Brighthouse Financial”) is the licensing of certain trademarks and trade names of Russell and of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which is determined, composed and calculated by Russell without regard to</w:t>
      </w: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765" w:right="1440" w:bottom="0" w:gutter="0" w:footer="0" w:header="0"/>
        </w:sectPr>
      </w:pPr>
    </w:p>
    <w:bookmarkStart w:id="215" w:name="page216"/>
    <w:bookmarkEnd w:id="215"/>
    <w:p>
      <w:pPr>
        <w:jc w:val="both"/>
        <w:ind w:left="120" w:right="639"/>
        <w:spacing w:after="0" w:line="23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Brighthouse Financial or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Russell is not responsible for and has not reviewed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Russell has no obligation or liability in connection with the administration, marketing or trading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w:t>
      </w:r>
    </w:p>
    <w:p>
      <w:pPr>
        <w:spacing w:after="0" w:line="52" w:lineRule="exact"/>
        <w:rPr>
          <w:sz w:val="20"/>
          <w:szCs w:val="20"/>
          <w:color w:val="auto"/>
        </w:rPr>
      </w:pPr>
    </w:p>
    <w:p>
      <w:pPr>
        <w:jc w:val="both"/>
        <w:ind w:left="120" w:right="639" w:firstLine="360"/>
        <w:spacing w:after="0" w:line="248" w:lineRule="auto"/>
        <w:rPr>
          <w:sz w:val="20"/>
          <w:szCs w:val="20"/>
          <w:color w:val="auto"/>
        </w:rPr>
      </w:pPr>
      <w:r>
        <w:rPr>
          <w:rFonts w:ascii="Times New Roman" w:cs="Times New Roman" w:eastAsia="Times New Roman" w:hAnsi="Times New Roman"/>
          <w:sz w:val="17"/>
          <w:szCs w:val="17"/>
          <w:color w:val="auto"/>
        </w:rPr>
        <w:t>RUSSELL DOES NOT GUARANTEE THE ACCURACY AND/OR THE COMPLETENESS OF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INCLUDED THEREIN AND RUSSELL SHALL HAVE NO LIABILITY FOR ANY ERRORS, OMISSIONS, OR INTERRUPTIONS THEREIN. RUSSELL MAKES NO WARRANTY, EXPRESS OR IMPLIED, AS TO RESULTS TO BE OBTAINED BY BRIGHTHOUSE FINANCIAL, INVESTORS, OWNERS OF THE BRIGHTHOUSE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LEVEL II 6-YEAR ANNUITY OR ANY OTHER PERSON OR ENTITY FROM THE USE OF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INCLUDED THEREIN. RUSSELL MAKES NO EXPRESS OR IMPLIED WARRANTIES, AND EXPRESSLY DISCLAIMS ALL WARRANTIES OF MERCHANTABILITY OR FITNESS FOR A PARTICULAR PURPOSE OR USE WITH RESPECT TO THE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OR ANY DATA INCLUDED THEREIN. WITHOUT LIMITING ANY OF THE FOREGOING, IN NO EVENT SHALL RUSSELL HAVE ANY LIABILITY FOR ANY SPECIAL, PUNITIVE, INDIRECT, OR CONSEQUENTIAL DAMAGES (INCLUDING LOST PROFITS), EVEN IF NOTIFIED OF THE POSSIBILITY OF SUCH DAMAGES.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MSCI Inc. requires that the following disclaimer be included in this prospectus:</w:t>
      </w:r>
    </w:p>
    <w:p>
      <w:pPr>
        <w:spacing w:after="0" w:line="100" w:lineRule="exact"/>
        <w:rPr>
          <w:sz w:val="20"/>
          <w:szCs w:val="20"/>
          <w:color w:val="auto"/>
        </w:rPr>
      </w:pPr>
    </w:p>
    <w:p>
      <w:pPr>
        <w:jc w:val="both"/>
        <w:ind w:left="120" w:right="639" w:firstLine="360"/>
        <w:spacing w:after="0" w:line="250" w:lineRule="auto"/>
        <w:rPr>
          <w:sz w:val="20"/>
          <w:szCs w:val="20"/>
          <w:color w:val="auto"/>
        </w:rPr>
      </w:pPr>
      <w:r>
        <w:rPr>
          <w:rFonts w:ascii="Times New Roman" w:cs="Times New Roman" w:eastAsia="Times New Roman" w:hAnsi="Times New Roman"/>
          <w:sz w:val="18"/>
          <w:szCs w:val="18"/>
          <w:color w:val="auto"/>
        </w:rPr>
        <w:t>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p>
    <w:p>
      <w:pPr>
        <w:spacing w:after="0" w:line="89" w:lineRule="exact"/>
        <w:rPr>
          <w:sz w:val="20"/>
          <w:szCs w:val="20"/>
          <w:color w:val="auto"/>
        </w:rPr>
      </w:pPr>
    </w:p>
    <w:p>
      <w:pPr>
        <w:jc w:val="both"/>
        <w:ind w:left="120" w:right="639" w:firstLine="360"/>
        <w:spacing w:after="0" w:line="252" w:lineRule="auto"/>
        <w:rPr>
          <w:sz w:val="20"/>
          <w:szCs w:val="20"/>
          <w:color w:val="auto"/>
        </w:rPr>
      </w:pPr>
      <w:r>
        <w:rPr>
          <w:rFonts w:ascii="Times New Roman" w:cs="Times New Roman" w:eastAsia="Times New Roman" w:hAnsi="Times New Roman"/>
          <w:sz w:val="18"/>
          <w:szCs w:val="18"/>
          <w:color w:val="auto"/>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p>
    <w:p>
      <w:pPr>
        <w:spacing w:after="0" w:line="70" w:lineRule="exact"/>
        <w:rPr>
          <w:sz w:val="20"/>
          <w:szCs w:val="20"/>
          <w:color w:val="auto"/>
        </w:rPr>
      </w:pPr>
    </w:p>
    <w:p>
      <w:pPr>
        <w:jc w:val="both"/>
        <w:ind w:left="120" w:right="639" w:firstLine="360"/>
        <w:spacing w:after="0" w:line="249" w:lineRule="auto"/>
        <w:rPr>
          <w:sz w:val="20"/>
          <w:szCs w:val="20"/>
          <w:color w:val="auto"/>
        </w:rPr>
      </w:pPr>
      <w:r>
        <w:rPr>
          <w:rFonts w:ascii="Times New Roman" w:cs="Times New Roman" w:eastAsia="Times New Roman" w:hAnsi="Times New Roman"/>
          <w:sz w:val="18"/>
          <w:szCs w:val="18"/>
          <w:color w:val="auto"/>
        </w:rPr>
        <w:t>No purchaser, seller or holder of the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other person or entity, should use or refer to any MSCI trade name, trademark or service mark to sponsor, endorse, market or promote this security without first contacting MSCI to determine whether MSCI’s permission is required. Under no circumstances may any person or entity claim any affiliation with MSCI without the prior written permission of MSCI.</w:t>
      </w:r>
    </w:p>
    <w:p>
      <w:pPr>
        <w:sectPr>
          <w:pgSz w:w="11900" w:h="16838" w:orient="portrait"/>
          <w:cols w:equalWidth="0" w:num="1">
            <w:col w:w="9019"/>
          </w:cols>
          <w:pgMar w:left="1440" w:top="1360" w:right="1440" w:bottom="0" w:gutter="0" w:footer="0" w:header="0"/>
        </w:sectPr>
      </w:pPr>
    </w:p>
    <w:bookmarkStart w:id="216" w:name="page217"/>
    <w:bookmarkEnd w:id="216"/>
    <w:p>
      <w:pPr>
        <w:ind w:left="41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313055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Nasdaq, Inc. requires that the following disclaimer be included in this prospectus:</w:t>
      </w:r>
    </w:p>
    <w:p>
      <w:pPr>
        <w:spacing w:after="0" w:line="100" w:lineRule="exact"/>
        <w:rPr>
          <w:sz w:val="20"/>
          <w:szCs w:val="20"/>
          <w:color w:val="auto"/>
        </w:rPr>
      </w:pPr>
    </w:p>
    <w:p>
      <w:pPr>
        <w:jc w:val="both"/>
        <w:ind w:left="120" w:right="639" w:firstLine="360"/>
        <w:spacing w:after="0" w:line="218" w:lineRule="auto"/>
        <w:rPr>
          <w:sz w:val="20"/>
          <w:szCs w:val="20"/>
          <w:color w:val="auto"/>
        </w:rPr>
      </w:pPr>
      <w:r>
        <w:rPr>
          <w:rFonts w:ascii="Times New Roman" w:cs="Times New Roman" w:eastAsia="Times New Roman" w:hAnsi="Times New Roman"/>
          <w:sz w:val="18"/>
          <w:szCs w:val="18"/>
          <w:color w:val="auto"/>
        </w:rPr>
        <w:t>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not sponsored, endorsed, sold or promoted by Nasdaq, Inc. or its affiliates (Nasdaq, Inc. with its affiliates, are referred to as the “Corporations”). The Corporations have not passed on the legality or suitability of, or the accuracy or adequacy of descriptions and disclosures relating to,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The Corporations make no representation or warranty, express or implied to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particularly, or the ability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track general stock market performance. The Corporations' only relationship to Brighthouse Life Insurance Company (“Licensee”) is in the licensing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trade names of the Corporations and the use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which is determined, composed and calculated by Nasdaq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without regard to Licensee or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Nasdaq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no obligation to take the needs of the Licensee or the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into consideration in determining, composing or calculating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Corporations are not responsible for and have not participated in the determination of the timing of, prices at, or quantities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to be issued or in the determination or calculation of the equation by which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is to be converted into cash. The Corporations have no liability in connection with the administration, marketing or trading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w:t>
      </w:r>
    </w:p>
    <w:p>
      <w:pPr>
        <w:spacing w:after="0" w:line="97" w:lineRule="exact"/>
        <w:rPr>
          <w:sz w:val="20"/>
          <w:szCs w:val="20"/>
          <w:color w:val="auto"/>
        </w:rPr>
      </w:pPr>
    </w:p>
    <w:p>
      <w:pPr>
        <w:jc w:val="both"/>
        <w:ind w:left="120" w:right="639" w:firstLine="360"/>
        <w:spacing w:after="0" w:line="234" w:lineRule="auto"/>
        <w:rPr>
          <w:sz w:val="20"/>
          <w:szCs w:val="20"/>
          <w:color w:val="auto"/>
        </w:rPr>
      </w:pPr>
      <w:r>
        <w:rPr>
          <w:rFonts w:ascii="Times New Roman" w:cs="Times New Roman" w:eastAsia="Times New Roman" w:hAnsi="Times New Roman"/>
          <w:sz w:val="18"/>
          <w:szCs w:val="18"/>
          <w:color w:val="auto"/>
        </w:rPr>
        <w:t>THE CORPORATIONS DO NOT GUARANTEE THE ACCURACY AND/OR UNINTERRUPTED CALCULATION OF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ANY DATA INCLUDED THEREIN. THE CORPORATIONS MAKE NO WARRANTY, EXPRESS OR IMPLIED, AS TO RESULTS TO BE OBTAINED BY LICENSEE, OWNERS OF BRIGHTHOUSE 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LEVEL II 6-YEAR ANNUITY, OR ANY OTHER PERSON OR ENTITY FROM THE USE OF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ANY DATA INCLUDED THEREIN. THE CORPORATIONS MAKE NO EXPRESS OR IMPLIED WARRANTIES, AND EXPRESSLY DISCLAIM ALL WARRANTIES OF MERCHANTABILITY OR FITNESS FOR A PARTICULAR PURPOSE OR USE WITH RESPECT TO THE NASDAQ-100 INDEX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ANY DATA INCLUDED THEREIN. WITHOUT LIMITING ANY OF THE FOREGOING, IN NO EVENT SHALL THE CORPORATIONS HAVE ANY LIABILITY FOR ANY LOST PROFITS OR SPECIAL, INCIDENTAL, PUNITIVE, INDIRECT, OR CONSEQUENTIAL DAMAGES, EVEN IF NOTIFIED OF THE POSSIBILITY OF SUCH DAMAGES.</w:t>
      </w:r>
    </w:p>
    <w:p>
      <w:pPr>
        <w:sectPr>
          <w:pgSz w:w="11900" w:h="16838" w:orient="portrait"/>
          <w:cols w:equalWidth="0" w:num="1">
            <w:col w:w="9019"/>
          </w:cols>
          <w:pgMar w:left="1440"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9019"/>
          </w:cols>
          <w:pgMar w:left="1440" w:top="135" w:right="1440" w:bottom="1440" w:gutter="0" w:footer="0" w:header="0"/>
          <w:type w:val="continuous"/>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rPr>
        <w:t> </w:t>
      </w:r>
    </w:p>
    <w:p>
      <w:pPr>
        <w:jc w:val="right"/>
        <w:ind w:right="293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bookmarkStart w:id="218" w:name="page219"/>
    <w:bookmarkEnd w:id="218"/>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B</w:t>
      </w:r>
    </w:p>
    <w:p>
      <w:pPr>
        <w:spacing w:after="0" w:line="11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INDEX SUBSTITUTION INVESTMENT AMOUNT EXAMPLE</w:t>
      </w:r>
    </w:p>
    <w:p>
      <w:pPr>
        <w:spacing w:after="0" w:line="121"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The following example illustrates how we would calculate your Investment Amount on a Term End Date when there is an Index substitution. We assume no withdrawals and a $100,000 Purchase Payment into a Shield Option with a 1-Year Term / Shield 10 /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with a Cap Rate of 10%.</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Account Value:</w:t>
      </w:r>
    </w:p>
    <w:p>
      <w:pPr>
        <w:spacing w:after="0" w:line="62"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474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 Amount at Term Start Date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8"/>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5"/>
              </w:rPr>
              <w:t>1-Year</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Initial Index</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S&amp;P 500</w:t>
            </w:r>
            <w:r>
              <w:rPr>
                <w:rFonts w:ascii="Times New Roman" w:cs="Times New Roman" w:eastAsia="Times New Roman" w:hAnsi="Times New Roman"/>
                <w:sz w:val="23"/>
                <w:szCs w:val="23"/>
                <w:color w:val="auto"/>
                <w:w w:val="97"/>
                <w:vertAlign w:val="superscript"/>
              </w:rPr>
              <w:t>®</w:t>
            </w:r>
            <w:r>
              <w:rPr>
                <w:rFonts w:ascii="Times New Roman" w:cs="Times New Roman" w:eastAsia="Times New Roman" w:hAnsi="Times New Roman"/>
                <w:sz w:val="18"/>
                <w:szCs w:val="18"/>
                <w:color w:val="auto"/>
                <w:w w:val="97"/>
              </w:rPr>
              <w:t xml:space="preserve"> Index</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Value on Term Start Date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1,400</w:t>
            </w:r>
          </w:p>
        </w:tc>
      </w:tr>
      <w:tr>
        <w:trPr>
          <w:trHeight w:val="237"/>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5"/>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534"/>
        </w:trPr>
        <w:tc>
          <w:tcPr>
            <w:tcW w:w="4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On date of Index Substitution halfway through the Term:</w:t>
            </w:r>
          </w:p>
        </w:tc>
        <w:tc>
          <w:tcPr>
            <w:tcW w:w="1820" w:type="dxa"/>
            <w:vAlign w:val="bottom"/>
            <w:tcBorders>
              <w:top w:val="single" w:sz="8" w:color="auto"/>
            </w:tcBorders>
          </w:tcPr>
          <w:p>
            <w:pPr>
              <w:spacing w:after="0"/>
              <w:rPr>
                <w:sz w:val="24"/>
                <w:szCs w:val="24"/>
                <w:color w:val="auto"/>
              </w:rPr>
            </w:pPr>
          </w:p>
        </w:tc>
      </w:tr>
      <w:tr>
        <w:trPr>
          <w:trHeight w:val="51"/>
        </w:trPr>
        <w:tc>
          <w:tcPr>
            <w:tcW w:w="11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40"/>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substitution</w:t>
            </w:r>
          </w:p>
        </w:tc>
        <w:tc>
          <w:tcPr>
            <w:tcW w:w="182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9"/>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Number of days since Term Start Date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183</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Value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1,330</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Performance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–5%</w:t>
            </w:r>
          </w:p>
        </w:tc>
      </w:tr>
      <w:tr>
        <w:trPr>
          <w:trHeight w:val="277"/>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Substituted Index</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Russell 2000</w:t>
            </w:r>
            <w:r>
              <w:rPr>
                <w:rFonts w:ascii="Times New Roman" w:cs="Times New Roman" w:eastAsia="Times New Roman" w:hAnsi="Times New Roman"/>
                <w:sz w:val="23"/>
                <w:szCs w:val="23"/>
                <w:color w:val="auto"/>
                <w:w w:val="98"/>
                <w:vertAlign w:val="superscript"/>
              </w:rPr>
              <w:t>®</w:t>
            </w:r>
            <w:r>
              <w:rPr>
                <w:rFonts w:ascii="Times New Roman" w:cs="Times New Roman" w:eastAsia="Times New Roman" w:hAnsi="Times New Roman"/>
                <w:sz w:val="18"/>
                <w:szCs w:val="18"/>
                <w:color w:val="auto"/>
                <w:w w:val="98"/>
              </w:rPr>
              <w:t xml:space="preserve"> Index</w:t>
            </w:r>
          </w:p>
        </w:tc>
      </w:tr>
      <w:tr>
        <w:trPr>
          <w:trHeight w:val="262"/>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line="262" w:lineRule="exact"/>
              <w:rPr>
                <w:sz w:val="20"/>
                <w:szCs w:val="20"/>
                <w:color w:val="auto"/>
              </w:rPr>
            </w:pPr>
            <w:r>
              <w:rPr>
                <w:rFonts w:ascii="Times New Roman" w:cs="Times New Roman" w:eastAsia="Times New Roman" w:hAnsi="Times New Roman"/>
                <w:sz w:val="18"/>
                <w:szCs w:val="18"/>
                <w:color w:val="auto"/>
              </w:rPr>
              <w:t>Index Value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on substitution date</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8"/>
              </w:rPr>
              <w:t>1,250</w:t>
            </w:r>
          </w:p>
        </w:tc>
      </w:tr>
      <w:tr>
        <w:trPr>
          <w:trHeight w:val="53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of Investment Amount at Term End Date:</w:t>
            </w:r>
          </w:p>
        </w:tc>
        <w:tc>
          <w:tcPr>
            <w:tcW w:w="1820" w:type="dxa"/>
            <w:vAlign w:val="bottom"/>
          </w:tcPr>
          <w:p>
            <w:pPr>
              <w:spacing w:after="0"/>
              <w:rPr>
                <w:sz w:val="24"/>
                <w:szCs w:val="24"/>
                <w:color w:val="auto"/>
              </w:rPr>
            </w:pPr>
          </w:p>
        </w:tc>
      </w:tr>
      <w:tr>
        <w:trPr>
          <w:trHeight w:val="51"/>
        </w:trPr>
        <w:tc>
          <w:tcPr>
            <w:tcW w:w="11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80"/>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Value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1,375</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Index Performance for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(1)</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–5%</w:t>
            </w:r>
          </w:p>
        </w:tc>
      </w:tr>
      <w:tr>
        <w:trPr>
          <w:trHeight w:val="277"/>
        </w:trPr>
        <w:tc>
          <w:tcPr>
            <w:tcW w:w="47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Index Performance for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Total Index Performance for the Term</w:t>
            </w:r>
            <w:r>
              <w:rPr>
                <w:rFonts w:ascii="Times New Roman" w:cs="Times New Roman" w:eastAsia="Times New Roman" w:hAnsi="Times New Roman"/>
                <w:sz w:val="23"/>
                <w:szCs w:val="23"/>
                <w:color w:val="auto"/>
                <w:vertAlign w:val="superscript"/>
              </w:rPr>
              <w:t>(3)</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r>
      <w:tr>
        <w:trPr>
          <w:trHeight w:val="237"/>
        </w:trPr>
        <w:tc>
          <w:tcPr>
            <w:tcW w:w="47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 Rate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8"/>
        </w:trPr>
        <w:tc>
          <w:tcPr>
            <w:tcW w:w="4740" w:type="dxa"/>
            <w:vAlign w:val="bottom"/>
            <w:tcBorders>
              <w:left w:val="single" w:sz="8" w:color="auto"/>
              <w:bottom w:val="single" w:sz="8" w:color="F0FFFF"/>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Shield Rate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77"/>
        </w:trPr>
        <w:tc>
          <w:tcPr>
            <w:tcW w:w="47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Performance Rate</w:t>
            </w:r>
            <w:r>
              <w:rPr>
                <w:rFonts w:ascii="Times New Roman" w:cs="Times New Roman" w:eastAsia="Times New Roman" w:hAnsi="Times New Roman"/>
                <w:sz w:val="23"/>
                <w:szCs w:val="23"/>
                <w:color w:val="auto"/>
                <w:vertAlign w:val="superscript"/>
              </w:rPr>
              <w:t>(4)</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r>
      <w:tr>
        <w:trPr>
          <w:trHeight w:val="277"/>
        </w:trPr>
        <w:tc>
          <w:tcPr>
            <w:tcW w:w="4740" w:type="dxa"/>
            <w:vAlign w:val="bottom"/>
            <w:tcBorders>
              <w:left w:val="single" w:sz="8" w:color="auto"/>
              <w:bottom w:val="single" w:sz="8" w:color="auto"/>
              <w:right w:val="single" w:sz="8" w:color="auto"/>
            </w:tcBorders>
            <w:gridSpan w:val="2"/>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Performance Rate Adjustment</w:t>
            </w:r>
            <w:r>
              <w:rPr>
                <w:rFonts w:ascii="Times New Roman" w:cs="Times New Roman" w:eastAsia="Times New Roman" w:hAnsi="Times New Roman"/>
                <w:sz w:val="23"/>
                <w:szCs w:val="23"/>
                <w:color w:val="auto"/>
                <w:vertAlign w:val="superscript"/>
              </w:rPr>
              <w:t>(5)</w:t>
            </w:r>
          </w:p>
        </w:tc>
        <w:tc>
          <w:tcPr>
            <w:tcW w:w="1820" w:type="dxa"/>
            <w:vAlign w:val="bottom"/>
            <w:tcBorders>
              <w:bottom w:val="single" w:sz="8" w:color="auto"/>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6"/>
              </w:rPr>
              <w:t>$4,500</w:t>
            </w:r>
          </w:p>
        </w:tc>
      </w:tr>
      <w:tr>
        <w:trPr>
          <w:trHeight w:val="260"/>
        </w:trPr>
        <w:tc>
          <w:tcPr>
            <w:tcW w:w="4740" w:type="dxa"/>
            <w:vAlign w:val="bottom"/>
            <w:tcBorders>
              <w:left w:val="single" w:sz="8" w:color="auto"/>
              <w:bottom w:val="single" w:sz="8" w:color="auto"/>
              <w:right w:val="single" w:sz="8" w:color="auto"/>
            </w:tcBorders>
            <w:gridSpan w:val="2"/>
          </w:tcPr>
          <w:p>
            <w:pPr>
              <w:ind w:left="100"/>
              <w:spacing w:after="0" w:line="261" w:lineRule="exact"/>
              <w:rPr>
                <w:sz w:val="20"/>
                <w:szCs w:val="20"/>
                <w:color w:val="auto"/>
              </w:rPr>
            </w:pPr>
            <w:r>
              <w:rPr>
                <w:rFonts w:ascii="Times New Roman" w:cs="Times New Roman" w:eastAsia="Times New Roman" w:hAnsi="Times New Roman"/>
                <w:sz w:val="18"/>
                <w:szCs w:val="18"/>
                <w:color w:val="auto"/>
              </w:rPr>
              <w:t>Investment Amount at Term End Date</w:t>
            </w:r>
            <w:r>
              <w:rPr>
                <w:rFonts w:ascii="Times New Roman" w:cs="Times New Roman" w:eastAsia="Times New Roman" w:hAnsi="Times New Roman"/>
                <w:sz w:val="23"/>
                <w:szCs w:val="23"/>
                <w:color w:val="auto"/>
                <w:vertAlign w:val="superscript"/>
              </w:rPr>
              <w:t>(6)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$104,500</w:t>
            </w:r>
          </w:p>
        </w:tc>
      </w:tr>
      <w:tr>
        <w:trPr>
          <w:trHeight w:val="193"/>
        </w:trPr>
        <w:tc>
          <w:tcPr>
            <w:tcW w:w="1100" w:type="dxa"/>
            <w:vAlign w:val="bottom"/>
            <w:tcBorders>
              <w:bottom w:val="single" w:sz="8" w:color="auto"/>
            </w:tcBorders>
          </w:tcPr>
          <w:p>
            <w:pPr>
              <w:spacing w:after="0"/>
              <w:rPr>
                <w:sz w:val="16"/>
                <w:szCs w:val="16"/>
                <w:color w:val="auto"/>
              </w:rPr>
            </w:pPr>
          </w:p>
        </w:tc>
        <w:tc>
          <w:tcPr>
            <w:tcW w:w="364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-4773930</wp:posOffset>
            </wp:positionV>
            <wp:extent cx="414909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-4413885</wp:posOffset>
            </wp:positionV>
            <wp:extent cx="414909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-4036695</wp:posOffset>
            </wp:positionV>
            <wp:extent cx="4149090" cy="1803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14909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-3300095</wp:posOffset>
            </wp:positionV>
            <wp:extent cx="4149090" cy="180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14909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-2939415</wp:posOffset>
            </wp:positionV>
            <wp:extent cx="4149090"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-2562225</wp:posOffset>
            </wp:positionV>
            <wp:extent cx="4149090"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-1807845</wp:posOffset>
            </wp:positionV>
            <wp:extent cx="414909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-1430655</wp:posOffset>
            </wp:positionV>
            <wp:extent cx="4149090" cy="1885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-1053465</wp:posOffset>
            </wp:positionV>
            <wp:extent cx="414909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49090" cy="1797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-693420</wp:posOffset>
            </wp:positionV>
            <wp:extent cx="414909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149090"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-316865</wp:posOffset>
            </wp:positionV>
            <wp:extent cx="414909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149090" cy="17145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-37465</wp:posOffset>
            </wp:positionV>
            <wp:extent cx="34290" cy="508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508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-37465</wp:posOffset>
            </wp:positionV>
            <wp:extent cx="34290" cy="508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pacing w:after="0" w:line="66" w:lineRule="exact"/>
        <w:rPr>
          <w:sz w:val="20"/>
          <w:szCs w:val="20"/>
          <w:color w:val="auto"/>
        </w:rPr>
      </w:pPr>
    </w:p>
    <w:p>
      <w:pPr>
        <w:ind w:left="120" w:right="1079"/>
        <w:spacing w:after="0" w:line="263" w:lineRule="auto"/>
        <w:rPr>
          <w:sz w:val="20"/>
          <w:szCs w:val="20"/>
          <w:color w:val="auto"/>
        </w:rPr>
      </w:pPr>
      <w:r>
        <w:rPr>
          <w:rFonts w:ascii="Times New Roman" w:cs="Times New Roman" w:eastAsia="Times New Roman" w:hAnsi="Times New Roman"/>
          <w:sz w:val="18"/>
          <w:szCs w:val="18"/>
          <w:b w:val="1"/>
          <w:bCs w:val="1"/>
          <w:color w:val="auto"/>
        </w:rPr>
        <w:t>The following notes to the tables above provide important calculations showing how certain values are determined.</w:t>
      </w:r>
    </w:p>
    <w:p>
      <w:pPr>
        <w:spacing w:after="0" w:line="36" w:lineRule="exact"/>
        <w:rPr>
          <w:sz w:val="20"/>
          <w:szCs w:val="20"/>
          <w:color w:val="auto"/>
        </w:rPr>
      </w:pPr>
    </w:p>
    <w:p>
      <w:pPr>
        <w:ind w:left="480" w:right="739" w:hanging="368"/>
        <w:spacing w:after="0" w:line="222" w:lineRule="auto"/>
        <w:tabs>
          <w:tab w:leader="none" w:pos="480"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Index Performance is equal to the percentage change in the Index Value measured from the Term Start Date to the date of the Index substitution. Index Performance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(1330 [Index Value at date of substitution] — 1400 [Index Value at Term Start Date])</w:t>
      </w:r>
    </w:p>
    <w:p>
      <w:pPr>
        <w:spacing w:after="0" w:line="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1400 [Index Value at Term Start Date]) = –5%</w:t>
      </w:r>
    </w:p>
    <w:p>
      <w:pPr>
        <w:ind w:left="120"/>
        <w:spacing w:after="0" w:line="194" w:lineRule="auto"/>
        <w:rPr>
          <w:sz w:val="20"/>
          <w:szCs w:val="20"/>
          <w:color w:val="auto"/>
        </w:rPr>
      </w:pPr>
      <w:r>
        <w:rPr>
          <w:rFonts w:ascii="Times New Roman" w:cs="Times New Roman" w:eastAsia="Times New Roman" w:hAnsi="Times New Roman"/>
          <w:sz w:val="7"/>
          <w:szCs w:val="7"/>
          <w:color w:val="auto"/>
        </w:rPr>
        <w:t>(2)</w:t>
      </w:r>
    </w:p>
    <w:p>
      <w:pPr>
        <w:ind w:left="480"/>
        <w:spacing w:after="0" w:line="219" w:lineRule="auto"/>
        <w:rPr>
          <w:sz w:val="20"/>
          <w:szCs w:val="20"/>
          <w:color w:val="auto"/>
        </w:rPr>
      </w:pPr>
      <w:r>
        <w:rPr>
          <w:rFonts w:ascii="Times New Roman" w:cs="Times New Roman" w:eastAsia="Times New Roman" w:hAnsi="Times New Roman"/>
          <w:sz w:val="18"/>
          <w:szCs w:val="18"/>
          <w:color w:val="auto"/>
        </w:rPr>
        <w:t>Index Performance is equal to the percentage change in the Index Value measured from the date of the</w:t>
      </w:r>
    </w:p>
    <w:p>
      <w:pPr>
        <w:ind w:left="480"/>
        <w:spacing w:after="0"/>
        <w:rPr>
          <w:sz w:val="20"/>
          <w:szCs w:val="20"/>
          <w:color w:val="auto"/>
        </w:rPr>
      </w:pPr>
      <w:r>
        <w:rPr>
          <w:rFonts w:ascii="Times New Roman" w:cs="Times New Roman" w:eastAsia="Times New Roman" w:hAnsi="Times New Roman"/>
          <w:sz w:val="18"/>
          <w:szCs w:val="18"/>
          <w:color w:val="auto"/>
        </w:rPr>
        <w:t>Index substitution to the Term End Date. Index Performance is calculated as follows:</w:t>
      </w:r>
    </w:p>
    <w:p>
      <w:pPr>
        <w:spacing w:after="0" w:line="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(1375 [Index Value at Term End Date] — 1250 [Index Value at date of the substitution])</w:t>
      </w:r>
    </w:p>
    <w:p>
      <w:pPr>
        <w:spacing w:after="0" w:line="16" w:lineRule="exact"/>
        <w:rPr>
          <w:sz w:val="20"/>
          <w:szCs w:val="20"/>
          <w:color w:val="auto"/>
        </w:rPr>
      </w:pPr>
    </w:p>
    <w:p>
      <w:pPr>
        <w:ind w:left="2540" w:hanging="154"/>
        <w:spacing w:after="0"/>
        <w:tabs>
          <w:tab w:leader="none" w:pos="2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[Index Value at date of substitution]) = 10%</w:t>
      </w:r>
    </w:p>
    <w:p>
      <w:pPr>
        <w:spacing w:after="0" w:line="26" w:lineRule="exact"/>
        <w:rPr>
          <w:rFonts w:ascii="Times New Roman" w:cs="Times New Roman" w:eastAsia="Times New Roman" w:hAnsi="Times New Roman"/>
          <w:sz w:val="18"/>
          <w:szCs w:val="18"/>
          <w:color w:val="auto"/>
        </w:rPr>
      </w:pPr>
    </w:p>
    <w:p>
      <w:pPr>
        <w:jc w:val="both"/>
        <w:ind w:left="480" w:right="739" w:hanging="368"/>
        <w:spacing w:after="0" w:line="218" w:lineRule="auto"/>
        <w:tabs>
          <w:tab w:leader="none" w:pos="480"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Since there was an Index substitution from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(initial Index) to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(substituted Index), the total Index Performance for the Term is equal to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Index substitution date</w:t>
      </w:r>
    </w:p>
    <w:p>
      <w:pPr>
        <w:spacing w:after="0" w:line="3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1373" w:right="1440" w:bottom="1440" w:gutter="0" w:footer="0" w:header="0"/>
        </w:sectPr>
      </w:pPr>
    </w:p>
    <w:bookmarkStart w:id="219" w:name="page220"/>
    <w:bookmarkEnd w:id="219"/>
    <w:p>
      <w:pPr>
        <w:jc w:val="both"/>
        <w:ind w:left="480" w:right="659"/>
        <w:spacing w:after="0" w:line="21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divided by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Term Start Date multiplied by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Term End Date divided by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Value at the substitution date –1. Total Index Performance for the Term is calculated as follows:</w:t>
      </w:r>
    </w:p>
    <w:p>
      <w:pPr>
        <w:spacing w:after="0" w:line="5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(1330 [initial Index at Index substitution date] ÷ 1400 [initial Index at Term Start Date])</w:t>
      </w:r>
    </w:p>
    <w:p>
      <w:pPr>
        <w:spacing w:after="0" w:line="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x (1375 [substituted Index at Term End Date] ÷ 1250 [substituted Index at substitution date]) –1 = 4.5%</w:t>
      </w:r>
    </w:p>
    <w:p>
      <w:pPr>
        <w:ind w:left="120"/>
        <w:spacing w:after="0" w:line="194" w:lineRule="auto"/>
        <w:rPr>
          <w:sz w:val="20"/>
          <w:szCs w:val="20"/>
          <w:color w:val="auto"/>
        </w:rPr>
      </w:pPr>
      <w:r>
        <w:rPr>
          <w:rFonts w:ascii="Times New Roman" w:cs="Times New Roman" w:eastAsia="Times New Roman" w:hAnsi="Times New Roman"/>
          <w:sz w:val="7"/>
          <w:szCs w:val="7"/>
          <w:color w:val="auto"/>
        </w:rPr>
        <w:t>(4)</w:t>
      </w:r>
    </w:p>
    <w:p>
      <w:pPr>
        <w:jc w:val="both"/>
        <w:ind w:left="480" w:right="739"/>
        <w:spacing w:after="0" w:line="236" w:lineRule="auto"/>
        <w:rPr>
          <w:sz w:val="20"/>
          <w:szCs w:val="20"/>
          <w:color w:val="auto"/>
        </w:rPr>
      </w:pPr>
      <w:r>
        <w:rPr>
          <w:rFonts w:ascii="Times New Roman" w:cs="Times New Roman" w:eastAsia="Times New Roman" w:hAnsi="Times New Roman"/>
          <w:sz w:val="18"/>
          <w:szCs w:val="18"/>
          <w:color w:val="auto"/>
        </w:rPr>
        <w:t>The Performance Rate is equal to the Index Performance (4.5%) because the total Index Performance for the Term is greater than zero and less than the Cap Rate.</w:t>
      </w:r>
    </w:p>
    <w:p>
      <w:pPr>
        <w:ind w:left="120"/>
        <w:spacing w:after="0" w:line="195" w:lineRule="auto"/>
        <w:rPr>
          <w:sz w:val="20"/>
          <w:szCs w:val="20"/>
          <w:color w:val="auto"/>
        </w:rPr>
      </w:pPr>
      <w:r>
        <w:rPr>
          <w:rFonts w:ascii="Times New Roman" w:cs="Times New Roman" w:eastAsia="Times New Roman" w:hAnsi="Times New Roman"/>
          <w:sz w:val="7"/>
          <w:szCs w:val="7"/>
          <w:color w:val="auto"/>
        </w:rPr>
        <w:t>(5)</w:t>
      </w:r>
    </w:p>
    <w:p>
      <w:pPr>
        <w:jc w:val="both"/>
        <w:ind w:left="480" w:right="739"/>
        <w:spacing w:after="0" w:line="251" w:lineRule="auto"/>
        <w:rPr>
          <w:sz w:val="20"/>
          <w:szCs w:val="20"/>
          <w:color w:val="auto"/>
        </w:rPr>
      </w:pPr>
      <w:r>
        <w:rPr>
          <w:rFonts w:ascii="Times New Roman" w:cs="Times New Roman" w:eastAsia="Times New Roman" w:hAnsi="Times New Roman"/>
          <w:sz w:val="17"/>
          <w:szCs w:val="17"/>
          <w:color w:val="auto"/>
        </w:rPr>
        <w:t>The Performance Rate Adjustment is equal to the product of the Investment Amount at the Term Start Date adjusted for any withdrawals (including any applicable Withdrawal Charge) (there are no withdrawals in the example) multiplied by the Performance Rate. The Performance Rate Adjustment is calculated as follows:</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$100,000 [Investment Amount at Term Start Date] x 4.5% [Performance Rate] = $4,500</w:t>
      </w:r>
    </w:p>
    <w:p>
      <w:pPr>
        <w:ind w:left="120"/>
        <w:spacing w:after="0" w:line="192" w:lineRule="auto"/>
        <w:rPr>
          <w:sz w:val="20"/>
          <w:szCs w:val="20"/>
          <w:color w:val="auto"/>
        </w:rPr>
      </w:pPr>
      <w:r>
        <w:rPr>
          <w:rFonts w:ascii="Times New Roman" w:cs="Times New Roman" w:eastAsia="Times New Roman" w:hAnsi="Times New Roman"/>
          <w:sz w:val="9"/>
          <w:szCs w:val="9"/>
          <w:color w:val="auto"/>
        </w:rPr>
        <w:t>(6)</w:t>
      </w:r>
    </w:p>
    <w:p>
      <w:pPr>
        <w:jc w:val="both"/>
        <w:ind w:left="480" w:right="739"/>
        <w:spacing w:after="0" w:line="234" w:lineRule="auto"/>
        <w:rPr>
          <w:sz w:val="20"/>
          <w:szCs w:val="20"/>
          <w:color w:val="auto"/>
        </w:rPr>
      </w:pPr>
      <w:r>
        <w:rPr>
          <w:rFonts w:ascii="Times New Roman" w:cs="Times New Roman" w:eastAsia="Times New Roman" w:hAnsi="Times New Roman"/>
          <w:sz w:val="18"/>
          <w:szCs w:val="18"/>
          <w:color w:val="auto"/>
        </w:rPr>
        <w:t>The Investment Amount at Term End Date is equal to the Investment Amount at the Term Start Date adjusted for any withdrawals (including any applicable Withdrawal Charge) (there are no withdrawals in the example) plus the Performance Rate Adjustment. The Investment Amount at Term End Date is calculated as follows: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$100,000 [Investment Amount at Term Start Date] + $4,500 [Performance Rate Adjustment] = $104,500</w:t>
      </w:r>
    </w:p>
    <w:p>
      <w:pPr>
        <w:sectPr>
          <w:pgSz w:w="11900" w:h="16838" w:orient="portrait"/>
          <w:cols w:equalWidth="0" w:num="1">
            <w:col w:w="9019"/>
          </w:cols>
          <w:pgMar w:left="1440" w:top="13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9019"/>
          </w:cols>
          <w:pgMar w:left="1440" w:top="1346" w:right="1440" w:bottom="1440" w:gutter="0" w:footer="0" w:header="0"/>
          <w:type w:val="continuous"/>
        </w:sectPr>
      </w:pPr>
    </w:p>
    <w:bookmarkStart w:id="220" w:name="page221"/>
    <w:bookmarkEnd w:id="22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C</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RETURN OF PREMIUM DEATH BENEFIT EXAMPLE</w:t>
      </w:r>
    </w:p>
    <w:p>
      <w:pPr>
        <w:spacing w:after="0" w:line="121"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purpose of this example is to illustrate the operation of the Return of Premium death benefit. The investment results shown are hypothetical and are not representative of past or future performance. Actual investment results may be more or less than those shown and will depend upon a number of factors, including the allocation made by an Owner and the Index Performance for the Shield Options chosen. </w:t>
      </w:r>
      <w:r>
        <w:rPr>
          <w:rFonts w:ascii="Times New Roman" w:cs="Times New Roman" w:eastAsia="Times New Roman" w:hAnsi="Times New Roman"/>
          <w:sz w:val="18"/>
          <w:szCs w:val="18"/>
          <w:b w:val="1"/>
          <w:bCs w:val="1"/>
          <w:color w:val="auto"/>
        </w:rPr>
        <w:t>The examples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reflect the deduction of fees and charges, if any, Withdrawal Charges or income taxes and tax penalties.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Return of Premium Death Benefit</w:t>
      </w:r>
    </w:p>
    <w:p>
      <w:pPr>
        <w:spacing w:after="0" w:line="121"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The purpose of this example is to show how partial withdrawals reduce the Return of Premium death benefit proportionally by the percentage reduction in Account Value of the Shield Option(s) and the Fixed Account for each partial withdrawal.</w:t>
      </w:r>
    </w:p>
    <w:p>
      <w:pPr>
        <w:spacing w:after="0" w:line="117"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360" w:type="dxa"/>
            <w:vAlign w:val="bottom"/>
            <w:tcBorders>
              <w:top w:val="single" w:sz="8" w:color="auto"/>
              <w:left w:val="single" w:sz="8" w:color="auto"/>
              <w:right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spacing w:after="0"/>
              <w:rPr>
                <w:sz w:val="19"/>
                <w:szCs w:val="19"/>
                <w:color w:val="auto"/>
              </w:rPr>
            </w:pP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360" w:type="dxa"/>
            <w:vAlign w:val="bottom"/>
            <w:tcBorders>
              <w:left w:val="single" w:sz="8" w:color="auto"/>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r>
      <w:tr>
        <w:trPr>
          <w:trHeight w:val="282"/>
        </w:trPr>
        <w:tc>
          <w:tcPr>
            <w:tcW w:w="360" w:type="dxa"/>
            <w:vAlign w:val="bottom"/>
            <w:tcBorders>
              <w:left w:val="single" w:sz="8" w:color="auto"/>
              <w:bottom w:val="single" w:sz="8" w:color="F0FFFF"/>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w:t>
            </w:r>
          </w:p>
        </w:tc>
        <w:tc>
          <w:tcPr>
            <w:tcW w:w="348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Issue Date</w:t>
            </w: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50"/>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Account Value</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spacing w:after="0"/>
              <w:rPr>
                <w:sz w:val="23"/>
                <w:szCs w:val="23"/>
                <w:color w:val="auto"/>
              </w:rPr>
            </w:pPr>
          </w:p>
        </w:tc>
        <w:tc>
          <w:tcPr>
            <w:tcW w:w="1620" w:type="dxa"/>
            <w:vAlign w:val="bottom"/>
            <w:tcBorders>
              <w:bottom w:val="single" w:sz="8" w:color="F0FFFF"/>
              <w:right w:val="single" w:sz="8" w:color="auto"/>
            </w:tcBorders>
            <w:shd w:val="clear" w:color="auto" w:fill="F0FFFF"/>
          </w:tcPr>
          <w:p>
            <w:pPr>
              <w:spacing w:after="0"/>
              <w:rPr>
                <w:sz w:val="23"/>
                <w:szCs w:val="23"/>
                <w:color w:val="auto"/>
              </w:rPr>
            </w:pP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 greater of A and B)</w:t>
            </w:r>
          </w:p>
        </w:tc>
      </w:tr>
      <w:tr>
        <w:trPr>
          <w:trHeight w:val="250"/>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Withdrawal</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Percentage Reduction in Account</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10% (= D/B)</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Value</w:t>
            </w: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spacing w:after="0"/>
              <w:rPr>
                <w:sz w:val="23"/>
                <w:szCs w:val="23"/>
                <w:color w:val="auto"/>
              </w:rPr>
            </w:pPr>
          </w:p>
        </w:tc>
      </w:tr>
      <w:tr>
        <w:trPr>
          <w:trHeight w:val="250"/>
        </w:trPr>
        <w:tc>
          <w:tcPr>
            <w:tcW w:w="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Account Value after Withdrawal</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$81,000 (= B-D)</w:t>
            </w:r>
          </w:p>
        </w:tc>
      </w:tr>
      <w:tr>
        <w:trPr>
          <w:trHeight w:val="27"/>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5"/>
        </w:trPr>
        <w:tc>
          <w:tcPr>
            <w:tcW w:w="360" w:type="dxa"/>
            <w:vAlign w:val="bottom"/>
            <w:tcBorders>
              <w:left w:val="single" w:sz="8" w:color="auto"/>
              <w:right w:val="single" w:sz="8" w:color="auto"/>
            </w:tcBorders>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2640" w:type="dxa"/>
            <w:vAlign w:val="bottom"/>
            <w:tcBorders>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Purchase Payment Reduced for</w:t>
            </w:r>
          </w:p>
        </w:tc>
        <w:tc>
          <w:tcPr>
            <w:tcW w:w="348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80"/>
        </w:trPr>
        <w:tc>
          <w:tcPr>
            <w:tcW w:w="360" w:type="dxa"/>
            <w:vAlign w:val="bottom"/>
            <w:tcBorders>
              <w:left w:val="single" w:sz="8" w:color="auto"/>
              <w:bottom w:val="single" w:sz="8" w:color="F0FFFF"/>
              <w:right w:val="single" w:sz="8" w:color="auto"/>
            </w:tcBorders>
            <w:shd w:val="clear" w:color="auto" w:fill="F0FFFF"/>
          </w:tcPr>
          <w:p>
            <w:pPr>
              <w:spacing w:after="0"/>
              <w:rPr>
                <w:sz w:val="23"/>
                <w:szCs w:val="23"/>
                <w:color w:val="auto"/>
              </w:rPr>
            </w:pPr>
          </w:p>
        </w:tc>
        <w:tc>
          <w:tcPr>
            <w:tcW w:w="2640" w:type="dxa"/>
            <w:vAlign w:val="bottom"/>
            <w:tcBorders>
              <w:bottom w:val="single" w:sz="8" w:color="F0FFFF"/>
              <w:right w:val="single" w:sz="8" w:color="auto"/>
            </w:tcBorders>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Withdrawal</w:t>
            </w:r>
          </w:p>
        </w:tc>
        <w:tc>
          <w:tcPr>
            <w:tcW w:w="3480" w:type="dxa"/>
            <w:vAlign w:val="bottom"/>
            <w:tcBorders>
              <w:bottom w:val="single" w:sz="8" w:color="F0FFFF"/>
              <w:right w:val="single" w:sz="8" w:color="auto"/>
            </w:tcBorders>
            <w:shd w:val="clear" w:color="auto" w:fill="F0FFFF"/>
          </w:tcPr>
          <w:p>
            <w:pPr>
              <w:spacing w:after="0"/>
              <w:rPr>
                <w:sz w:val="23"/>
                <w:szCs w:val="23"/>
                <w:color w:val="auto"/>
              </w:rPr>
            </w:pPr>
          </w:p>
        </w:tc>
        <w:tc>
          <w:tcPr>
            <w:tcW w:w="1820" w:type="dxa"/>
            <w:vAlign w:val="bottom"/>
            <w:tcBorders>
              <w:bottom w:val="single" w:sz="8" w:color="F0FFFF"/>
              <w:right w:val="single" w:sz="8" w:color="auto"/>
            </w:tcBorders>
            <w:shd w:val="clear" w:color="auto" w:fill="F0FFFF"/>
          </w:tcPr>
          <w:p>
            <w:pPr>
              <w:jc w:val="center"/>
              <w:spacing w:after="0"/>
              <w:rPr>
                <w:sz w:val="20"/>
                <w:szCs w:val="20"/>
                <w:color w:val="auto"/>
              </w:rPr>
            </w:pPr>
            <w:r>
              <w:rPr>
                <w:rFonts w:ascii="Times New Roman" w:cs="Times New Roman" w:eastAsia="Times New Roman" w:hAnsi="Times New Roman"/>
                <w:sz w:val="18"/>
                <w:szCs w:val="18"/>
                <w:color w:val="auto"/>
                <w:w w:val="99"/>
              </w:rPr>
              <w:t>(= A-(A × E))</w:t>
            </w:r>
          </w:p>
        </w:tc>
      </w:tr>
      <w:tr>
        <w:trPr>
          <w:trHeight w:val="218"/>
        </w:trPr>
        <w:tc>
          <w:tcPr>
            <w:tcW w:w="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w:t>
            </w:r>
          </w:p>
        </w:tc>
        <w:tc>
          <w:tcPr>
            <w:tcW w:w="26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Death Benefit</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One Day after the First Contract Anniversary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r>
      <w:tr>
        <w:trPr>
          <w:trHeight w:val="234"/>
        </w:trPr>
        <w:tc>
          <w:tcPr>
            <w:tcW w:w="360" w:type="dxa"/>
            <w:vAlign w:val="bottom"/>
            <w:tcBorders>
              <w:left w:val="single" w:sz="8" w:color="auto"/>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greater of F and G)</w:t>
            </w:r>
          </w:p>
        </w:tc>
      </w:tr>
      <w:tr>
        <w:trPr>
          <w:trHeight w:val="24"/>
        </w:trPr>
        <w:tc>
          <w:tcPr>
            <w:tcW w:w="36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to Example.</w:t>
            </w:r>
          </w:p>
        </w:tc>
        <w:tc>
          <w:tcPr>
            <w:tcW w:w="34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-2459990</wp:posOffset>
            </wp:positionV>
            <wp:extent cx="5254625" cy="1714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254625"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-2099310</wp:posOffset>
            </wp:positionV>
            <wp:extent cx="5254625"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-1567815</wp:posOffset>
            </wp:positionV>
            <wp:extent cx="5254625"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-1036320</wp:posOffset>
            </wp:positionV>
            <wp:extent cx="5254625" cy="1885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54625" cy="18859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-505460</wp:posOffset>
            </wp:positionV>
            <wp:extent cx="5254625" cy="3086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54625" cy="30861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Purchaser is age 60 at issue.</w:t>
      </w:r>
    </w:p>
    <w:p>
      <w:pPr>
        <w:spacing w:after="0" w:line="117" w:lineRule="exact"/>
        <w:rPr>
          <w:sz w:val="20"/>
          <w:szCs w:val="20"/>
          <w:color w:val="auto"/>
        </w:rPr>
      </w:pPr>
    </w:p>
    <w:p>
      <w:pPr>
        <w:ind w:left="120" w:right="659"/>
        <w:spacing w:after="0" w:line="282" w:lineRule="auto"/>
        <w:rPr>
          <w:sz w:val="20"/>
          <w:szCs w:val="20"/>
          <w:color w:val="auto"/>
        </w:rPr>
      </w:pPr>
      <w:r>
        <w:rPr>
          <w:rFonts w:ascii="Times New Roman" w:cs="Times New Roman" w:eastAsia="Times New Roman" w:hAnsi="Times New Roman"/>
          <w:sz w:val="18"/>
          <w:szCs w:val="18"/>
          <w:color w:val="auto"/>
        </w:rPr>
        <w:t>The Account Values on the First Contract Anniversary and One Day after the First Contract Anniversary are assumed to be equal prior to the withdrawal.</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1373" w:right="1440" w:bottom="1440" w:gutter="0" w:footer="0" w:header="0"/>
          <w:type w:val="continuous"/>
        </w:sectPr>
      </w:pPr>
    </w:p>
    <w:bookmarkStart w:id="221" w:name="page222"/>
    <w:bookmarkEnd w:id="2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rPr>
        <w:t> </w:t>
      </w:r>
    </w:p>
    <w:p>
      <w:pPr>
        <w:jc w:val="right"/>
        <w:ind w:right="293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bookmarkStart w:id="222" w:name="page223"/>
    <w:bookmarkEnd w:id="22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D</w:t>
      </w:r>
    </w:p>
    <w:p>
      <w:pPr>
        <w:spacing w:after="0" w:line="1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THE FIXED ACCOUNT</w:t>
      </w:r>
    </w:p>
    <w:p>
      <w:pPr>
        <w:spacing w:after="0" w:line="1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i w:val="1"/>
          <w:iCs w:val="1"/>
          <w:color w:val="auto"/>
        </w:rPr>
        <w:t>See Appendix E for more information about the Holding Account</w:t>
      </w:r>
    </w:p>
    <w:p>
      <w:pPr>
        <w:spacing w:after="0" w:line="133" w:lineRule="exact"/>
        <w:rPr>
          <w:sz w:val="20"/>
          <w:szCs w:val="20"/>
          <w:color w:val="auto"/>
        </w:rPr>
      </w:pPr>
    </w:p>
    <w:p>
      <w:pPr>
        <w:jc w:val="both"/>
        <w:ind w:left="120" w:right="639" w:firstLine="360"/>
        <w:spacing w:after="0" w:line="266" w:lineRule="auto"/>
        <w:rPr>
          <w:sz w:val="20"/>
          <w:szCs w:val="20"/>
          <w:color w:val="auto"/>
        </w:rPr>
      </w:pPr>
      <w:r>
        <w:rPr>
          <w:rFonts w:ascii="Times New Roman" w:cs="Times New Roman" w:eastAsia="Times New Roman" w:hAnsi="Times New Roman"/>
          <w:sz w:val="18"/>
          <w:szCs w:val="18"/>
          <w:color w:val="auto"/>
        </w:rPr>
        <w:t>The Fixed Account is a funding option that may be available and is part of BLNY’s General Account assets. These General Account assets include all assets of BLNY other than those held in the Separate Accounts sponsored by BLNY or its affiliates.</w:t>
      </w:r>
    </w:p>
    <w:p>
      <w:pPr>
        <w:spacing w:after="0" w:line="81"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Any interest in the Fixed Account is not a security under the Securities Act of 1933 and the Fixed Account is not registered under or regulated by the Investment Company Act of 1940. Accordingly, the Fixed Account is not offered by virtue of the prospectus. The staff of the SEC does not generally review the disclosure in the prospectus relating to the Fixed Account. Disclosure regarding the Fixed Account and the General Account may, however, be subject to certain provisions of the Federal securities laws relating to the accuracy and completeness of statements made in the prospectus.</w:t>
      </w:r>
    </w:p>
    <w:p>
      <w:pPr>
        <w:spacing w:after="0" w:line="79" w:lineRule="exact"/>
        <w:rPr>
          <w:sz w:val="20"/>
          <w:szCs w:val="20"/>
          <w:color w:val="auto"/>
        </w:rPr>
      </w:pPr>
    </w:p>
    <w:p>
      <w:pPr>
        <w:jc w:val="both"/>
        <w:ind w:left="120" w:right="659" w:firstLine="360"/>
        <w:spacing w:after="0" w:line="261" w:lineRule="auto"/>
        <w:rPr>
          <w:sz w:val="20"/>
          <w:szCs w:val="20"/>
          <w:color w:val="auto"/>
        </w:rPr>
      </w:pPr>
      <w:r>
        <w:rPr>
          <w:rFonts w:ascii="Times New Roman" w:cs="Times New Roman" w:eastAsia="Times New Roman" w:hAnsi="Times New Roman"/>
          <w:sz w:val="18"/>
          <w:szCs w:val="18"/>
          <w:color w:val="auto"/>
        </w:rPr>
        <w:t>Under the Fixed Account, BLNY assumes the risk of investment gain or loss, guarantees a specified interest rate, and guarantees a specified periodic Annuity Payment. We guarantee that, at any time, the Fixed Account Value will not be less than the amount of the Purchase Payments allocated to the Fixed Account, plus interest credited as described below, less any applicable Premium Taxes or prior withdrawals.</w:t>
      </w:r>
    </w:p>
    <w:p>
      <w:pPr>
        <w:spacing w:after="0" w:line="8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Account Value allocated to the Fixed Account and any transfers made to the Fixed Account become part of BLNY’s General Account, which supports insurance and annuity obligations. The General Account and any interest therein is not registered under, or subject to the provisions of, the Securities Act of 1933 or Investment Company Act of 1940. We will invest the assets of the Fixed Account at our discretion. Investment income from such Fixed Account assets will be allocated to us and to the Contracts participating in the Fixed Account.</w:t>
      </w:r>
    </w:p>
    <w:p>
      <w:pPr>
        <w:spacing w:after="0" w:line="89" w:lineRule="exact"/>
        <w:rPr>
          <w:sz w:val="20"/>
          <w:szCs w:val="20"/>
          <w:color w:val="auto"/>
        </w:rPr>
      </w:pPr>
    </w:p>
    <w:p>
      <w:pPr>
        <w:jc w:val="both"/>
        <w:ind w:left="120" w:right="659" w:firstLine="360"/>
        <w:spacing w:after="0" w:line="266" w:lineRule="auto"/>
        <w:rPr>
          <w:sz w:val="20"/>
          <w:szCs w:val="20"/>
          <w:color w:val="auto"/>
        </w:rPr>
      </w:pPr>
      <w:r>
        <w:rPr>
          <w:rFonts w:ascii="Times New Roman" w:cs="Times New Roman" w:eastAsia="Times New Roman" w:hAnsi="Times New Roman"/>
          <w:sz w:val="18"/>
          <w:szCs w:val="18"/>
          <w:color w:val="auto"/>
        </w:rPr>
        <w:t>Investment income from the Fixed Account allocated to us includes compensation for risks borne by us in connection with Fixed Account Contracts. The amount of such investment income allocated to the Contracts will vary from year to year in our sole discretion at such rate or rates as we prospectively declare from time to time.</w:t>
      </w:r>
    </w:p>
    <w:p>
      <w:pPr>
        <w:spacing w:after="0" w:line="68"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t>We guarantee that for the life of the Contract interest credited to your Fixed Account Value during the Fixed Account Term beginning on the Issue Date will not be accumulated at less than the Minimum Guaranteed Interest Rate allowed by state law. The current Minimum Guaranteed Interest Rate applicable to any Contract will not be less than 1%. We reserve the right to change the rate subject to state law. We will determine any interest we credit to amounts allocated to the Fixed Account in excess of the Minimum Guaranteed Interest Rate at our sole discretion. You assume the risk that interest credited to the Fixed Account may not exceed the Minimum Guaranteed Interest Rate for any given year. We have no specific formula for determining the interest rate. Some factors we may consider are regulatory and tax requirements, general economic trends and competitive factors.</w:t>
      </w:r>
    </w:p>
    <w:p>
      <w:pPr>
        <w:spacing w:after="0" w:line="97"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For renewals into the Fixed Account, the new guaranteed interest rate will be declared for each subsequent Fixed Account Term. At the Fixed Account Term End Date, the Fixed Account Value will automatically be renewed into the same Fixed Account Term, with the new interest rate, unless otherwise instructed by you. If the Fixed Account is not available at the end of the existing Fixed Account Term, these amounts will automatically transfer into the Holding Account at the end of the Fixed Account Term unless otherwise instructed by you to transfer into one or more available Shield Options. You have the Transfer Period to notify us that you want to transfer some or all of your Fixed Account Value to a new Shield Option(s).</w:t>
      </w:r>
    </w:p>
    <w:p>
      <w:pPr>
        <w:spacing w:after="0" w:line="79" w:lineRule="exact"/>
        <w:rPr>
          <w:sz w:val="20"/>
          <w:szCs w:val="20"/>
          <w:color w:val="auto"/>
        </w:rPr>
      </w:pPr>
    </w:p>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Fixed Account Value. </w:t>
      </w:r>
      <w:r>
        <w:rPr>
          <w:rFonts w:ascii="Times New Roman" w:cs="Times New Roman" w:eastAsia="Times New Roman" w:hAnsi="Times New Roman"/>
          <w:sz w:val="18"/>
          <w:szCs w:val="18"/>
          <w:color w:val="auto"/>
        </w:rPr>
        <w:t>We credit interest to the portion of the Account Value allocated to the Fixed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“Interest Crediting” below.) The Fixed Account is part of our General Account. We guarantee that the interest credited to your initial allocation to the Fixed Account during the Fixed Account Term beginning on the Issue Date will not be accumulated at less than the Minimum Guaranteed Interest Rate. Thereafter, we will declare an interest rate as of each Contract Anniversary for the duration of the Fixed Account Term and such rate will not be less than the Minimum Guaranteed Interest Rate. If the declared interest rate equals the Minimum Guaranteed Interest Rate specified in your Contract and we are unable to support the Minimum Guaranteed Interest Rate, we reserve the right, with thirty (30) days advance written Notice, to restrict transfers and allocations into the Fixed Account.</w:t>
      </w:r>
    </w:p>
    <w:p>
      <w:pPr>
        <w:spacing w:after="0" w:line="82" w:lineRule="exact"/>
        <w:rPr>
          <w:sz w:val="20"/>
          <w:szCs w:val="20"/>
          <w:color w:val="auto"/>
        </w:rPr>
      </w:pPr>
    </w:p>
    <w:p>
      <w:pPr>
        <w:jc w:val="both"/>
        <w:ind w:left="120" w:right="639" w:firstLine="360"/>
        <w:spacing w:after="0" w:line="281" w:lineRule="auto"/>
        <w:rPr>
          <w:sz w:val="20"/>
          <w:szCs w:val="20"/>
          <w:color w:val="auto"/>
        </w:rPr>
      </w:pPr>
      <w:r>
        <w:rPr>
          <w:rFonts w:ascii="Times New Roman" w:cs="Times New Roman" w:eastAsia="Times New Roman" w:hAnsi="Times New Roman"/>
          <w:sz w:val="17"/>
          <w:szCs w:val="17"/>
          <w:color w:val="auto"/>
        </w:rPr>
        <w:t>The initial Fixed Account Value is the amount initially allocated to the Fixed Account. Thereafter, the Fixed Account Value equals: (a) the initial Fixed Account Value or the Fixed Account Value on the most recent Contract Anniversary, as applicable, including any transfers; plus (b) any interest credited by us; less (c) the amount of any withdrawals (including any Withdrawal Charges); and less (d) any Premium Tax or other taxes, if applicable.</w:t>
      </w:r>
    </w:p>
    <w:p>
      <w:pPr>
        <w:spacing w:after="0" w:line="54" w:lineRule="exact"/>
        <w:rPr>
          <w:sz w:val="20"/>
          <w:szCs w:val="20"/>
          <w:color w:val="auto"/>
        </w:rPr>
      </w:pPr>
    </w:p>
    <w:p>
      <w:pPr>
        <w:jc w:val="both"/>
        <w:ind w:left="12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Crediting. </w:t>
      </w:r>
      <w:r>
        <w:rPr>
          <w:rFonts w:ascii="Times New Roman" w:cs="Times New Roman" w:eastAsia="Times New Roman" w:hAnsi="Times New Roman"/>
          <w:sz w:val="18"/>
          <w:szCs w:val="18"/>
          <w:color w:val="auto"/>
        </w:rPr>
        <w:t>Interest will be compounded and credited daily to the Fixed Account at an annual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declared by us. Interest will be credited on amounts allocated to the Fixed Account through the effective date such amounts are withdrawn or transferred from the Fixed Account.</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1373" w:right="1440" w:bottom="1163" w:gutter="0" w:footer="0" w:header="0"/>
        </w:sectPr>
      </w:pPr>
    </w:p>
    <w:bookmarkStart w:id="223" w:name="page224"/>
    <w:bookmarkEnd w:id="223"/>
    <w:p>
      <w:pPr>
        <w:jc w:val="both"/>
        <w:ind w:left="120" w:right="6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 xml:space="preserve">Deferral of Payments. </w:t>
      </w:r>
      <w:r>
        <w:rPr>
          <w:rFonts w:ascii="Times New Roman" w:cs="Times New Roman" w:eastAsia="Times New Roman" w:hAnsi="Times New Roman"/>
          <w:sz w:val="18"/>
          <w:szCs w:val="18"/>
          <w:color w:val="auto"/>
        </w:rPr>
        <w:t>After receipt of a Notice of withdrawal, we reserve the right to defer payment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withdrawal for the period permitted by law but not for more than six (6) months.</w:t>
      </w:r>
    </w:p>
    <w:p>
      <w:pPr>
        <w:spacing w:after="0" w:line="50" w:lineRule="exact"/>
        <w:rPr>
          <w:sz w:val="20"/>
          <w:szCs w:val="20"/>
          <w:color w:val="auto"/>
        </w:rPr>
      </w:pPr>
    </w:p>
    <w:p>
      <w:pPr>
        <w:jc w:val="both"/>
        <w:ind w:left="120" w:right="6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of Delayed Payments. </w:t>
      </w:r>
      <w:r>
        <w:rPr>
          <w:rFonts w:ascii="Times New Roman" w:cs="Times New Roman" w:eastAsia="Times New Roman" w:hAnsi="Times New Roman"/>
          <w:sz w:val="18"/>
          <w:szCs w:val="18"/>
          <w:color w:val="auto"/>
        </w:rPr>
        <w:t>For the value of the Shield Options, we will pay interest on any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death benefits not made within seven (7) calendar days of receipt of due proof of death and the first acceptable election. For the Fixed Account Value, we will pay interest on any payments of death benefits from the date of death. We will also pay interest on withdrawals paid ten (10) Business Days or later after receipt by us of any Notice to complete the transactions. Interest, in either instance, will be paid in accordance with laws and regulations in effect in the state of New York.</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Important terms that will help you understand this Appendix D:</w:t>
      </w:r>
    </w:p>
    <w:p>
      <w:pPr>
        <w:spacing w:after="0" w:line="113" w:lineRule="exact"/>
        <w:rPr>
          <w:sz w:val="20"/>
          <w:szCs w:val="20"/>
          <w:color w:val="auto"/>
        </w:rPr>
      </w:pPr>
    </w:p>
    <w:p>
      <w:pPr>
        <w:jc w:val="both"/>
        <w:ind w:left="12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Fixed Account Term.  </w:t>
      </w:r>
      <w:r>
        <w:rPr>
          <w:rFonts w:ascii="Times New Roman" w:cs="Times New Roman" w:eastAsia="Times New Roman" w:hAnsi="Times New Roman"/>
          <w:sz w:val="18"/>
          <w:szCs w:val="18"/>
          <w:color w:val="auto"/>
        </w:rPr>
        <w:t>The length of time over which the current Fixed Account interest rate is guaranteed.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Fixed Account Term will extend beyond the Annuity Date. The minimum Fixed Account Term depends on the date your Contract is issued but will not be less than one (1) year.</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Fixed Account Value.   </w:t>
      </w:r>
      <w:r>
        <w:rPr>
          <w:rFonts w:ascii="Times New Roman" w:cs="Times New Roman" w:eastAsia="Times New Roman" w:hAnsi="Times New Roman"/>
          <w:sz w:val="18"/>
          <w:szCs w:val="18"/>
          <w:color w:val="auto"/>
        </w:rPr>
        <w:t>The Fixed Account Value at the end of the Fixed Account Term.</w:t>
      </w:r>
    </w:p>
    <w:p>
      <w:pPr>
        <w:spacing w:after="0" w:line="117" w:lineRule="exact"/>
        <w:rPr>
          <w:sz w:val="20"/>
          <w:szCs w:val="20"/>
          <w:color w:val="auto"/>
        </w:rPr>
      </w:pPr>
    </w:p>
    <w:p>
      <w:pPr>
        <w:jc w:val="both"/>
        <w:ind w:left="12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Transfers.  </w:t>
      </w:r>
      <w:r>
        <w:rPr>
          <w:rFonts w:ascii="Times New Roman" w:cs="Times New Roman" w:eastAsia="Times New Roman" w:hAnsi="Times New Roman"/>
          <w:sz w:val="18"/>
          <w:szCs w:val="18"/>
          <w:color w:val="auto"/>
        </w:rPr>
        <w:t>During the Accumulation Period you may only make a transfer to or from the Fixed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to or from a new Shield Option(s) during the Transfer Period. Once we receive allocation instructions from you, we will transfer the amounts in the Fixed Account to the Shield Option(s) on the next Contract Anniversary. The effective date of such transfer is the first day of the Fixed Account Term and/or a Term(s) in which the transfer is made.</w:t>
      </w:r>
    </w:p>
    <w:p>
      <w:pPr>
        <w:sectPr>
          <w:pgSz w:w="11900" w:h="16838" w:orient="portrait"/>
          <w:cols w:equalWidth="0" w:num="1">
            <w:col w:w="9019"/>
          </w:cols>
          <w:pgMar w:left="1440" w:top="1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D-2</w:t>
      </w:r>
    </w:p>
    <w:p>
      <w:pPr>
        <w:sectPr>
          <w:pgSz w:w="11900" w:h="16838" w:orient="portrait"/>
          <w:cols w:equalWidth="0" w:num="1">
            <w:col w:w="9019"/>
          </w:cols>
          <w:pgMar w:left="1440" w:top="1375" w:right="1440" w:bottom="1440" w:gutter="0" w:footer="0" w:header="0"/>
          <w:type w:val="continuous"/>
        </w:sectPr>
      </w:pPr>
    </w:p>
    <w:bookmarkStart w:id="224" w:name="page225"/>
    <w:bookmarkEnd w:id="224"/>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E</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THE HOLDING ACCOUNT</w:t>
      </w:r>
    </w:p>
    <w:p>
      <w:pPr>
        <w:spacing w:after="0" w:line="121" w:lineRule="exact"/>
        <w:rPr>
          <w:sz w:val="20"/>
          <w:szCs w:val="20"/>
          <w:color w:val="auto"/>
        </w:rPr>
      </w:pPr>
    </w:p>
    <w:p>
      <w:pPr>
        <w:jc w:val="both"/>
        <w:ind w:left="120" w:right="639" w:firstLine="360"/>
        <w:spacing w:after="0" w:line="253" w:lineRule="auto"/>
        <w:rPr>
          <w:sz w:val="20"/>
          <w:szCs w:val="20"/>
          <w:color w:val="auto"/>
        </w:rPr>
      </w:pPr>
      <w:r>
        <w:rPr>
          <w:rFonts w:ascii="Times New Roman" w:cs="Times New Roman" w:eastAsia="Times New Roman" w:hAnsi="Times New Roman"/>
          <w:sz w:val="18"/>
          <w:szCs w:val="18"/>
          <w:color w:val="auto"/>
        </w:rPr>
        <w:t>The Holding Account is part of our General Account. You may not allocate your Purchase Payment or Account Value to the Holding Account. The Holding Account is a limited purpose account and only under certain circumstances will we transfer amounts to the Holding Account. If you have a Shield Option that has reached its Term End Date, the amount in that Shield Option will be automatically renewed into the same Shield Option unless you instruct us to transfer such amount into a different Shield Option(s) or the Fixed Account. If the same Shield Option is no longer available, the amount will automatically transfer into the Fixed Account at the Term End Date. If the Fixed Account is not available, the amount will automatically transfer into the Holding Account. If you are allocated to a Shield Option that will not be available at the end of the existing Term, we will send a notification, written or electronic depending on your selected preference, describing any changes to the Shield Option, as required by law. If the Fixed Account is not available, this notification will also inform you of the current interest rate for the Holding Account and that on the Term End Date, the amounts in the discontinued Shield Option will be transferred to the Holding Account, unless otherwise instructed by you.</w:t>
      </w:r>
    </w:p>
    <w:p>
      <w:pPr>
        <w:spacing w:after="0" w:line="82"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amounts will remain in the Holding Account until you provide us new allocation instructions. Once we receive allocation instructions from you, we will transfer the amounts in the Holding Account to the Shield Option(s) on the next Contract Anniversary. During the Transfer Period, we will allow you to make transfers, and we will treat the transfer as if it occurred on the Contract Anniversary. Before the amounts in the Holding Account are transferred into the Shield Option(s), you can change your allocation instructions.</w:t>
      </w:r>
    </w:p>
    <w:p>
      <w:pPr>
        <w:spacing w:after="0" w:line="75" w:lineRule="exact"/>
        <w:rPr>
          <w:sz w:val="20"/>
          <w:szCs w:val="20"/>
          <w:color w:val="auto"/>
        </w:rPr>
      </w:pPr>
    </w:p>
    <w:p>
      <w:pPr>
        <w:jc w:val="both"/>
        <w:ind w:left="120" w:right="639" w:firstLine="360"/>
        <w:spacing w:after="0" w:line="258" w:lineRule="auto"/>
        <w:rPr>
          <w:sz w:val="20"/>
          <w:szCs w:val="20"/>
          <w:color w:val="auto"/>
        </w:rPr>
      </w:pPr>
      <w:r>
        <w:rPr>
          <w:rFonts w:ascii="Times New Roman" w:cs="Times New Roman" w:eastAsia="Times New Roman" w:hAnsi="Times New Roman"/>
          <w:sz w:val="18"/>
          <w:szCs w:val="18"/>
          <w:color w:val="auto"/>
        </w:rPr>
        <w:t>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on your Contract Schedule. Your financial representative can tell you the current and guaranteed minimum interest rate. We reserve the right to change the Holding Account interest rate.</w:t>
      </w:r>
    </w:p>
    <w:p>
      <w:pPr>
        <w:spacing w:after="0" w:line="75" w:lineRule="exact"/>
        <w:rPr>
          <w:sz w:val="20"/>
          <w:szCs w:val="20"/>
          <w:color w:val="auto"/>
        </w:rPr>
      </w:pPr>
    </w:p>
    <w:p>
      <w:pPr>
        <w:jc w:val="both"/>
        <w:ind w:left="120" w:right="639" w:firstLine="360"/>
        <w:spacing w:after="0" w:line="255" w:lineRule="auto"/>
        <w:rPr>
          <w:sz w:val="20"/>
          <w:szCs w:val="20"/>
          <w:color w:val="auto"/>
        </w:rPr>
      </w:pPr>
      <w:r>
        <w:rPr>
          <w:rFonts w:ascii="Times New Roman" w:cs="Times New Roman" w:eastAsia="Times New Roman" w:hAnsi="Times New Roman"/>
          <w:sz w:val="18"/>
          <w:szCs w:val="18"/>
          <w:color w:val="auto"/>
        </w:rPr>
        <w:t>Thirty (30) days before the current Term expires, we will send you a notification, written or electronic depending on your selected preferences, indicating your maturing Shield Options and how you can obtain the new Cap Rates, Step Rates, and Edge Rates. You may also access our website at https://www.brighthousefinancial.com/products/annuities/shield-annuities/shield-rates/ where at least two months of renewal rates for the Rate Crediting Types, the Fixed Account and, if applicable, the interest rate for the Holding Account are posted – i.e., for the current month and the following month. See “RATE CREDITING TYPES.”</w:t>
      </w:r>
    </w:p>
    <w:p>
      <w:pPr>
        <w:sectPr>
          <w:pgSz w:w="11900" w:h="16838" w:orient="portrait"/>
          <w:cols w:equalWidth="0" w:num="1">
            <w:col w:w="9019"/>
          </w:cols>
          <w:pgMar w:left="1440" w:top="1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E-1</w:t>
      </w:r>
    </w:p>
    <w:p>
      <w:pPr>
        <w:sectPr>
          <w:pgSz w:w="11900" w:h="16838" w:orient="portrait"/>
          <w:cols w:equalWidth="0" w:num="1">
            <w:col w:w="9019"/>
          </w:cols>
          <w:pgMar w:left="1440" w:top="1373" w:right="1440" w:bottom="1440" w:gutter="0" w:footer="0" w:header="0"/>
          <w:type w:val="continuous"/>
        </w:sectPr>
      </w:pPr>
    </w:p>
    <w:bookmarkStart w:id="225" w:name="page226"/>
    <w:bookmarkEnd w:id="2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rPr>
        <w:t> </w:t>
      </w:r>
    </w:p>
    <w:p>
      <w:pPr>
        <w:jc w:val="right"/>
        <w:ind w:right="293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bookmarkStart w:id="226" w:name="page227"/>
    <w:bookmarkEnd w:id="226"/>
    <w:p>
      <w:pPr>
        <w:ind w:left="3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t>APPENDIX F</w:t>
      </w:r>
    </w:p>
    <w:p>
      <w:pPr>
        <w:spacing w:after="0" w:line="1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INTERIM VALUE OF SHIELD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additional information regarding the Interim Value calculation.</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Interim Value for each Shield Option is equal to the sum of (1) and (2), where:</w:t>
      </w:r>
    </w:p>
    <w:p>
      <w:pPr>
        <w:spacing w:after="0" w:line="131" w:lineRule="exact"/>
        <w:rPr>
          <w:sz w:val="20"/>
          <w:szCs w:val="20"/>
          <w:color w:val="auto"/>
        </w:rPr>
      </w:pPr>
    </w:p>
    <w:p>
      <w:pPr>
        <w:ind w:left="120" w:right="639" w:firstLine="352"/>
        <w:spacing w:after="0" w:line="270" w:lineRule="auto"/>
        <w:tabs>
          <w:tab w:leader="none" w:pos="73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of the Fixed Income Asset Proxy on the Business Day the Interim Value is calculated. It is determined as (A – B) multiplied by [(1 + C) divided by (1 + D)]</w:t>
      </w:r>
      <w:r>
        <w:rPr>
          <w:rFonts w:ascii="Times New Roman" w:cs="Times New Roman" w:eastAsia="Times New Roman" w:hAnsi="Times New Roman"/>
          <w:sz w:val="23"/>
          <w:szCs w:val="23"/>
          <w:color w:val="auto"/>
          <w:vertAlign w:val="superscript"/>
        </w:rPr>
        <w:t>E</w:t>
      </w:r>
      <w:r>
        <w:rPr>
          <w:rFonts w:ascii="Times New Roman" w:cs="Times New Roman" w:eastAsia="Times New Roman" w:hAnsi="Times New Roman"/>
          <w:sz w:val="18"/>
          <w:szCs w:val="18"/>
          <w:color w:val="auto"/>
        </w:rPr>
        <w:t>, where:</w:t>
      </w:r>
    </w:p>
    <w:p>
      <w:pPr>
        <w:spacing w:after="0" w:line="23" w:lineRule="exact"/>
        <w:rPr>
          <w:rFonts w:ascii="Times New Roman" w:cs="Times New Roman" w:eastAsia="Times New Roman" w:hAnsi="Times New Roman"/>
          <w:sz w:val="18"/>
          <w:szCs w:val="18"/>
          <w:color w:val="auto"/>
        </w:rPr>
      </w:pPr>
    </w:p>
    <w:p>
      <w:pPr>
        <w:ind w:left="1060" w:hanging="228"/>
        <w:spacing w:after="0"/>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Investment Amount on the Business Day the Interim Value is calculated;</w:t>
      </w:r>
    </w:p>
    <w:p>
      <w:pPr>
        <w:spacing w:after="0" w:line="130" w:lineRule="exact"/>
        <w:rPr>
          <w:rFonts w:ascii="Times New Roman" w:cs="Times New Roman" w:eastAsia="Times New Roman" w:hAnsi="Times New Roman"/>
          <w:sz w:val="18"/>
          <w:szCs w:val="18"/>
          <w:color w:val="auto"/>
        </w:rPr>
      </w:pPr>
    </w:p>
    <w:p>
      <w:pPr>
        <w:ind w:left="840" w:right="659" w:hanging="8"/>
        <w:spacing w:after="0" w:line="282" w:lineRule="auto"/>
        <w:tabs>
          <w:tab w:leader="none" w:pos="105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of the Derivative Asset Proxy (as defined below) under initial market conditions, with straight-line amortization to the end of the Term;</w:t>
      </w:r>
    </w:p>
    <w:p>
      <w:pPr>
        <w:spacing w:after="0" w:line="67"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Rate (as defined below) on the Term Start Date;</w:t>
      </w:r>
    </w:p>
    <w:p>
      <w:pPr>
        <w:spacing w:after="0" w:line="117" w:lineRule="exact"/>
        <w:rPr>
          <w:rFonts w:ascii="Times New Roman" w:cs="Times New Roman" w:eastAsia="Times New Roman" w:hAnsi="Times New Roman"/>
          <w:sz w:val="18"/>
          <w:szCs w:val="18"/>
          <w:color w:val="auto"/>
        </w:rPr>
      </w:pPr>
    </w:p>
    <w:p>
      <w:pPr>
        <w:ind w:left="1060" w:hanging="228"/>
        <w:spacing w:after="0"/>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Market Value Rate on the Business Day the Interim Value is calculated; and</w:t>
      </w:r>
    </w:p>
    <w:p>
      <w:pPr>
        <w:spacing w:after="0" w:line="117"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total days remaining in the Term divided by 365.</w:t>
      </w:r>
    </w:p>
    <w:p>
      <w:pPr>
        <w:spacing w:after="0" w:line="117" w:lineRule="exact"/>
        <w:rPr>
          <w:rFonts w:ascii="Times New Roman" w:cs="Times New Roman" w:eastAsia="Times New Roman" w:hAnsi="Times New Roman"/>
          <w:sz w:val="18"/>
          <w:szCs w:val="18"/>
          <w:color w:val="auto"/>
        </w:rPr>
      </w:pPr>
    </w:p>
    <w:p>
      <w:pPr>
        <w:ind w:left="720" w:hanging="248"/>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current market value of the Derivative Asset Proxy.</w:t>
      </w:r>
    </w:p>
    <w:p>
      <w:pPr>
        <w:spacing w:after="0" w:line="117" w:lineRule="exact"/>
        <w:rPr>
          <w:sz w:val="20"/>
          <w:szCs w:val="20"/>
          <w:color w:val="auto"/>
        </w:rPr>
      </w:pPr>
    </w:p>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t>The Fixed Income Asset Proxy is meant to represent the market value of the fixed income assets supporting each Shield Option.</w:t>
      </w:r>
    </w:p>
    <w:p>
      <w:pPr>
        <w:spacing w:after="0" w:line="54" w:lineRule="exact"/>
        <w:rPr>
          <w:sz w:val="20"/>
          <w:szCs w:val="20"/>
          <w:color w:val="auto"/>
        </w:rPr>
      </w:pPr>
    </w:p>
    <w:p>
      <w:pPr>
        <w:jc w:val="both"/>
        <w:ind w:left="120" w:right="659"/>
        <w:spacing w:after="0" w:line="256" w:lineRule="auto"/>
        <w:rPr>
          <w:sz w:val="20"/>
          <w:szCs w:val="20"/>
          <w:color w:val="auto"/>
        </w:rPr>
      </w:pPr>
      <w:r>
        <w:rPr>
          <w:rFonts w:ascii="Times New Roman" w:cs="Times New Roman" w:eastAsia="Times New Roman" w:hAnsi="Times New Roman"/>
          <w:sz w:val="18"/>
          <w:szCs w:val="18"/>
          <w:color w:val="auto"/>
        </w:rPr>
        <w:t>The Market Value Rate change (C and D in the formula) is intended to apply a Market Value Adjustment to address any changes in interest rates from the Term Start Date to the day the Interim Value is calculated. In short, if interest rates have increased since the Term Start Date, the change in the Market Value Rate will result in a reduction of the fair value of the Investment Amount. Conversely, if interest rates have decreased since the Term Start Date, the change in the Market Value Rate will result in an increase of the fair value of the Investment Amount.</w:t>
      </w:r>
    </w:p>
    <w:p>
      <w:pPr>
        <w:spacing w:after="0" w:line="79" w:lineRule="exact"/>
        <w:rPr>
          <w:sz w:val="20"/>
          <w:szCs w:val="20"/>
          <w:color w:val="auto"/>
        </w:rPr>
      </w:pPr>
    </w:p>
    <w:p>
      <w:pPr>
        <w:jc w:val="both"/>
        <w:ind w:left="120" w:right="639"/>
        <w:spacing w:after="0" w:line="282" w:lineRule="auto"/>
        <w:rPr>
          <w:sz w:val="20"/>
          <w:szCs w:val="20"/>
          <w:color w:val="auto"/>
        </w:rPr>
      </w:pPr>
      <w:r>
        <w:rPr>
          <w:rFonts w:ascii="Times New Roman" w:cs="Times New Roman" w:eastAsia="Times New Roman" w:hAnsi="Times New Roman"/>
          <w:sz w:val="18"/>
          <w:szCs w:val="18"/>
          <w:color w:val="auto"/>
        </w:rPr>
        <w:t>The Market Value Rate will apply on a uniform basis for a class of Contract Owners in the same Shield Option and will be administered in a uniform and non-discriminatory manner.</w:t>
      </w:r>
    </w:p>
    <w:p>
      <w:pPr>
        <w:spacing w:after="0" w:line="54" w:lineRule="exact"/>
        <w:rPr>
          <w:sz w:val="20"/>
          <w:szCs w:val="20"/>
          <w:color w:val="auto"/>
        </w:rPr>
      </w:pPr>
    </w:p>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t>The Market Value Rate is the Constant Maturity Treasury (CMT) rate with a maturity equal to that of the Term. If a maturity of the CMT rate is not available that equals the Term, then the Market Value Rate will be linearly interpolated between the two closest available CMT maturities.</w:t>
      </w:r>
    </w:p>
    <w:p>
      <w:pPr>
        <w:spacing w:after="0" w:line="68" w:lineRule="exact"/>
        <w:rPr>
          <w:sz w:val="20"/>
          <w:szCs w:val="20"/>
          <w:color w:val="auto"/>
        </w:rPr>
      </w:pPr>
    </w:p>
    <w:p>
      <w:pPr>
        <w:jc w:val="both"/>
        <w:ind w:left="120" w:right="659"/>
        <w:spacing w:after="0" w:line="282" w:lineRule="auto"/>
        <w:rPr>
          <w:sz w:val="20"/>
          <w:szCs w:val="20"/>
          <w:color w:val="auto"/>
        </w:rPr>
      </w:pPr>
      <w:r>
        <w:rPr>
          <w:rFonts w:ascii="Times New Roman" w:cs="Times New Roman" w:eastAsia="Times New Roman" w:hAnsi="Times New Roman"/>
          <w:sz w:val="18"/>
          <w:szCs w:val="18"/>
          <w:color w:val="auto"/>
        </w:rPr>
        <w:t>If the (CMT) rate is no longer published, or is discontinued, then we may substitute another suitable method for determining the Market Value Rate.</w:t>
      </w:r>
    </w:p>
    <w:p>
      <w:pPr>
        <w:spacing w:after="0" w:line="54" w:lineRule="exact"/>
        <w:rPr>
          <w:sz w:val="20"/>
          <w:szCs w:val="20"/>
          <w:color w:val="auto"/>
        </w:rPr>
      </w:pPr>
    </w:p>
    <w:p>
      <w:pPr>
        <w:jc w:val="both"/>
        <w:ind w:left="120" w:right="639"/>
        <w:spacing w:after="0" w:line="261" w:lineRule="auto"/>
        <w:rPr>
          <w:sz w:val="20"/>
          <w:szCs w:val="20"/>
          <w:color w:val="auto"/>
        </w:rPr>
      </w:pPr>
      <w:r>
        <w:rPr>
          <w:rFonts w:ascii="Times New Roman" w:cs="Times New Roman" w:eastAsia="Times New Roman" w:hAnsi="Times New Roman"/>
          <w:sz w:val="18"/>
          <w:szCs w:val="18"/>
          <w:color w:val="auto"/>
        </w:rPr>
        <w:t>For the current market value of the Derivative Asset Proxy, we utilize a fair market value methodology, the Black-Scholes Model, to value the replicating portfolio of options that support the Interim Value. The Derivative Asset Proxy is meant to represent the replicating portfolio of options designated by us and is used to estimate the market value of the possibility of gain or loss on the Term End Date. The value may be positive or negative.</w:t>
      </w:r>
    </w:p>
    <w:p>
      <w:pPr>
        <w:spacing w:after="0" w:line="72" w:lineRule="exact"/>
        <w:rPr>
          <w:sz w:val="20"/>
          <w:szCs w:val="20"/>
          <w:color w:val="auto"/>
        </w:rPr>
      </w:pPr>
    </w:p>
    <w:p>
      <w:pPr>
        <w:jc w:val="both"/>
        <w:ind w:left="120" w:right="639"/>
        <w:spacing w:after="0" w:line="258" w:lineRule="auto"/>
        <w:rPr>
          <w:sz w:val="20"/>
          <w:szCs w:val="20"/>
          <w:color w:val="auto"/>
        </w:rPr>
      </w:pPr>
      <w:r>
        <w:rPr>
          <w:rFonts w:ascii="Times New Roman" w:cs="Times New Roman" w:eastAsia="Times New Roman" w:hAnsi="Times New Roman"/>
          <w:sz w:val="18"/>
          <w:szCs w:val="18"/>
          <w:color w:val="auto"/>
        </w:rPr>
        <w:t>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Cap Rate, Step Rate, Edge Rate, and Shield Rate at the end of the Term as well as the estimated cost of exiting the replicating options prior to the Term End Date.</w:t>
      </w:r>
    </w:p>
    <w:p>
      <w:pPr>
        <w:spacing w:after="0" w:line="75" w:lineRule="exact"/>
        <w:rPr>
          <w:sz w:val="20"/>
          <w:szCs w:val="20"/>
          <w:color w:val="auto"/>
        </w:rPr>
      </w:pPr>
    </w:p>
    <w:p>
      <w:pPr>
        <w:jc w:val="both"/>
        <w:ind w:left="120" w:right="639"/>
        <w:spacing w:after="0" w:line="256" w:lineRule="auto"/>
        <w:rPr>
          <w:sz w:val="20"/>
          <w:szCs w:val="20"/>
          <w:color w:val="auto"/>
        </w:rPr>
      </w:pPr>
      <w:r>
        <w:rPr>
          <w:rFonts w:ascii="Times New Roman" w:cs="Times New Roman" w:eastAsia="Times New Roman" w:hAnsi="Times New Roman"/>
          <w:sz w:val="18"/>
          <w:szCs w:val="18"/>
          <w:color w:val="auto"/>
        </w:rPr>
        <w:t>The valuation of the options is based on the Black-Scholes Model, which is one of the standard methods for valuing derivatives based on inputs from third party vendors. The methodology used to value these options as described above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79" w:lineRule="exact"/>
        <w:rPr>
          <w:sz w:val="20"/>
          <w:szCs w:val="20"/>
          <w:color w:val="auto"/>
        </w:rPr>
      </w:pPr>
    </w:p>
    <w:p>
      <w:pPr>
        <w:jc w:val="both"/>
        <w:ind w:left="120" w:right="639"/>
        <w:spacing w:after="0" w:line="266" w:lineRule="auto"/>
        <w:rPr>
          <w:sz w:val="20"/>
          <w:szCs w:val="20"/>
          <w:color w:val="auto"/>
        </w:rPr>
      </w:pPr>
      <w:r>
        <w:rPr>
          <w:rFonts w:ascii="Times New Roman" w:cs="Times New Roman" w:eastAsia="Times New Roman" w:hAnsi="Times New Roman"/>
          <w:sz w:val="18"/>
          <w:szCs w:val="18"/>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68" w:lineRule="exact"/>
        <w:rPr>
          <w:sz w:val="20"/>
          <w:szCs w:val="20"/>
          <w:color w:val="auto"/>
        </w:rPr>
      </w:pPr>
    </w:p>
    <w:p>
      <w:pPr>
        <w:ind w:left="120" w:right="1279"/>
        <w:spacing w:after="0" w:line="282" w:lineRule="auto"/>
        <w:rPr>
          <w:sz w:val="20"/>
          <w:szCs w:val="20"/>
          <w:color w:val="auto"/>
        </w:rPr>
      </w:pPr>
      <w:r>
        <w:rPr>
          <w:rFonts w:ascii="Times New Roman" w:cs="Times New Roman" w:eastAsia="Times New Roman" w:hAnsi="Times New Roman"/>
          <w:sz w:val="18"/>
          <w:szCs w:val="18"/>
          <w:color w:val="auto"/>
        </w:rPr>
        <w:t>The fair value of the replicating portfolio of options for each Shield Option is determined according to the following formulas: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Shield Options with a Cap Rate: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replicating portfolio of options is = ATMC – OTMC – OTMP</w:t>
      </w:r>
    </w:p>
    <w:p>
      <w:pPr>
        <w:spacing w:after="0" w:line="29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9019"/>
          </w:cols>
          <w:pgMar w:left="1440" w:top="1373" w:right="1440" w:bottom="1149" w:gutter="0" w:footer="0" w:header="0"/>
        </w:sectPr>
      </w:pPr>
    </w:p>
    <w:bookmarkStart w:id="227" w:name="page228"/>
    <w:bookmarkEnd w:id="227"/>
    <w:p>
      <w:pPr>
        <w:jc w:val="both"/>
        <w:ind w:left="120" w:right="639" w:firstLine="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t>With respect to our hypothetical portfolio formula, we designed the at-the-money call and out-of-the-money call to value the potential for a positive Performance Rate subject to any applicable Cap Rate. The out-of-the-money put is designed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 This is due to the risk that the Index Value could be lower on the Term End Date whether or not the current Index Value on a Business Day is lower than the Index Value on the Term Start Date. For purposes of the Interim Value formula, the value of the out-of-the-money call will be zero if a Cap Rate Shield Option is uncapped.</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Shield Options with a Step Rate: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replicating portfolio of options is = [Step Rate x ATMBC] – OTMP</w:t>
      </w:r>
    </w:p>
    <w:p>
      <w:pPr>
        <w:spacing w:after="0" w:line="11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With respect to our hypothetical portfolio formula, we designed the at-the-money binary call to value the potential for gains equal to the Step Rate, if on the Term End Date, the Index Value is greater than or equal to the Index Value on the Term Start Date. The out-of-the-money put is designed to value the potential for a negative Performance Rate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Shield Options with Step Rate Edge: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replicating portfolio of options is = [Edge Rate x ITMBC] – OTMP</w:t>
      </w:r>
    </w:p>
    <w:p>
      <w:pPr>
        <w:spacing w:after="0" w:line="117" w:lineRule="exact"/>
        <w:rPr>
          <w:sz w:val="20"/>
          <w:szCs w:val="20"/>
          <w:color w:val="auto"/>
        </w:rPr>
      </w:pPr>
    </w:p>
    <w:p>
      <w:pPr>
        <w:jc w:val="both"/>
        <w:ind w:left="120" w:right="639" w:firstLine="360"/>
        <w:spacing w:after="0" w:line="256" w:lineRule="auto"/>
        <w:rPr>
          <w:sz w:val="20"/>
          <w:szCs w:val="20"/>
          <w:color w:val="auto"/>
        </w:rPr>
      </w:pPr>
      <w:r>
        <w:rPr>
          <w:rFonts w:ascii="Times New Roman" w:cs="Times New Roman" w:eastAsia="Times New Roman" w:hAnsi="Times New Roman"/>
          <w:sz w:val="18"/>
          <w:szCs w:val="18"/>
          <w:color w:val="auto"/>
        </w:rPr>
        <w:t>With respect to our hypothetical portfolio formula, we designed the in-the-money binary call to value the potential for gains equal to the Edge Rate if on the Term End Date, the Index Value is greater than or equal to the Shield Rate on the Term Start Date, and the out-of-the-money put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680" w:hanging="208"/>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ATMC is an at-the-money call option,</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OTMC is an out-of-the-money call option,</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OTMP is an out-of-the-money put option,</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ATMBC is an at-the-money binary call option, and</w:t>
      </w:r>
    </w:p>
    <w:p>
      <w:pPr>
        <w:spacing w:after="0" w:line="117" w:lineRule="exact"/>
        <w:rPr>
          <w:rFonts w:ascii="Times New Roman" w:cs="Times New Roman" w:eastAsia="Times New Roman" w:hAnsi="Times New Roman"/>
          <w:sz w:val="18"/>
          <w:szCs w:val="18"/>
          <w:color w:val="auto"/>
        </w:rPr>
      </w:pPr>
    </w:p>
    <w:p>
      <w:pPr>
        <w:ind w:left="680" w:hanging="208"/>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ITMBC is an in-the-money binary call option.</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9019"/>
          </w:cols>
          <w:pgMar w:left="1440" w:top="1377" w:right="1440" w:bottom="1440" w:gutter="0" w:footer="0" w:header="0"/>
          <w:type w:val="continuous"/>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530860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1)"/>
      <w:numFmt w:val="decimal"/>
      <w:start w:val="2"/>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 "/>
      <w:numFmt w:val="bullet"/>
      <w:start w:val="1"/>
    </w:lvl>
    <w:lvl w:ilvl="1">
      <w:lvlJc w:val="left"/>
      <w:lvlText w:val="%2."/>
      <w:numFmt w:val="decimal"/>
      <w:start w:val="1"/>
    </w:lvl>
  </w:abstractNum>
  <w:abstractNum w:abstractNumId="7">
    <w:nsid w:val="684A481A"/>
    <w:multiLevelType w:val="hybridMultilevel"/>
    <w:lvl w:ilvl="0">
      <w:lvlJc w:val="left"/>
      <w:lvlText w:val="%1."/>
      <w:numFmt w:val="decimal"/>
      <w:start w:val="2"/>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lowerRoman"/>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decimal"/>
      <w:start w:val="2"/>
    </w:lvl>
    <w:lvl w:ilvl="1">
      <w:lvlJc w:val="left"/>
      <w:lvlText w:val="="/>
      <w:numFmt w:val="bullet"/>
      <w:start w:val="1"/>
    </w:lvl>
  </w:abstractNum>
  <w:abstractNum w:abstractNumId="13">
    <w:nsid w:val="75C6C33A"/>
    <w:multiLevelType w:val="hybridMultilevel"/>
    <w:lvl w:ilvl="0">
      <w:lvlJc w:val="left"/>
      <w:lvlText w:val="(%1)"/>
      <w:numFmt w:val="decimal"/>
      <w:start w:val="4"/>
    </w:lvl>
  </w:abstractNum>
  <w:abstractNum w:abstractNumId="14">
    <w:nsid w:val="12E685FB"/>
    <w:multiLevelType w:val="hybridMultilevel"/>
    <w:lvl w:ilvl="0">
      <w:lvlJc w:val="left"/>
      <w:lvlText w:val="(%1)"/>
      <w:numFmt w:val="decimal"/>
      <w:start w:val="7"/>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decimal"/>
      <w:start w:val="1"/>
    </w:lvl>
    <w:lvl w:ilvl="1">
      <w:lvlJc w:val="left"/>
      <w:lvlText w:val="÷"/>
      <w:numFmt w:val="bullet"/>
      <w:start w:val="1"/>
    </w:lvl>
  </w:abstractNum>
  <w:abstractNum w:abstractNumId="17">
    <w:nsid w:val="374A3FE6"/>
    <w:multiLevelType w:val="hybridMultilevel"/>
    <w:lvl w:ilvl="0">
      <w:lvlJc w:val="left"/>
      <w:lvlText w:val="(%1)"/>
      <w:numFmt w:val="decimal"/>
      <w:start w:val="4"/>
    </w:lvl>
  </w:abstractNum>
  <w:abstractNum w:abstractNumId="18">
    <w:nsid w:val="4F4EF005"/>
    <w:multiLevelType w:val="hybridMultilevel"/>
    <w:lvl w:ilvl="0">
      <w:lvlJc w:val="left"/>
      <w:lvlText w:val="(%1)"/>
      <w:numFmt w:val="decimal"/>
      <w:start w:val="6"/>
    </w:lvl>
  </w:abstractNum>
  <w:abstractNum w:abstractNumId="19">
    <w:nsid w:val="23F9C13C"/>
    <w:multiLevelType w:val="hybridMultilevel"/>
    <w:lvl w:ilvl="0">
      <w:lvlJc w:val="left"/>
      <w:lvlText w:val="(%1)"/>
      <w:numFmt w:val="decimal"/>
      <w:start w:val="10"/>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decimal"/>
      <w:start w:val="3"/>
    </w:lvl>
  </w:abstractNum>
  <w:abstractNum w:abstractNumId="22">
    <w:nsid w:val="39386575"/>
    <w:multiLevelType w:val="hybridMultilevel"/>
    <w:lvl w:ilvl="0">
      <w:lvlJc w:val="left"/>
      <w:lvlText w:val="(%1)"/>
      <w:numFmt w:val="decimal"/>
      <w:start w:val="5"/>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1)"/>
      <w:numFmt w:val="decimal"/>
      <w:start w:val="5"/>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lowerLetter"/>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Roman"/>
      <w:start w:val="1"/>
    </w:lvl>
  </w:abstractNum>
  <w:abstractNum w:abstractNumId="33">
    <w:nsid w:val="61574095"/>
    <w:multiLevelType w:val="hybridMultilevel"/>
    <w:lvl w:ilvl="0">
      <w:lvlJc w:val="left"/>
      <w:lvlText w:val="(%1)"/>
      <w:numFmt w:val="lowerRoman"/>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emdash "/>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lowerRoman"/>
      <w:start w:val="1"/>
    </w:lvl>
  </w:abstractNum>
  <w:abstractNum w:abstractNumId="46">
    <w:nsid w:val="100F8FCA"/>
    <w:multiLevelType w:val="hybridMultilevel"/>
    <w:lvl w:ilvl="0">
      <w:lvlJc w:val="left"/>
      <w:lvlText w:val="(%1)"/>
      <w:numFmt w:val="lowerRoman"/>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lowerRoman"/>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51"/>
    </w:lvl>
  </w:abstractNum>
  <w:abstractNum w:abstractNumId="54">
    <w:nsid w:val="168E121F"/>
    <w:multiLevelType w:val="hybridMultilevel"/>
    <w:lvl w:ilvl="0">
      <w:lvlJc w:val="left"/>
      <w:lvlText w:val="%1"/>
      <w:numFmt w:val="decimal"/>
      <w:start w:val="61"/>
    </w:lvl>
  </w:abstractNum>
  <w:abstractNum w:abstractNumId="55">
    <w:nsid w:val="1EBA5D23"/>
    <w:multiLevelType w:val="hybridMultilevel"/>
    <w:lvl w:ilvl="0">
      <w:lvlJc w:val="left"/>
      <w:lvlText w:val="%1"/>
      <w:numFmt w:val="decimal"/>
      <w:start w:val="51"/>
    </w:lvl>
  </w:abstractNum>
  <w:abstractNum w:abstractNumId="56">
    <w:nsid w:val="661E3F1E"/>
    <w:multiLevelType w:val="hybridMultilevel"/>
    <w:lvl w:ilvl="0">
      <w:lvlJc w:val="left"/>
      <w:lvlText w:val="%1"/>
      <w:numFmt w:val="decimal"/>
      <w:start w:val="6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lowerRoman"/>
      <w:start w:val="1"/>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2"/>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1)"/>
      <w:numFmt w:val="lowerRoman"/>
      <w:start w:val="6"/>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2"/>
    </w:lvl>
    <w:lvl w:ilvl="1">
      <w:lvlJc w:val="left"/>
      <w:lvlText w:val="÷"/>
      <w:numFmt w:val="bullet"/>
      <w:start w:val="1"/>
    </w:lvl>
  </w:abstractNum>
  <w:abstractNum w:abstractNumId="88">
    <w:nsid w:val="74DE0EE3"/>
    <w:multiLevelType w:val="hybridMultilevel"/>
    <w:lvl w:ilvl="0">
      <w:lvlJc w:val="left"/>
      <w:lvlText w:val="(%1)"/>
      <w:numFmt w:val="decimal"/>
      <w:start w:val="1"/>
    </w:lvl>
    <w:lvl w:ilvl="1">
      <w:lvlJc w:val="left"/>
      <w:lvlText w:val="%2."/>
      <w:numFmt w:val="upperLetter"/>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2024-07-18T12:40:29Z</dcterms:created>
  <dcterms:modified xsi:type="dcterms:W3CDTF">2024-07-18T12:40:29Z</dcterms:modified>
</cp:coreProperties>
</file>