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8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346" w:lineRule="exact"/>
        <w:rPr>
          <w:sz w:val="24"/>
          <w:szCs w:val="24"/>
          <w:color w:val="auto"/>
        </w:rPr>
      </w:pPr>
    </w:p>
    <w:p>
      <w:pPr>
        <w:ind w:left="4480" w:right="3400" w:hanging="4087"/>
        <w:spacing w:after="0" w:line="563" w:lineRule="auto"/>
        <w:tabs>
          <w:tab w:leader="none" w:pos="705"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2017</w:t>
      </w:r>
    </w:p>
    <w:p>
      <w:pPr>
        <w:ind w:left="56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71" w:lineRule="exact"/>
        <w:rPr>
          <w:rFonts w:ascii="MS PGothic" w:cs="MS PGothic" w:eastAsia="MS PGothic" w:hAnsi="MS PGothic"/>
          <w:sz w:val="14"/>
          <w:szCs w:val="14"/>
          <w:color w:val="auto"/>
        </w:rPr>
      </w:pPr>
    </w:p>
    <w:p>
      <w:pPr>
        <w:ind w:left="820" w:hanging="326"/>
        <w:spacing w:after="0"/>
        <w:tabs>
          <w:tab w:leader="none" w:pos="820"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426720</wp:posOffset>
            </wp:positionV>
            <wp:extent cx="221234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82"/>
        </w:trPr>
        <w:tc>
          <w:tcPr>
            <w:tcW w:w="6640" w:type="dxa"/>
            <w:vAlign w:val="bottom"/>
          </w:tcPr>
          <w:p>
            <w:pPr>
              <w:jc w:val="right"/>
              <w:ind w:right="169"/>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300" w:type="dxa"/>
            <w:vAlign w:val="bottom"/>
          </w:tcPr>
          <w:p>
            <w:pPr>
              <w:spacing w:after="0"/>
              <w:rPr>
                <w:sz w:val="15"/>
                <w:szCs w:val="15"/>
                <w:color w:val="auto"/>
              </w:rPr>
            </w:pPr>
          </w:p>
        </w:tc>
      </w:tr>
      <w:tr>
        <w:trPr>
          <w:trHeight w:val="351"/>
        </w:trPr>
        <w:tc>
          <w:tcPr>
            <w:tcW w:w="6640" w:type="dxa"/>
            <w:vAlign w:val="bottom"/>
          </w:tcPr>
          <w:p>
            <w:pPr>
              <w:jc w:val="center"/>
              <w:ind w:right="2589"/>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jc w:val="right"/>
              <w:ind w:right="608"/>
              <w:spacing w:after="0"/>
              <w:rPr>
                <w:sz w:val="20"/>
                <w:szCs w:val="20"/>
                <w:color w:val="auto"/>
              </w:rPr>
            </w:pPr>
            <w:r>
              <w:rPr>
                <w:rFonts w:ascii="Arial" w:cs="Arial" w:eastAsia="Arial" w:hAnsi="Arial"/>
                <w:sz w:val="14"/>
                <w:szCs w:val="14"/>
                <w:b w:val="1"/>
                <w:bCs w:val="1"/>
                <w:color w:val="auto"/>
              </w:rPr>
              <w:t>81-3846992</w:t>
            </w:r>
          </w:p>
        </w:tc>
      </w:tr>
      <w:tr>
        <w:trPr>
          <w:trHeight w:val="351"/>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5"/>
              </w:rPr>
              <w:t>(State of incorporation)</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640" w:type="dxa"/>
            <w:vAlign w:val="bottom"/>
          </w:tcPr>
          <w:p>
            <w:pPr>
              <w:jc w:val="center"/>
              <w:ind w:right="2569"/>
              <w:spacing w:after="0"/>
              <w:rPr>
                <w:sz w:val="20"/>
                <w:szCs w:val="20"/>
                <w:color w:val="auto"/>
              </w:rPr>
            </w:pPr>
            <w:r>
              <w:rPr>
                <w:rFonts w:ascii="Arial" w:cs="Arial" w:eastAsia="Arial" w:hAnsi="Arial"/>
                <w:sz w:val="14"/>
                <w:szCs w:val="14"/>
                <w:b w:val="1"/>
                <w:bCs w:val="1"/>
                <w:color w:val="auto"/>
                <w:w w:val="95"/>
              </w:rPr>
              <w:t>11225 North Community House Road, Charlotte, North Carolina</w:t>
            </w:r>
          </w:p>
        </w:tc>
        <w:tc>
          <w:tcPr>
            <w:tcW w:w="2300" w:type="dxa"/>
            <w:vAlign w:val="bottom"/>
          </w:tcPr>
          <w:p>
            <w:pPr>
              <w:jc w:val="right"/>
              <w:ind w:right="768"/>
              <w:spacing w:after="0"/>
              <w:rPr>
                <w:sz w:val="20"/>
                <w:szCs w:val="20"/>
                <w:color w:val="auto"/>
              </w:rPr>
            </w:pPr>
            <w:r>
              <w:rPr>
                <w:rFonts w:ascii="Arial" w:cs="Arial" w:eastAsia="Arial" w:hAnsi="Arial"/>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3"/>
              </w:rPr>
              <w:t>(Zip Code)</w:t>
            </w:r>
          </w:p>
        </w:tc>
      </w:tr>
      <w:tr>
        <w:trPr>
          <w:trHeight w:val="284"/>
        </w:trPr>
        <w:tc>
          <w:tcPr>
            <w:tcW w:w="6640" w:type="dxa"/>
            <w:vAlign w:val="bottom"/>
          </w:tcPr>
          <w:p>
            <w:pPr>
              <w:jc w:val="right"/>
              <w:ind w:right="1069"/>
              <w:spacing w:after="0"/>
              <w:rPr>
                <w:sz w:val="20"/>
                <w:szCs w:val="20"/>
                <w:color w:val="auto"/>
              </w:rPr>
            </w:pPr>
            <w:r>
              <w:rPr>
                <w:rFonts w:ascii="Arial" w:cs="Arial" w:eastAsia="Arial" w:hAnsi="Arial"/>
                <w:sz w:val="14"/>
                <w:szCs w:val="14"/>
                <w:b w:val="1"/>
                <w:bCs w:val="1"/>
                <w:color w:val="auto"/>
              </w:rPr>
              <w:t>(980) 365-7100</w:t>
            </w:r>
          </w:p>
        </w:tc>
        <w:tc>
          <w:tcPr>
            <w:tcW w:w="2300" w:type="dxa"/>
            <w:vAlign w:val="bottom"/>
          </w:tcPr>
          <w:p>
            <w:pPr>
              <w:spacing w:after="0"/>
              <w:rPr>
                <w:sz w:val="24"/>
                <w:szCs w:val="24"/>
                <w:color w:val="auto"/>
              </w:rPr>
            </w:pPr>
          </w:p>
        </w:tc>
      </w:tr>
      <w:tr>
        <w:trPr>
          <w:trHeight w:val="307"/>
        </w:trPr>
        <w:tc>
          <w:tcPr>
            <w:tcW w:w="6640" w:type="dxa"/>
            <w:vAlign w:val="bottom"/>
          </w:tcPr>
          <w:p>
            <w:pPr>
              <w:jc w:val="right"/>
              <w:ind w:right="169"/>
              <w:spacing w:after="0"/>
              <w:rPr>
                <w:sz w:val="20"/>
                <w:szCs w:val="20"/>
                <w:color w:val="auto"/>
              </w:rPr>
            </w:pPr>
            <w:r>
              <w:rPr>
                <w:rFonts w:ascii="Arial" w:cs="Arial" w:eastAsia="Arial" w:hAnsi="Arial"/>
                <w:sz w:val="13"/>
                <w:szCs w:val="13"/>
                <w:i w:val="1"/>
                <w:iCs w:val="1"/>
                <w:color w:val="auto"/>
              </w:rPr>
              <w:t>(Registrant’s telephone number, including area code)</w:t>
            </w:r>
          </w:p>
        </w:tc>
        <w:tc>
          <w:tcPr>
            <w:tcW w:w="2300" w:type="dxa"/>
            <w:vAlign w:val="bottom"/>
          </w:tcPr>
          <w:p>
            <w:pPr>
              <w:spacing w:after="0"/>
              <w:rPr>
                <w:sz w:val="24"/>
                <w:szCs w:val="24"/>
                <w:color w:val="auto"/>
              </w:rPr>
            </w:pPr>
          </w:p>
        </w:tc>
      </w:tr>
    </w:tbl>
    <w:p>
      <w:pPr>
        <w:spacing w:after="0" w:line="204"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ind w:firstLine="108"/>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317" w:lineRule="exact"/>
        <w:rPr>
          <w:sz w:val="24"/>
          <w:szCs w:val="24"/>
          <w:color w:val="auto"/>
        </w:rPr>
      </w:pPr>
    </w:p>
    <w:p>
      <w:pPr>
        <w:ind w:left="4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112" w:lineRule="exact"/>
        <w:rPr>
          <w:sz w:val="24"/>
          <w:szCs w:val="24"/>
          <w:color w:val="auto"/>
        </w:rPr>
      </w:pPr>
    </w:p>
    <w:p>
      <w:pPr>
        <w:sectPr>
          <w:pgSz w:w="11900" w:h="16838" w:orient="portrait"/>
          <w:cols w:equalWidth="0" w:num="4">
            <w:col w:w="1180" w:space="60"/>
            <w:col w:w="6740" w:space="720"/>
            <w:col w:w="840" w:space="80"/>
            <w:col w:w="1800"/>
          </w:cols>
          <w:pgMar w:left="240" w:top="756"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1120" w:space="120"/>
            <w:col w:w="120" w:space="60"/>
            <w:col w:w="6560" w:space="720"/>
            <w:col w:w="1380" w:space="60"/>
            <w:col w:w="1280"/>
          </w:cols>
          <w:pgMar w:left="240" w:top="756"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3"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6" w:lineRule="exact"/>
        <w:rPr>
          <w:sz w:val="24"/>
          <w:szCs w:val="24"/>
          <w:color w:val="auto"/>
        </w:rPr>
      </w:pPr>
    </w:p>
    <w:p>
      <w:pPr>
        <w:ind w:left="120"/>
        <w:spacing w:after="0" w:line="150" w:lineRule="exact"/>
        <w:tabs>
          <w:tab w:leader="none" w:pos="5940" w:val="left"/>
          <w:tab w:leader="none" w:pos="63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40" w:lineRule="exact"/>
        <w:rPr>
          <w:sz w:val="24"/>
          <w:szCs w:val="24"/>
          <w:color w:val="auto"/>
        </w:rPr>
      </w:pPr>
    </w:p>
    <w:p>
      <w:pPr>
        <w:ind w:left="120"/>
        <w:spacing w:after="0"/>
        <w:rPr>
          <w:sz w:val="20"/>
          <w:szCs w:val="20"/>
          <w:color w:val="auto"/>
        </w:rPr>
      </w:pPr>
      <w:r>
        <w:rPr>
          <w:rFonts w:ascii="Arial" w:cs="Arial" w:eastAsia="Arial" w:hAnsi="Arial"/>
          <w:sz w:val="13"/>
          <w:szCs w:val="13"/>
          <w:color w:val="auto"/>
        </w:rPr>
        <w:t>At August 13, 2017, 119,773,106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ind w:left="10860"/>
        <w:spacing w:after="0"/>
        <w:rPr>
          <w:sz w:val="20"/>
          <w:szCs w:val="20"/>
          <w:color w:val="auto"/>
        </w:rPr>
      </w:pPr>
      <w:r>
        <w:rPr>
          <w:rFonts w:ascii="Arial" w:cs="Arial" w:eastAsia="Arial" w:hAnsi="Arial"/>
          <w:sz w:val="18"/>
          <w:szCs w:val="18"/>
          <w:b w:val="1"/>
          <w:bCs w:val="1"/>
          <w:color w:val="auto"/>
        </w:rPr>
        <w:t>Page</w:t>
      </w:r>
    </w:p>
    <w:p>
      <w:pPr>
        <w:spacing w:after="0" w:line="6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Item 1.</w:t>
            </w:r>
          </w:p>
        </w:tc>
        <w:tc>
          <w:tcPr>
            <w:tcW w:w="9620" w:type="dxa"/>
            <w:vAlign w:val="bottom"/>
            <w:gridSpan w:val="32"/>
          </w:tcPr>
          <w:p>
            <w:pPr>
              <w:spacing w:after="0"/>
              <w:rPr>
                <w:sz w:val="20"/>
                <w:szCs w:val="20"/>
                <w:color w:val="auto"/>
              </w:rPr>
            </w:pPr>
            <w:r>
              <w:rPr>
                <w:rFonts w:ascii="Arial" w:cs="Arial" w:eastAsia="Arial" w:hAnsi="Arial"/>
                <w:sz w:val="18"/>
                <w:szCs w:val="18"/>
                <w:color w:val="auto"/>
                <w:w w:val="93"/>
              </w:rPr>
              <w:t>Combined Financial Statements (at June 30 2017 (Unaudited) and December 31, 2016 and for the Three Months and Six Months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3"/>
            <w:vMerge w:val="continue"/>
          </w:tcPr>
          <w:p>
            <w:pPr>
              <w:spacing w:after="0"/>
              <w:rPr>
                <w:sz w:val="20"/>
                <w:szCs w:val="20"/>
                <w:color w:val="auto"/>
              </w:rPr>
            </w:pPr>
          </w:p>
        </w:tc>
        <w:tc>
          <w:tcPr>
            <w:tcW w:w="9620" w:type="dxa"/>
            <w:vAlign w:val="bottom"/>
            <w:gridSpan w:val="32"/>
          </w:tcPr>
          <w:p>
            <w:pPr>
              <w:ind w:left="160"/>
              <w:spacing w:after="0"/>
              <w:rPr>
                <w:sz w:val="20"/>
                <w:szCs w:val="20"/>
                <w:color w:val="auto"/>
              </w:rPr>
            </w:pPr>
            <w:r>
              <w:rPr>
                <w:rFonts w:ascii="Arial" w:cs="Arial" w:eastAsia="Arial" w:hAnsi="Arial"/>
                <w:sz w:val="18"/>
                <w:szCs w:val="18"/>
                <w:color w:val="auto"/>
              </w:rPr>
              <w:t>Ended June 30, 2017 and 2016 (Unaudited)):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Interim Condensed Combined Balance Sheets</w:t>
              </w:r>
            </w:hyperlink>
          </w:p>
        </w:tc>
        <w:tc>
          <w:tcPr>
            <w:tcW w:w="6100" w:type="dxa"/>
            <w:vAlign w:val="bottom"/>
            <w:gridSpan w:val="13"/>
          </w:tcPr>
          <w:p>
            <w:pPr>
              <w:spacing w:after="0"/>
              <w:rPr>
                <w:sz w:val="19"/>
                <w:szCs w:val="19"/>
                <w:color w:val="auto"/>
              </w:rPr>
            </w:pPr>
          </w:p>
        </w:tc>
        <w:tc>
          <w:tcPr>
            <w:tcW w:w="500" w:type="dxa"/>
            <w:vAlign w:val="bottom"/>
            <w:gridSpan w:val="4"/>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Interim Condensed Combined Statements of Operations and Comprehensive Income </w:t>
              </w:r>
            </w:hyperlink>
            <w:r>
              <w:rPr>
                <w:rFonts w:ascii="Arial" w:cs="Arial" w:eastAsia="Arial" w:hAnsi="Arial"/>
                <w:sz w:val="18"/>
                <w:szCs w:val="18"/>
                <w:color w:val="0000FF"/>
              </w:rPr>
              <w:t>(Loss)</w:t>
            </w:r>
          </w:p>
        </w:tc>
        <w:tc>
          <w:tcPr>
            <w:tcW w:w="60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20" w:type="dxa"/>
            <w:vAlign w:val="bottom"/>
            <w:tcBorders>
              <w:bottom w:val="single" w:sz="8" w:color="0000EE"/>
            </w:tcBorders>
            <w:gridSpan w:val="31"/>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Interim Condensed Combined Statements of Shareholder’s Net Investment and Noncontrolling Interests</w:t>
              </w:r>
            </w:hyperlink>
          </w:p>
        </w:tc>
        <w:tc>
          <w:tcPr>
            <w:tcW w:w="500" w:type="dxa"/>
            <w:vAlign w:val="bottom"/>
            <w:gridSpan w:val="4"/>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Combined Statements of Cash Flows</w:t>
              </w:r>
            </w:hyperlink>
          </w:p>
        </w:tc>
        <w:tc>
          <w:tcPr>
            <w:tcW w:w="5320" w:type="dxa"/>
            <w:vAlign w:val="bottom"/>
            <w:gridSpan w:val="11"/>
          </w:tcPr>
          <w:p>
            <w:pPr>
              <w:spacing w:after="0"/>
              <w:rPr>
                <w:sz w:val="22"/>
                <w:szCs w:val="22"/>
                <w:color w:val="auto"/>
              </w:rPr>
            </w:pPr>
          </w:p>
        </w:tc>
        <w:tc>
          <w:tcPr>
            <w:tcW w:w="5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Interim Condensed Combined Financial Statements:</w:t>
              </w:r>
            </w:hyperlink>
          </w:p>
        </w:tc>
        <w:tc>
          <w:tcPr>
            <w:tcW w:w="4720" w:type="dxa"/>
            <w:vAlign w:val="bottom"/>
            <w:gridSpan w:val="7"/>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0" w:type="dxa"/>
            <w:vAlign w:val="bottom"/>
            <w:tcBorders>
              <w:bottom w:val="single" w:sz="8" w:color="0000FF"/>
            </w:tcBorders>
            <w:gridSpan w:val="2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Note 1 — Business, Basis of Presentation and Summary of Significant Accounting Policies</w:t>
              </w:r>
            </w:hyperlink>
          </w:p>
        </w:tc>
        <w:tc>
          <w:tcPr>
            <w:tcW w:w="2700" w:type="dxa"/>
            <w:vAlign w:val="bottom"/>
            <w:gridSpan w:val="2"/>
          </w:tcPr>
          <w:p>
            <w:pPr>
              <w:spacing w:after="0"/>
              <w:rPr>
                <w:sz w:val="21"/>
                <w:szCs w:val="21"/>
                <w:color w:val="auto"/>
              </w:rPr>
            </w:pPr>
          </w:p>
        </w:tc>
        <w:tc>
          <w:tcPr>
            <w:tcW w:w="50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12"/>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Note 2 — Segment Information</w:t>
              </w:r>
            </w:hyperlink>
          </w:p>
        </w:tc>
        <w:tc>
          <w:tcPr>
            <w:tcW w:w="7000" w:type="dxa"/>
            <w:vAlign w:val="bottom"/>
            <w:gridSpan w:val="17"/>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1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Note 3 — Insurance</w:t>
              </w:r>
            </w:hyperlink>
          </w:p>
        </w:tc>
        <w:tc>
          <w:tcPr>
            <w:tcW w:w="7000" w:type="dxa"/>
            <w:vAlign w:val="bottom"/>
            <w:gridSpan w:val="17"/>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Note 4 — Investments</w:t>
              </w:r>
            </w:hyperlink>
          </w:p>
        </w:tc>
        <w:tc>
          <w:tcPr>
            <w:tcW w:w="7700" w:type="dxa"/>
            <w:vAlign w:val="bottom"/>
            <w:gridSpan w:val="20"/>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Note 5 — Derivatives</w:t>
              </w:r>
            </w:hyperlink>
          </w:p>
        </w:tc>
        <w:tc>
          <w:tcPr>
            <w:tcW w:w="7700" w:type="dxa"/>
            <w:vAlign w:val="bottom"/>
            <w:gridSpan w:val="20"/>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Note 6 — Fair Value</w:t>
              </w:r>
            </w:hyperlink>
          </w:p>
        </w:tc>
        <w:tc>
          <w:tcPr>
            <w:tcW w:w="7700" w:type="dxa"/>
            <w:vAlign w:val="bottom"/>
            <w:gridSpan w:val="20"/>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40" w:type="dxa"/>
            <w:vAlign w:val="bottom"/>
            <w:gridSpan w:val="1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Note 7 — Debt and Collateral Financing Arrangement</w:t>
              </w:r>
            </w:hyperlink>
          </w:p>
        </w:tc>
        <w:tc>
          <w:tcPr>
            <w:tcW w:w="5360" w:type="dxa"/>
            <w:vAlign w:val="bottom"/>
            <w:gridSpan w:val="12"/>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4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 8 — Shareholder’s Net Investment</w:t>
              </w:r>
            </w:hyperlink>
          </w:p>
        </w:tc>
        <w:tc>
          <w:tcPr>
            <w:tcW w:w="5360" w:type="dxa"/>
            <w:vAlign w:val="bottom"/>
            <w:gridSpan w:val="12"/>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10"/>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 9 — Other Expenses</w:t>
              </w:r>
            </w:hyperlink>
          </w:p>
        </w:tc>
        <w:tc>
          <w:tcPr>
            <w:tcW w:w="1000" w:type="dxa"/>
            <w:vAlign w:val="bottom"/>
            <w:gridSpan w:val="4"/>
          </w:tcPr>
          <w:p>
            <w:pPr>
              <w:spacing w:after="0"/>
              <w:rPr>
                <w:sz w:val="21"/>
                <w:szCs w:val="21"/>
                <w:color w:val="auto"/>
              </w:rPr>
            </w:pPr>
          </w:p>
        </w:tc>
        <w:tc>
          <w:tcPr>
            <w:tcW w:w="6400" w:type="dxa"/>
            <w:vAlign w:val="bottom"/>
            <w:gridSpan w:val="15"/>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0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 10 — Pro Forma Earnings Per Share</w:t>
              </w:r>
            </w:hyperlink>
          </w:p>
        </w:tc>
        <w:tc>
          <w:tcPr>
            <w:tcW w:w="600" w:type="dxa"/>
            <w:vAlign w:val="bottom"/>
            <w:gridSpan w:val="5"/>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0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 11 — Contingencies, Commitments and Guarantees</w:t>
              </w:r>
            </w:hyperlink>
          </w:p>
        </w:tc>
        <w:tc>
          <w:tcPr>
            <w:tcW w:w="600" w:type="dxa"/>
            <w:vAlign w:val="bottom"/>
            <w:gridSpan w:val="5"/>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40" w:type="dxa"/>
            <w:vAlign w:val="bottom"/>
            <w:gridSpan w:val="1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 12 — Related Party Transactions</w:t>
              </w:r>
            </w:hyperlink>
          </w:p>
        </w:tc>
        <w:tc>
          <w:tcPr>
            <w:tcW w:w="5160" w:type="dxa"/>
            <w:vAlign w:val="bottom"/>
            <w:gridSpan w:val="10"/>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11"/>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Note 13 — Subsequent Events</w:t>
              </w:r>
            </w:hyperlink>
          </w:p>
        </w:tc>
        <w:tc>
          <w:tcPr>
            <w:tcW w:w="560" w:type="dxa"/>
            <w:vAlign w:val="bottom"/>
            <w:gridSpan w:val="2"/>
          </w:tcPr>
          <w:p>
            <w:pPr>
              <w:spacing w:after="0"/>
              <w:rPr>
                <w:sz w:val="21"/>
                <w:szCs w:val="21"/>
                <w:color w:val="auto"/>
              </w:rPr>
            </w:pPr>
          </w:p>
        </w:tc>
        <w:tc>
          <w:tcPr>
            <w:tcW w:w="6520" w:type="dxa"/>
            <w:vAlign w:val="bottom"/>
            <w:gridSpan w:val="16"/>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29"/>
          </w:tcPr>
          <w:p>
            <w:pPr>
              <w:spacing w:after="0"/>
              <w:rPr>
                <w:rFonts w:ascii="Arial" w:cs="Arial" w:eastAsia="Arial" w:hAnsi="Arial"/>
                <w:sz w:val="18"/>
                <w:szCs w:val="18"/>
                <w:b w:val="1"/>
                <w:bCs w:val="1"/>
                <w:color w:val="0000EE"/>
                <w:w w:val="89"/>
              </w:rPr>
            </w:pPr>
            <w:hyperlink w:anchor="page76">
              <w:r>
                <w:rPr>
                  <w:rFonts w:ascii="Arial" w:cs="Arial" w:eastAsia="Arial" w:hAnsi="Arial"/>
                  <w:sz w:val="18"/>
                  <w:szCs w:val="18"/>
                  <w:b w:val="1"/>
                  <w:bCs w:val="1"/>
                  <w:color w:val="0000EE"/>
                  <w:w w:val="89"/>
                </w:rPr>
                <w:t>Management’s Discussion and Analysis of Financial Condition and Results of Operations</w:t>
              </w:r>
            </w:hyperlink>
          </w:p>
        </w:tc>
        <w:tc>
          <w:tcPr>
            <w:tcW w:w="2780" w:type="dxa"/>
            <w:vAlign w:val="bottom"/>
            <w:gridSpan w:val="3"/>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60" w:type="dxa"/>
            <w:vAlign w:val="bottom"/>
            <w:tcBorders>
              <w:left w:val="single" w:sz="8" w:color="0000EE"/>
            </w:tcBorders>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29"/>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Quantitative and Qualitative Disclosures About Market Risk</w:t>
              </w:r>
            </w:hyperlink>
          </w:p>
        </w:tc>
        <w:tc>
          <w:tcPr>
            <w:tcW w:w="2780" w:type="dxa"/>
            <w:vAlign w:val="bottom"/>
            <w:gridSpan w:val="3"/>
          </w:tcPr>
          <w:p>
            <w:pPr>
              <w:spacing w:after="0"/>
              <w:rPr>
                <w:sz w:val="21"/>
                <w:szCs w:val="21"/>
                <w:color w:val="auto"/>
              </w:rPr>
            </w:pPr>
          </w:p>
        </w:tc>
        <w:tc>
          <w:tcPr>
            <w:tcW w:w="600" w:type="dxa"/>
            <w:vAlign w:val="bottom"/>
            <w:gridSpan w:val="5"/>
          </w:tcPr>
          <w:p>
            <w:pPr>
              <w:jc w:val="right"/>
              <w:spacing w:after="0"/>
              <w:rPr>
                <w:rFonts w:ascii="Arial" w:cs="Arial" w:eastAsia="Arial" w:hAnsi="Arial"/>
                <w:sz w:val="18"/>
                <w:szCs w:val="18"/>
                <w:color w:val="0000EE"/>
              </w:rPr>
            </w:pPr>
            <w:hyperlink w:anchor="page129">
              <w:r>
                <w:rPr>
                  <w:rFonts w:ascii="Arial" w:cs="Arial" w:eastAsia="Arial" w:hAnsi="Arial"/>
                  <w:sz w:val="18"/>
                  <w:szCs w:val="18"/>
                  <w:color w:val="0000EE"/>
                </w:rPr>
                <w:t>128</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7"/>
              </w:rPr>
            </w:pPr>
            <w:hyperlink w:anchor="page129">
              <w:r>
                <w:rPr>
                  <w:rFonts w:ascii="Arial" w:cs="Arial" w:eastAsia="Arial" w:hAnsi="Arial"/>
                  <w:sz w:val="18"/>
                  <w:szCs w:val="18"/>
                  <w:b w:val="1"/>
                  <w:bCs w:val="1"/>
                  <w:color w:val="0000EE"/>
                  <w:w w:val="87"/>
                </w:rPr>
                <w:t>Controls and Procedures</w:t>
              </w:r>
            </w:hyperlink>
          </w:p>
        </w:tc>
        <w:tc>
          <w:tcPr>
            <w:tcW w:w="2740" w:type="dxa"/>
            <w:vAlign w:val="bottom"/>
            <w:tcBorders>
              <w:top w:val="single" w:sz="8" w:color="0000EE"/>
            </w:tcBorders>
            <w:gridSpan w:val="12"/>
          </w:tcPr>
          <w:p>
            <w:pPr>
              <w:spacing w:after="0"/>
              <w:rPr>
                <w:sz w:val="21"/>
                <w:szCs w:val="21"/>
                <w:color w:val="auto"/>
              </w:rPr>
            </w:pPr>
          </w:p>
        </w:tc>
        <w:tc>
          <w:tcPr>
            <w:tcW w:w="4960" w:type="dxa"/>
            <w:vAlign w:val="bottom"/>
            <w:gridSpan w:val="8"/>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128</w:t>
              </w:r>
            </w:hyperlink>
          </w:p>
        </w:tc>
        <w:tc>
          <w:tcPr>
            <w:tcW w:w="0" w:type="dxa"/>
            <w:vAlign w:val="bottom"/>
          </w:tcPr>
          <w:p>
            <w:pPr>
              <w:spacing w:after="0"/>
              <w:rPr>
                <w:sz w:val="1"/>
                <w:szCs w:val="1"/>
                <w:color w:val="auto"/>
              </w:rPr>
            </w:pPr>
          </w:p>
        </w:tc>
      </w:tr>
      <w:tr>
        <w:trPr>
          <w:trHeight w:val="547"/>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130">
              <w:r>
                <w:rPr>
                  <w:rFonts w:ascii="Arial" w:cs="Arial" w:eastAsia="Arial" w:hAnsi="Arial"/>
                  <w:sz w:val="18"/>
                  <w:szCs w:val="18"/>
                  <w:b w:val="1"/>
                  <w:bCs w:val="1"/>
                  <w:color w:val="0000EE"/>
                  <w:w w:val="96"/>
                </w:rPr>
                <w:t>Part II — Other Information</w:t>
              </w:r>
            </w:hyperlink>
          </w:p>
        </w:tc>
        <w:tc>
          <w:tcPr>
            <w:tcW w:w="8520" w:type="dxa"/>
            <w:vAlign w:val="bottom"/>
            <w:gridSpan w:val="26"/>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1.</w:t>
            </w:r>
          </w:p>
        </w:tc>
        <w:tc>
          <w:tcPr>
            <w:tcW w:w="9620" w:type="dxa"/>
            <w:vAlign w:val="bottom"/>
            <w:gridSpan w:val="32"/>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Legal Proceedings</w:t>
              </w:r>
            </w:hyperlink>
          </w:p>
        </w:tc>
        <w:tc>
          <w:tcPr>
            <w:tcW w:w="600" w:type="dxa"/>
            <w:vAlign w:val="bottom"/>
            <w:gridSpan w:val="5"/>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130">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gridSpan w:val="2"/>
          </w:tcPr>
          <w:p>
            <w:pPr>
              <w:spacing w:after="0"/>
              <w:rPr>
                <w:sz w:val="21"/>
                <w:szCs w:val="21"/>
                <w:color w:val="auto"/>
              </w:rPr>
            </w:pPr>
          </w:p>
        </w:tc>
        <w:tc>
          <w:tcPr>
            <w:tcW w:w="8220" w:type="dxa"/>
            <w:vAlign w:val="bottom"/>
            <w:gridSpan w:val="25"/>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23"/>
          </w:tcPr>
          <w:p>
            <w:pPr>
              <w:spacing w:after="0"/>
              <w:rPr>
                <w:rFonts w:ascii="Arial" w:cs="Arial" w:eastAsia="Arial" w:hAnsi="Arial"/>
                <w:sz w:val="18"/>
                <w:szCs w:val="18"/>
                <w:b w:val="1"/>
                <w:bCs w:val="1"/>
                <w:color w:val="0000EE"/>
                <w:w w:val="87"/>
              </w:rPr>
            </w:pPr>
            <w:hyperlink w:anchor="page132">
              <w:r>
                <w:rPr>
                  <w:rFonts w:ascii="Arial" w:cs="Arial" w:eastAsia="Arial" w:hAnsi="Arial"/>
                  <w:sz w:val="18"/>
                  <w:szCs w:val="18"/>
                  <w:b w:val="1"/>
                  <w:bCs w:val="1"/>
                  <w:color w:val="0000EE"/>
                  <w:w w:val="87"/>
                </w:rPr>
                <w:t>Unregistered Sales of Equity Securities and Use of Proceeds</w:t>
              </w:r>
            </w:hyperlink>
          </w:p>
        </w:tc>
        <w:tc>
          <w:tcPr>
            <w:tcW w:w="5040" w:type="dxa"/>
            <w:vAlign w:val="bottom"/>
            <w:gridSpan w:val="9"/>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131</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bottom w:val="single" w:sz="8" w:color="0000EE"/>
            </w:tcBorders>
            <w:gridSpan w:val="11"/>
          </w:tcPr>
          <w:p>
            <w:pPr>
              <w:spacing w:after="0"/>
              <w:rPr>
                <w:rFonts w:ascii="Arial" w:cs="Arial" w:eastAsia="Arial" w:hAnsi="Arial"/>
                <w:sz w:val="18"/>
                <w:szCs w:val="18"/>
                <w:b w:val="1"/>
                <w:bCs w:val="1"/>
                <w:color w:val="0000EE"/>
                <w:w w:val="87"/>
              </w:rPr>
            </w:pPr>
            <w:hyperlink w:anchor="page132">
              <w:r>
                <w:rPr>
                  <w:rFonts w:ascii="Arial" w:cs="Arial" w:eastAsia="Arial" w:hAnsi="Arial"/>
                  <w:sz w:val="18"/>
                  <w:szCs w:val="18"/>
                  <w:b w:val="1"/>
                  <w:bCs w:val="1"/>
                  <w:color w:val="0000EE"/>
                  <w:w w:val="87"/>
                </w:rPr>
                <w:t>Mine Safety Disclosures</w:t>
              </w:r>
            </w:hyperlink>
          </w:p>
        </w:tc>
        <w:tc>
          <w:tcPr>
            <w:tcW w:w="7780" w:type="dxa"/>
            <w:vAlign w:val="bottom"/>
            <w:gridSpan w:val="21"/>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131</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5.</w:t>
            </w:r>
          </w:p>
        </w:tc>
        <w:tc>
          <w:tcPr>
            <w:tcW w:w="9620" w:type="dxa"/>
            <w:vAlign w:val="bottom"/>
            <w:gridSpan w:val="32"/>
          </w:tcPr>
          <w:p>
            <w:pPr>
              <w:spacing w:after="0"/>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Other Information</w:t>
              </w:r>
            </w:hyperlink>
          </w:p>
        </w:tc>
        <w:tc>
          <w:tcPr>
            <w:tcW w:w="600" w:type="dxa"/>
            <w:vAlign w:val="bottom"/>
            <w:gridSpan w:val="5"/>
          </w:tcPr>
          <w:p>
            <w:pPr>
              <w:jc w:val="right"/>
              <w:spacing w:after="0"/>
              <w:rPr>
                <w:rFonts w:ascii="Arial" w:cs="Arial" w:eastAsia="Arial" w:hAnsi="Arial"/>
                <w:sz w:val="18"/>
                <w:szCs w:val="18"/>
                <w:color w:val="0000EE"/>
              </w:rPr>
            </w:pPr>
            <w:hyperlink w:anchor="page132">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50"/>
        </w:trPr>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Exhibits</w:t>
              </w:r>
            </w:hyperlink>
          </w:p>
        </w:tc>
        <w:tc>
          <w:tcPr>
            <w:tcW w:w="8180" w:type="dxa"/>
            <w:vAlign w:val="bottom"/>
            <w:gridSpan w:val="24"/>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133</w:t>
              </w:r>
            </w:hyperlink>
          </w:p>
        </w:tc>
        <w:tc>
          <w:tcPr>
            <w:tcW w:w="0" w:type="dxa"/>
            <w:vAlign w:val="bottom"/>
          </w:tcPr>
          <w:p>
            <w:pPr>
              <w:spacing w:after="0"/>
              <w:rPr>
                <w:sz w:val="1"/>
                <w:szCs w:val="1"/>
                <w:color w:val="auto"/>
              </w:rPr>
            </w:pPr>
          </w:p>
        </w:tc>
      </w:tr>
      <w:tr>
        <w:trPr>
          <w:trHeight w:val="547"/>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136">
              <w:r>
                <w:rPr>
                  <w:rFonts w:ascii="Arial" w:cs="Arial" w:eastAsia="Arial" w:hAnsi="Arial"/>
                  <w:sz w:val="18"/>
                  <w:szCs w:val="18"/>
                  <w:b w:val="1"/>
                  <w:bCs w:val="1"/>
                  <w:color w:val="0000EE"/>
                  <w:w w:val="85"/>
                </w:rPr>
                <w:t>Signatures</w:t>
              </w:r>
            </w:hyperlink>
          </w:p>
        </w:tc>
        <w:tc>
          <w:tcPr>
            <w:tcW w:w="320" w:type="dxa"/>
            <w:vAlign w:val="bottom"/>
            <w:gridSpan w:val="2"/>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135</w:t>
              </w:r>
            </w:hyperlink>
          </w:p>
        </w:tc>
        <w:tc>
          <w:tcPr>
            <w:tcW w:w="0" w:type="dxa"/>
            <w:vAlign w:val="bottom"/>
          </w:tcPr>
          <w:p>
            <w:pPr>
              <w:spacing w:after="0"/>
              <w:rPr>
                <w:sz w:val="1"/>
                <w:szCs w:val="1"/>
                <w:color w:val="auto"/>
              </w:rPr>
            </w:pPr>
          </w:p>
        </w:tc>
      </w:tr>
      <w:tr>
        <w:trPr>
          <w:trHeight w:val="547"/>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137">
              <w:r>
                <w:rPr>
                  <w:rFonts w:ascii="Arial" w:cs="Arial" w:eastAsia="Arial" w:hAnsi="Arial"/>
                  <w:sz w:val="18"/>
                  <w:szCs w:val="18"/>
                  <w:b w:val="1"/>
                  <w:bCs w:val="1"/>
                  <w:color w:val="0000EE"/>
                  <w:w w:val="92"/>
                </w:rPr>
                <w:t>Exhibit Index</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5"/>
              </w:rPr>
            </w:pPr>
            <w:hyperlink w:anchor="page137">
              <w:r>
                <w:rPr>
                  <w:rFonts w:ascii="Arial" w:cs="Arial" w:eastAsia="Arial" w:hAnsi="Arial"/>
                  <w:sz w:val="18"/>
                  <w:szCs w:val="18"/>
                  <w:color w:val="0000EE"/>
                  <w:w w:val="85"/>
                </w:rPr>
                <w:t>E-1</w:t>
              </w:r>
            </w:hyperlink>
          </w:p>
        </w:tc>
        <w:tc>
          <w:tcPr>
            <w:tcW w:w="0" w:type="dxa"/>
            <w:vAlign w:val="bottom"/>
          </w:tcPr>
          <w:p>
            <w:pPr>
              <w:spacing w:after="0"/>
              <w:rPr>
                <w:sz w:val="1"/>
                <w:szCs w:val="1"/>
                <w:color w:val="auto"/>
              </w:rPr>
            </w:pPr>
          </w:p>
        </w:tc>
      </w:tr>
    </w:tbl>
    <w:p>
      <w:pPr>
        <w:sectPr>
          <w:pgSz w:w="11900" w:h="16838" w:orient="portrait"/>
          <w:cols w:equalWidth="0" w:num="1">
            <w:col w:w="11360"/>
          </w:cols>
          <w:pgMar w:left="280" w:top="526" w:right="259" w:bottom="1440" w:gutter="0" w:footer="0" w:header="0"/>
        </w:sectPr>
      </w:pPr>
    </w:p>
    <w:bookmarkStart w:id="2" w:name="page3"/>
    <w:bookmarkEnd w:id="2"/>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Interim Condensed Combined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June 30, 2017 (Unaudited) and December 31, 2016</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2017</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2016</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Fixed maturity securities available-for-sale, at estimated fair value (amortized cost: $59,277 and $58,715, respectively; includes $0 and</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$3,413, respectively, relating to variable interest entities)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available-for-sale, at estimated fair value (cost: $247 and $280, respectively)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$44 and $40, respectively; includes $123 and $136, respectively, at estimated fair value,</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relating to variable interest entities)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9,378</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and real estate joint ventures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81,809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80,632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 (includes $0 and $9, respectively, relating to variable interest entities)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$1 and $1, respectively, relating to variable interest entities)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13,415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14,647</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115,566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224,328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221,930</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Shareholder’s Net Investment and Noncontrolling Interests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34,352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33,372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37,526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7,390</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 (includes $16 and $23, respectively, at estimated fair value, relating to variable interest entities)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 financing arrangement</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Deferred income tax liability</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2,337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(includes $0 and $1, respectively, relating to variable interest entities)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5,929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liabilities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115,566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207,863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207,068</w:t>
            </w:r>
          </w:p>
        </w:tc>
        <w:tc>
          <w:tcPr>
            <w:tcW w:w="0" w:type="dxa"/>
            <w:vAlign w:val="bottom"/>
          </w:tcPr>
          <w:p>
            <w:pPr>
              <w:spacing w:after="0"/>
              <w:rPr>
                <w:sz w:val="1"/>
                <w:szCs w:val="1"/>
                <w:color w:val="auto"/>
              </w:rPr>
            </w:pPr>
          </w:p>
        </w:tc>
      </w:tr>
      <w:tr>
        <w:trPr>
          <w:trHeight w:val="74"/>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Contingencies, Commitments and Guarantees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Shareholder’s Net Investment and Noncontrolling Interests</w:t>
      </w:r>
    </w:p>
    <w:p>
      <w:pPr>
        <w:sectPr>
          <w:pgSz w:w="11900" w:h="16838" w:orient="portrait"/>
          <w:cols w:equalWidth="0" w:num="1">
            <w:col w:w="11420"/>
          </w:cols>
          <w:pgMar w:left="240" w:top="1310" w:right="23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income (loss)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Shareholder’s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shareholder’s net investment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Total liabilities, shareholder’s net investment and noncontrolling interests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14,521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13,597</w:t>
            </w:r>
          </w:p>
        </w:tc>
      </w:tr>
      <w:tr>
        <w:trPr>
          <w:trHeight w:val="276"/>
        </w:trPr>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1,265</w:t>
            </w:r>
          </w:p>
        </w:tc>
      </w:tr>
      <w:tr>
        <w:trPr>
          <w:trHeight w:val="244"/>
        </w:trPr>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16,415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14,862</w:t>
            </w:r>
          </w:p>
        </w:tc>
      </w:tr>
      <w:tr>
        <w:trPr>
          <w:trHeight w:val="276"/>
        </w:trPr>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16,465</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14,862</w:t>
            </w:r>
          </w:p>
        </w:tc>
      </w:tr>
      <w:tr>
        <w:trPr>
          <w:trHeight w:val="237"/>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224,328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221,930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40" w:space="720"/>
            <w:col w:w="2960"/>
          </w:cols>
          <w:pgMar w:left="240" w:top="1310" w:right="239" w:bottom="1440" w:gutter="0" w:footer="0" w:header="0"/>
          <w:type w:val="continuous"/>
        </w:sectPr>
      </w:pPr>
    </w:p>
    <w:p>
      <w:pPr>
        <w:ind w:left="2760"/>
        <w:spacing w:after="0"/>
        <w:rPr>
          <w:sz w:val="20"/>
          <w:szCs w:val="20"/>
          <w:color w:val="auto"/>
        </w:rPr>
      </w:pPr>
      <w:r>
        <w:rPr>
          <w:rFonts w:ascii="Arial" w:cs="Arial" w:eastAsia="Arial" w:hAnsi="Arial"/>
          <w:sz w:val="15"/>
          <w:szCs w:val="15"/>
          <w:b w:val="1"/>
          <w:bCs w:val="1"/>
          <w:color w:val="auto"/>
        </w:rPr>
        <w:t>See accompanying notes to the interim condensed combined financial statements.</w:t>
      </w:r>
    </w:p>
    <w:p>
      <w:pPr>
        <w:sectPr>
          <w:pgSz w:w="11900" w:h="16838" w:orient="portrait"/>
          <w:cols w:equalWidth="0" w:num="1">
            <w:col w:w="11420"/>
          </w:cols>
          <w:pgMar w:left="240" w:top="131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10" w:right="239" w:bottom="1440" w:gutter="0" w:footer="0" w:header="0"/>
          <w:type w:val="continuous"/>
        </w:sectPr>
      </w:pPr>
    </w:p>
    <w:bookmarkStart w:id="3" w:name="page4"/>
    <w:bookmarkEnd w:id="3"/>
    <w:p>
      <w:pPr>
        <w:ind w:left="46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Interim Condensed Combined Statements of Operations and Comprehensive Income (Loss)</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For the Three Months and Six Months Ended June 30, 2017 and 2016 (Unaudited)</w:t>
      </w:r>
    </w:p>
    <w:p>
      <w:pPr>
        <w:spacing w:after="0" w:line="15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w:t>
            </w:r>
          </w:p>
        </w:tc>
        <w:tc>
          <w:tcPr>
            <w:tcW w:w="2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Ended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Ended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70"/>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Universal life and investment-type product policy fees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Other-than-temporary impairments on fixed maturity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Other net investment gains (losses)</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investment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derivative gains (losses)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 benefits and claims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Interest credited to policyholder account balances</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policy acquisition costs and value of business acquired</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Pro forma 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See accompanying notes to the interim condensed combined financial statements.</w:t>
      </w:r>
    </w:p>
    <w:p>
      <w:pPr>
        <w:spacing w:after="0" w:line="25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60" w:top="877" w:right="419" w:bottom="1440" w:gutter="0" w:footer="0" w:header="0"/>
        </w:sectPr>
      </w:pPr>
    </w:p>
    <w:bookmarkStart w:id="4" w:name="page5"/>
    <w:bookmarkEnd w:id="4"/>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Interim Condensed Combined Statements of Shareholder’s Net Investment and Noncontrolling Interests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Six Months Ended June 30, 2017 and 2016 (Unaudited)</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6"/>
              </w:rPr>
              <w:t>Shareholder’s Net</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8"/>
              </w:rPr>
              <w:t>Investment and</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Shareholder’s Net</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5"/>
              </w:rPr>
              <w:t>Total Shareholder’s Net</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6"/>
              </w:rPr>
              <w:t>Noncontrolling</w:t>
            </w:r>
          </w:p>
        </w:tc>
      </w:tr>
      <w:tr>
        <w:trPr>
          <w:trHeight w:val="174"/>
        </w:trPr>
        <w:tc>
          <w:tcPr>
            <w:tcW w:w="4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7"/>
              </w:rPr>
              <w:t>Investment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8"/>
              </w:rPr>
              <w:t>Interests</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13,597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14,862</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Change in net investment</w:t>
            </w:r>
          </w:p>
        </w:tc>
        <w:tc>
          <w:tcPr>
            <w:tcW w:w="140" w:type="dxa"/>
            <w:vAlign w:val="bottom"/>
          </w:tcPr>
          <w:p>
            <w:pPr>
              <w:spacing w:after="0"/>
              <w:rPr>
                <w:sz w:val="20"/>
                <w:szCs w:val="20"/>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color w:val="auto"/>
              </w:rPr>
              <w:t>1,027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1,027</w:t>
            </w:r>
          </w:p>
        </w:tc>
      </w:tr>
      <w:tr>
        <w:trPr>
          <w:trHeight w:val="33"/>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net investment of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50</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income tax</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629</w:t>
            </w:r>
          </w:p>
        </w:tc>
      </w:tr>
      <w:tr>
        <w:trPr>
          <w:trHeight w:val="244"/>
        </w:trPr>
        <w:tc>
          <w:tcPr>
            <w:tcW w:w="4580" w:type="dxa"/>
            <w:vAlign w:val="bottom"/>
          </w:tcPr>
          <w:p>
            <w:pPr>
              <w:ind w:left="40"/>
              <w:spacing w:after="0"/>
              <w:rPr>
                <w:sz w:val="20"/>
                <w:szCs w:val="20"/>
                <w:color w:val="auto"/>
              </w:rPr>
            </w:pPr>
            <w:r>
              <w:rPr>
                <w:rFonts w:ascii="Arial" w:cs="Arial" w:eastAsia="Arial" w:hAnsi="Arial"/>
                <w:sz w:val="16"/>
                <w:szCs w:val="16"/>
                <w:color w:val="auto"/>
              </w:rPr>
              <w:t>Balance at June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14,521</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16,415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6"/>
                <w:szCs w:val="16"/>
                <w:color w:val="auto"/>
              </w:rPr>
              <w:t>16,465</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6"/>
              </w:rPr>
              <w:t>Shareholder’s Net</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8"/>
              </w:rPr>
              <w:t>Investment and</w:t>
            </w:r>
          </w:p>
        </w:tc>
      </w:tr>
      <w:tr>
        <w:trPr>
          <w:trHeight w:val="135"/>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Shareholder’s Net</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5"/>
              </w:rPr>
              <w:t>Total Shareholder’s Net</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6"/>
              </w:rPr>
              <w:t>Noncontrolling</w:t>
            </w:r>
          </w:p>
        </w:tc>
      </w:tr>
      <w:tr>
        <w:trPr>
          <w:trHeight w:val="174"/>
        </w:trPr>
        <w:tc>
          <w:tcPr>
            <w:tcW w:w="4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7"/>
              </w:rPr>
              <w:t>Investment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Investment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8"/>
              </w:rPr>
              <w:t>Interests</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15,316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16,839</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Change in net investment</w:t>
            </w:r>
          </w:p>
        </w:tc>
        <w:tc>
          <w:tcPr>
            <w:tcW w:w="140" w:type="dxa"/>
            <w:vAlign w:val="bottom"/>
          </w:tcPr>
          <w:p>
            <w:pPr>
              <w:spacing w:after="0"/>
              <w:rPr>
                <w:sz w:val="20"/>
                <w:szCs w:val="20"/>
                <w:color w:val="auto"/>
              </w:rPr>
            </w:pPr>
          </w:p>
        </w:tc>
        <w:tc>
          <w:tcPr>
            <w:tcW w:w="1140" w:type="dxa"/>
            <w:vAlign w:val="bottom"/>
          </w:tcPr>
          <w:p>
            <w:pPr>
              <w:jc w:val="right"/>
              <w:ind w:right="45"/>
              <w:spacing w:after="0"/>
              <w:rPr>
                <w:sz w:val="20"/>
                <w:szCs w:val="20"/>
                <w:color w:val="auto"/>
              </w:rPr>
            </w:pPr>
            <w:r>
              <w:rPr>
                <w:rFonts w:ascii="Arial" w:cs="Arial" w:eastAsia="Arial" w:hAnsi="Arial"/>
                <w:sz w:val="16"/>
                <w:szCs w:val="16"/>
                <w:color w:val="auto"/>
              </w:rPr>
              <w:t>1,532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1,532</w:t>
            </w:r>
          </w:p>
        </w:tc>
      </w:tr>
      <w:tr>
        <w:trPr>
          <w:trHeight w:val="33"/>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income tax</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9"/>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6"/>
                <w:szCs w:val="16"/>
                <w:color w:val="auto"/>
              </w:rPr>
              <w:t>1,109</w:t>
            </w:r>
          </w:p>
        </w:tc>
      </w:tr>
      <w:tr>
        <w:trPr>
          <w:trHeight w:val="33"/>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June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15,832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2,632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18,464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18,464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See accompanying notes to the interim condensed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77" w:right="239" w:bottom="1440" w:gutter="0" w:footer="0" w:header="0"/>
        </w:sectPr>
      </w:pPr>
    </w:p>
    <w:bookmarkStart w:id="5" w:name="page6"/>
    <w:bookmarkEnd w:id="5"/>
    <w:p>
      <w:pPr>
        <w:spacing w:after="0" w:line="3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76"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Interim Condensed Combined Statements of Cash Flows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For the Six Months Ended June 30, 2017 and 2016 (Unaudited)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76" w:lineRule="exact"/>
        <w:rPr>
          <w:sz w:val="20"/>
          <w:szCs w:val="20"/>
          <w:color w:val="auto"/>
        </w:rPr>
      </w:pPr>
    </w:p>
    <w:p>
      <w:pPr>
        <w:ind w:left="9580"/>
        <w:spacing w:after="0"/>
        <w:rPr>
          <w:sz w:val="20"/>
          <w:szCs w:val="20"/>
          <w:color w:val="auto"/>
        </w:rPr>
      </w:pPr>
      <w:r>
        <w:rPr>
          <w:rFonts w:ascii="Arial" w:cs="Arial" w:eastAsia="Arial" w:hAnsi="Arial"/>
          <w:sz w:val="13"/>
          <w:szCs w:val="13"/>
          <w:b w:val="1"/>
          <w:bCs w:val="1"/>
          <w:color w:val="auto"/>
        </w:rPr>
        <w:t>Six Months</w:t>
      </w:r>
    </w:p>
    <w:p>
      <w:pPr>
        <w:ind w:left="970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ind w:left="966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10795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1,325</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6,909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18,093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(21,328)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(2,721)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Receipts on loans to affiliates</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(2,361)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6,704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(7,917)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issued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Collateral financing arrangements repaid</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received from MetLife in connection with shareholder's net investment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to MetLife in connection with shareholder's net investment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4,443</w:t>
            </w:r>
          </w:p>
        </w:tc>
        <w:tc>
          <w:tcPr>
            <w:tcW w:w="12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4"/>
                <w:szCs w:val="14"/>
                <w:color w:val="auto"/>
              </w:rPr>
              <w:t>Income tax</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Non-cash transactions: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Transfer of fixed maturity securities from affiliates</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3,478</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mortgage loans from affiliates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short-term investments from affiliates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00"/>
        </w:trPr>
        <w:tc>
          <w:tcPr>
            <w:tcW w:w="83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tcBorders>
              <w:top w:val="single" w:sz="8" w:color="CCEEFF"/>
            </w:tcBorders>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fixed maturity securities to affiliates</w:t>
            </w: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834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combined financial statements.</w:t>
      </w:r>
    </w:p>
    <w:p>
      <w:pPr>
        <w:sectPr>
          <w:pgSz w:w="11900" w:h="16876" w:orient="portrait"/>
          <w:cols w:equalWidth="0" w:num="1">
            <w:col w:w="11420"/>
          </w:cols>
          <w:pgMar w:left="240" w:top="877" w:right="239" w:bottom="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76" w:orient="portrait"/>
          <w:cols w:equalWidth="0" w:num="1">
            <w:col w:w="11420"/>
          </w:cols>
          <w:pgMar w:left="240" w:top="877" w:right="239" w:bottom="0"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and the “Company” refer to Brighthouse Financial, Inc. and its subsidiaries (formerly, MetLife U.S. Retail Separation Business). Brighthouse Financial, Inc. is a holding company formed to own the legal entities that have historically operated a substantial portion of MetLife, Inc.’s former Retail segment. Brighthouse Financial, Inc. was incorporated in Delaware on August 1, 2016 in preparation for MetLife, Inc.’s then-planned separation of a substantial portion of its former Retail segment, as well as certain portions of its Corporate Benefit Funding segment (the “Separation”), which was completed on August 4, 2017.</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12, 2016, MetLife, Inc. (MetLife, Inc., together with its subsidiaries and affiliates, “MetLife”) announced its plan to pursue the separation of a substantial portion of its former U.S. retail business. Additionally, on July 21, 2016, MetLife, Inc. announced that the separated business would be rebranded as “Brighthouse Financial.”</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October 5, 2016, Brighthouse Financial, Inc., which until the completion of the Separation on August 4, 2017, was a wholly-owned subsidiary of MetLife, Inc., filed a registration statement on Form 10 (as amended, the “Form 10”) with the U.S. Securities and Exchange Commission (“SEC”) that was declared effective by the SEC on July 6, 2017. The Form 10 disclosed MetLife, Inc.’s plans to undertake several actions, including an internal reorganization involving its U.S. retail business (the “Restructuring”) and include Brighthouse Life Insurance Company (“Brighthouse Insurance”), Brighthouse Life Insurance Company of NY (“Brighthouse NY”), New England Life Insurance Company (“NELICO”), Brighthouse Reinsurance Company of Delaware (“BRCD”) and Brighthouse Investment Advisers, LLC in the planned separated business and distribute at least 80.1% of the shares of Brighthouse Financial, Inc.’s common stock on a pro rata basis to the holders of MetLife, Inc. common stock. In connection with the Restructuring, effective April 2017, following receipt of applicable regulatory approvals, MetLife, Inc. contributed certain affiliated reinsurance companies and Brighthouse NY to Brighthouse Life Insurance Company. The affiliated reinsurance companies were then merged into BRCD, a licensed reinsurance subsidiary of Brighthouse Life Insurance Company. On July 28, 2017, MetLife, Inc. contributed Brighthouse Holdings, LLC to Brighthouse Financial, Inc. See Notes 10 and 13.</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interim condensed combined financial statements were prepared in connection with the Separation. The financial statements present the combined results of operations, financial condition, and cash flows of Brighthouse Financial, Inc. and its subsidiaries, as well as partnerships and joint ventures in which the Company has control, and variable interest entities (“VIEs”) for which the Company is the primary beneficiary. These financial statements were prepared on a combined basis because the operations were under common control. All intercompany accounts and transactions have been eliminated between the combined entities.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combined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Combination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combined balance sheets include the attribution of certain assets and liabilities that have historically been held at the MetLife corporate level but which are specifically identifiable or attributable to the Company. Similarly, certain assets attributable to shared services managed at the MetLife corporate level have been excluded from the combined balance sheets. The combined statements of operations reflect certain corporate expenses allocated to the Company by MetLife for certain corporate functions and for shared services provided by MetLife. These expenses have been allocated to the Company based on direct usage or benefit where specifically identifiable, with the remainder allocated based upon other reasonable allocation measures. The Company considers the expense methodology and results to be reasonable for all periods presented. See Note 12 for further information on expenses allocated by MetLife.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recorded affiliated transactions with certain MetLife subsidiaries which are not included in the combined financial statements of the Company.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income tax amounts in these combined financial statements have been calculated based on a separate return methodology and presented as if each company was a separate taxpayer in its respective jurisdiction.</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historical financial results in the combined financial statements presented may not be indicative of the results that would have been achieved by the Company had it operated as a separate, stand-alone entity during the periods presented. The combined financial statements presented do not reflect any changes that may occur in the Company’s financing and operations in connection with or as a result of the Separation. Management believes that the combined financial statements include all adjustments necessary for a fair presentation of the business.</w:t>
      </w:r>
    </w:p>
    <w:p>
      <w:pPr>
        <w:spacing w:after="0" w:line="6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accompanying interim condensed combined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2016 combined balance sheet data was derived from audited combined financial statements for the year ended December 31, 2016 included in the Form 10, which include all disclosures required by GAAP. Therefore, these interim condensed combined financial statements should be read in conjunction with the combined financial statements included in the Form 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January 1, 2017, the Company early adopted guidance relating to business combinations. The new guidance clarifies the definition of a business and requires that an entity apply certain criteria in order to determine when a set of assets and activities qualifies as a business. The adoption of this standard will result in fewer acquisitions qualifying as businesses and, accordingly, acquisition costs for those acquisitions that do not qualify as businesses will be capitalized rather than expensed. The adoption did not have an impact on the Company’s combined financial statements.</w:t>
      </w:r>
    </w:p>
    <w:p>
      <w:pPr>
        <w:spacing w:after="0" w:line="6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Effective January 1, 2017, the Company retrospectively adopted guidance relating to consolidation. The new guidance does not change the characteristics of a primary beneficiary under current GAAP. It changes how a reporting entity evaluates whether it is the primary beneficiary of a VIE by changing how a reporting entity that is a single decisionmaker of a VIE handles indirect interests in the entity held through related parties that are under common control with the reporting entity. The adoption of this new guidance did not have a material impact on the Company’s combined financial statements.</w:t>
      </w:r>
    </w:p>
    <w:p>
      <w:pPr>
        <w:spacing w:after="0" w:line="4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January 1, 2017, the Company retrospectively adopted guidance relating to stock-based compensation. The new guidance changes several aspects of the accounting for share-based payment award transactions, including: (i) income tax consequences when awards vest or are settled;</w:t>
      </w:r>
    </w:p>
    <w:p>
      <w:pPr>
        <w:ind w:firstLine="8"/>
        <w:spacing w:after="0" w:line="323" w:lineRule="auto"/>
        <w:tabs>
          <w:tab w:leader="none" w:pos="27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classification of awards as either equity or liabilities due to statutory tax withholding requirements; and (iii) classification on the statement of cash flows. The adoption of this new guidance did not have a material impact on the Company’s combined financial statements, except for expanded disclosures.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January 3, 2017, the Chicago Mercantile Exchange (“CME”) amended its rulebook, resulting in the characterization of variation margin transfers as settlement payments, as opposed to adjustments to collateral. These amendments impacted the accounting treatment of the Company’s centrally cleared derivatives, for which the CME serves as the central clearing party. At the effective date, the application of the amended rulebook, reduced gross derivative assets by $206 million, gross derivative liabilities by $927 million, accrued investment income by $30 million, collateral receivables recorded within premiums, reinsurance and other receivables of $765 million, and collateral payables recorded within payables for collateral under securities loaned and other transactions of $74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2017, the Financial Accounting Standards Board (“FASB”) issued new guidance on share-based payment awards (Accounting Standards Update (“ASU”) 2017-09, </w:t>
      </w:r>
      <w:r>
        <w:rPr>
          <w:rFonts w:ascii="Arial" w:cs="Arial" w:eastAsia="Arial" w:hAnsi="Arial"/>
          <w:sz w:val="18"/>
          <w:szCs w:val="18"/>
          <w:i w:val="1"/>
          <w:iCs w:val="1"/>
          <w:color w:val="auto"/>
        </w:rPr>
        <w:t>Compensation — Stock Compensation (Topic 718) — Scope of Modification Accounting</w:t>
      </w:r>
      <w:r>
        <w:rPr>
          <w:rFonts w:ascii="Arial" w:cs="Arial" w:eastAsia="Arial" w:hAnsi="Arial"/>
          <w:sz w:val="18"/>
          <w:szCs w:val="18"/>
          <w:color w:val="auto"/>
        </w:rPr>
        <w:t>). The new guidance is effective for fiscal years beginning after December 15, 2017 and interim periods within those fiscal years. The new guidance should be applied prospectively to an award modified on or after the adoption date. Early adoption is permitted. The ASU includes guidance on determining which changes to the terms and conditions of share-based payment awards require an entity to apply modification accounting under Topic 718. The Company is currently evaluating the impact of this guidance on its combined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new guidance on purchased callable debt securities (ASU 2017-08,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310-20), Premium Amortization on Purchased Callable Debt Securities</w:t>
      </w:r>
      <w:r>
        <w:rPr>
          <w:rFonts w:ascii="Arial" w:cs="Arial" w:eastAsia="Arial" w:hAnsi="Arial"/>
          <w:sz w:val="18"/>
          <w:szCs w:val="18"/>
          <w:color w:val="auto"/>
        </w:rPr>
        <w:t>). The new guidance is effective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2018 and interim periods within those years and should be applied on a modified retrospective basis through a cumulative-effect adjustment directly to retained earnings. Early adoption is permitted. The ASU shortens the amortization period for certain callable debt securities held at a premium and requires the premium to be amortized to the earliest call date. However, the new guidance does not require an accounting change for securities held at a discount whose discount continues to be amortized to maturity. The Company is currently evaluating the impact of this guidance on its combined financial statements.</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March 2017, the FASB issued new guidance on the presentation of net periodic pension cost and net periodic postretirement benefit cost (ASU 2017-07, </w:t>
      </w:r>
      <w:r>
        <w:rPr>
          <w:rFonts w:ascii="Arial" w:cs="Arial" w:eastAsia="Arial" w:hAnsi="Arial"/>
          <w:sz w:val="17"/>
          <w:szCs w:val="17"/>
          <w:i w:val="1"/>
          <w:iCs w:val="1"/>
          <w:color w:val="auto"/>
        </w:rPr>
        <w:t>Compensation — Retirement Benefits (Topic 715): 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The new guidance is effective for annual periods beginning after December 15, 2017 and interim periods within those annual periods. Early adoption is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at the beginning of an annual period for which financial statements (interim or annual) have not been issued or made available for issuance. The guidance requires that an employer that offers to its employees defined benefit pension or other postretirement benefit plans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The guidance should be applied retrospectively for the presentation of the service cost component in the income statement and allows a practical expedient for the estimation basis for applying the retrospective presentation requirements. The Company is currently evaluating the impact of this guidance on its combined financial statements.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February 2017, the FASB issued new guidance on derecognition of nonfinancial assets (ASU 2017- 05, </w:t>
      </w:r>
      <w:r>
        <w:rPr>
          <w:rFonts w:ascii="Arial" w:cs="Arial" w:eastAsia="Arial" w:hAnsi="Arial"/>
          <w:sz w:val="16"/>
          <w:szCs w:val="16"/>
          <w:i w:val="1"/>
          <w:iCs w:val="1"/>
          <w:color w:val="auto"/>
        </w:rPr>
        <w:t>Other Income-Gains and Losses from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new guidance is effective for fiscal years beginning after December 15, 2017 and interim periods within those years. Early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is permitted for interim or annual reporting periods beginning after December 15, 2016. The guidance may be applied retrospectively for all periods presented or retrospectively with a cumulative-effect adjustment at the date of adoption. The new guidance clarifies the scope and accounting of a financial asset that meets the definition of an “in-substance nonfinancial asset” and defines the term, “in-substance nonfinancial asset.” The ASU also adds guidance for partial sales of nonfinancial assets. The Company is currently evaluating the impact of this guidance on its combined financial statements.</w:t>
      </w:r>
    </w:p>
    <w:p>
      <w:pPr>
        <w:spacing w:after="0" w:line="5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November 2016, the FASB issued new guidance on restricted cash (ASU 2016-18, </w:t>
      </w:r>
      <w:r>
        <w:rPr>
          <w:rFonts w:ascii="Arial" w:cs="Arial" w:eastAsia="Arial" w:hAnsi="Arial"/>
          <w:sz w:val="16"/>
          <w:szCs w:val="16"/>
          <w:i w:val="1"/>
          <w:iCs w:val="1"/>
          <w:color w:val="auto"/>
        </w:rPr>
        <w:t>Statement of Cash Flows (Topic 230): a consensus of 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Issues Task Force)</w:t>
      </w:r>
      <w:r>
        <w:rPr>
          <w:rFonts w:ascii="Arial" w:cs="Arial" w:eastAsia="Arial" w:hAnsi="Arial"/>
          <w:sz w:val="16"/>
          <w:szCs w:val="16"/>
          <w:color w:val="auto"/>
        </w:rPr>
        <w:t>. The new guidance is effective for fiscal years beginning after December 15, 2017 and interim periods within those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and should be applied on a retrospective basis. Early adoption is permitted. The new guidance requires that a statement of cash flows explain the change during the period in the total of cash, cash equivalents, and amounts generally described as restricted cash or restricted cash equivalents. As a result, the new guidance requires that amounts generally described as restricted cash and restricted cash equivalents should be included with cash and cash equivalents when reconciling the beginning-of-period and end-of-period total amounts shown on the statement of cash flows. The new guidance does not provide a definition of restricted cash or restricted cash equivalents. The Company is currently evaluating the impact of this guidance on its combined financial statements.</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October 2016, the FASB issued new guidance on tax accounting for intra-entity transfers of assets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The new guidance is effective for fiscal years beginning after December 15, 2017 and interim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those fiscal years, and should be applied on a modified retrospective basis. Early adoption is permitted in the first interim or annual reporting period. Current guidance prohibits the recognition of current and deferred income taxes for an intra-entity asset transfer until the asset has been sold to an outside party. The new guidance requires an entity to recognize the income tax consequences of an intra-entity transfer of an asset other than inventory when the transfer occurs. Also, the guidance eliminates the exception for an intra-entity transfer of an asset other than inventory. The Company is currently evaluating the impact of this guidance on its combined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2016, the FASB issued new guidance on cash flow statement presentation (ASU 2016-15, </w:t>
      </w:r>
      <w:r>
        <w:rPr>
          <w:rFonts w:ascii="Arial" w:cs="Arial" w:eastAsia="Arial" w:hAnsi="Arial"/>
          <w:sz w:val="18"/>
          <w:szCs w:val="18"/>
          <w:i w:val="1"/>
          <w:iCs w:val="1"/>
          <w:color w:val="auto"/>
        </w:rPr>
        <w:t>Statement of Cash Flows (Topic 230): 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Cash Receipts and Cash Payments)</w:t>
      </w:r>
      <w:r>
        <w:rPr>
          <w:rFonts w:ascii="Arial" w:cs="Arial" w:eastAsia="Arial" w:hAnsi="Arial"/>
          <w:sz w:val="18"/>
          <w:szCs w:val="18"/>
          <w:color w:val="auto"/>
        </w:rPr>
        <w:t>. The new guidance is effective for fiscal years beginning after December 15, 2017 and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fiscal years, and should be applied retrospectively to all periods presented. Early adoption is permitted in any interim or annual period. This ASU addresses diversity in how certain cash receipts and cash payments are presented and classified on the statement of cash flows. The Company is currently evaluating the impact of this guidance on its combined financial statements.</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June 2016, the FASB issued new guidance on measurement of credit losses on financial instruments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The new guidance is effective for fiscal years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interim periods within those fiscal years. Early adoption is permitted for fiscal years, and interim periods within those fiscal years, beginning after December 15, 2018. This ASU replaces the incurred loss impairment methodology with one that reflects expected credit losses. The measurement of expected credit losses should be based on historical loss information, current conditions, and reasonable and supportable forecasts. The new guidance requires that an other-than-temporary impairment (“OTTI”) on a debt security will be recognized as an allowance going forward, such that improvements in expected future cash flows after an impairment will no longer be reflected as a prospective yield adjustment through net investment income, but rather a reversal of the previous impairment and recognized through realized investment gains and losses. The guidance also requires enhanced disclosures. The Company has assessed the asset classes impacted by the new guidance and is currently assessing the accounting and reporting system changes that will be required to comply with the new guidance. The Company believes that the most significant impact upon adoption will be to its mortgage loan investments. The Company is continuing to evaluate the overall impact of the new guidance on its combined financial statements.</w:t>
      </w:r>
    </w:p>
    <w:p>
      <w:pPr>
        <w:spacing w:after="0" w:line="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February 2016, the FASB issued new guidance on leasing transactions (ASU 2016-02, </w:t>
      </w:r>
      <w:r>
        <w:rPr>
          <w:rFonts w:ascii="Arial" w:cs="Arial" w:eastAsia="Arial" w:hAnsi="Arial"/>
          <w:sz w:val="16"/>
          <w:szCs w:val="16"/>
          <w:i w:val="1"/>
          <w:iCs w:val="1"/>
          <w:color w:val="auto"/>
        </w:rPr>
        <w:t>Leases — Topic 842</w:t>
      </w:r>
      <w:r>
        <w:rPr>
          <w:rFonts w:ascii="Arial" w:cs="Arial" w:eastAsia="Arial" w:hAnsi="Arial"/>
          <w:sz w:val="16"/>
          <w:szCs w:val="16"/>
          <w:color w:val="auto"/>
        </w:rPr>
        <w:t>). The new guidance is effective for the fiscal years beginning after December 15, 2018, including interim periods within those fiscal years, and requires a modified retrospective transition approach. Early adoption is permitted. The new guidance requires a lessee to recognize assets and liabilities for leases with lease terms of more than 12 months. Leases would be classified as finance or operating leases and both types of leases will be recognized on the balance sheet. Lessor accounting will remain largely unchanged from current guidance except for certain targeted changes. The new guidance will also require new qualitative and quantitative disclosures. The Company’s implementation efforts are primarily focused on the review of its existing lease contracts as well as identification of other contracts that may fall under the scope of the new guidance. The Company is currently evaluating the impact of this guidance on its combined financial statements.</w:t>
      </w:r>
    </w:p>
    <w:p>
      <w:pPr>
        <w:spacing w:after="0" w:line="5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new guidance (ASU 2016-01, </w:t>
      </w:r>
      <w:r>
        <w:rPr>
          <w:rFonts w:ascii="Arial" w:cs="Arial" w:eastAsia="Arial" w:hAnsi="Arial"/>
          <w:sz w:val="16"/>
          <w:szCs w:val="16"/>
          <w:i w:val="1"/>
          <w:iCs w:val="1"/>
          <w:color w:val="auto"/>
        </w:rPr>
        <w:t>Financial Instruments — Overall: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on the recognition and measurement of financial instruments. The new guidance is effective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2017, including interim periods within those fiscal years. Early adoption is permitted for the instrument-specific credit risk provision. The new guidance changes the current accounting guidance related to (i) the classification and measurement of certain equity investments, (ii) the presentation of changes in the fair value of financial liabilities measured under the fair value option (“FVO”) that are due to instrument-specific credit risk, and (iii) certain disclosures associated with the fair value of financial instruments. Additionally, there will no longer be a requirement to assess equity securities for impairment since such securities will be measured at fair value through net income. The Company has assessed the population of financial instruments that are subject to the new guidance and has determined that the most significant impact will be the requirement to report changes in fair value in net income each reporting period for all equity securities currently classified as available-for-sale (“AFS”) and to a lesser extent, other limited partnership interests and real estate joint ventures that are currently accounted for under the cost method. The population of these investments accounted for under the cost method is not material. The Company is continuing to evaluate the overall impact of this guidance on its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4"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In May 2014, the FASB issued a comprehensive new revenue recognition standard (ASU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effective for fiscal years beginning after December 15, 2017 and interim periods within those years. The guidance may be applied retrospectively for all periods presented or retrospectively with a cumulative-effect adjustment at the date of adoption. The new guidance will supersede nearly all existing revenue recognition guidance under U.S. GAAP; however, it will not impact the accounting for insurance and investment contracts within the scope of Financial Services insurance (Topic 944), leases, financial instruments and guarantees. For those contracts that are impacted, the guidance will require an entity to recognize revenue upon the transfer of promised goods or services to customers in an amount that reflects the consideration to which the entity expects to be entitled, in exchange for those goods or services. Given the scope of the new revenue recognition guidance, the Company does not expect the adoption to have a material impact on its combined revenues or statements of operations, with the Company’s implementation efforts primarily focused on other revenues on the combined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 Also, in the fourth quarter of 2016, the Company moved the universal life policies with secondary guarantees (“ULSG”) business from the Life segment to the Run-off segment. These and certain other presentation changes were applied retrospectively and did not have an impact on total combined net income (loss) or operating earnings in the prior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Annuities segment offers a variety of variable, fixed, index-linked and income annuities designed to address contractholders’ needs for protected wealth accumulation on a tax-deferred basis, wealth transfer and income security.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Life segment offers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Run-off segment consists of products no longer actively sold and which are separately managed, including structured settlements, certain company-owned life insurance policies, bank-owned life insurance policies, funding agreements and ULSG.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and term life insurance sold direct to consumers, which is no longer being offered for new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earnings is used by management to evaluate performance, allocate resources and facilitate comparisons to industry results. The Company believes the presentation of operating earnings, as the Company measures it for management purposes, enhances the understanding of its performance by highlighting the results of operations and the underlying profitability drivers of the business. Consistent with GAAP guidance for segment reporting, operating earnings is also the Company’s GAAP measure of segment performance and is reported below. Operating earnings should not be viewed as a substitute for net income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4" w:right="239" w:bottom="1440" w:gutter="0" w:footer="0" w:header="0"/>
        </w:sectPr>
      </w:pPr>
    </w:p>
    <w:bookmarkStart w:id="11" w:name="page12"/>
    <w:bookmarkEnd w:id="1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earnings is a measure that focuses on the Company’s primary businesses principally by excluding the impact of market volatility, which could distort trends, and revenues and costs related to non-core products and businesses. Non-core businesses include discontinued operations and other businesses that have been or will be sold or exited by the Company, referred to as divested businesses and certain entities required to be consolidated under GAAP.</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revenues in calculating operating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(i) earned income on derivatives and amortization of premium on derivatives that are hedges of investments or that are used to replicate certain investments, but do not qualify for hedge accounting treatment and (ii) earned income on derivatives that are hedges of policyholder account balances but do not qualify for hedge accounting treatment;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amounts related to securitization entities that are VIEs consolidated under GAAP;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from divested businesses.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expenses in calculating operating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 and value of business acquired (“VOBA”) related to: (i) net investment gains (losses) (ii) net derivative gains (losses), (iii) GMIB Fees and GMIB Costs and (iv) Market Value Adjustments;</w:t>
      </w:r>
    </w:p>
    <w:p>
      <w:pPr>
        <w:spacing w:after="0" w:line="62" w:lineRule="exact"/>
        <w:rPr>
          <w:rFonts w:ascii="Arial" w:cs="Arial" w:eastAsia="Arial" w:hAnsi="Arial"/>
          <w:sz w:val="18"/>
          <w:szCs w:val="18"/>
          <w:color w:val="auto"/>
        </w:rPr>
      </w:pPr>
    </w:p>
    <w:p>
      <w:pPr>
        <w:ind w:left="620" w:hanging="274"/>
        <w:spacing w:after="0" w:line="277" w:lineRule="auto"/>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certain contingent assets and liabilities that could not be recognized at acquisition or adjusted for during the measurement period under GAAP business combination accounting guidance;</w:t>
      </w:r>
    </w:p>
    <w:p>
      <w:pPr>
        <w:spacing w:after="0" w:line="62" w:lineRule="exact"/>
        <w:rPr>
          <w:rFonts w:ascii="Arial" w:cs="Arial" w:eastAsia="Arial" w:hAnsi="Arial"/>
          <w:sz w:val="18"/>
          <w:szCs w:val="18"/>
          <w:color w:val="auto"/>
        </w:rPr>
      </w:pPr>
    </w:p>
    <w:p>
      <w:pPr>
        <w:ind w:left="620" w:hanging="274"/>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of divested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related to securitization entities that are VIEs consolidated under GAAP;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(i) implementation of new insurance regulatory requirements and (ii) acquisition and integration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are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in the tables below is certain financial information with respect to the Company’s segments, as well as Corporate &amp; Other, for the three months and six months ended June 30, 2017 and 2016. The segment accounting policies are the same as those used to prepare the Company’s combined financial statements, except for operating earnings adjustments as defined above. In addition, segment accounting policies include the method of capital allocation described below.</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internal capital model is a MetLife developed risk capital model that reflects management’s judgment and view of required capital to represent the measurement of the risk profile of the business, to meet the Company’s long term promises to clients, to service long-term obligations and to support the credit ratings of the Company. It accounts for the unique and specific nature of the risks inherent in the Company’s business. Management is responsible for the ongoing production and enhancement of the internal capital model and reviews its approach periodically to ensure that it remains consistent with emerging industry practice standards. As such, the internal capital allocation methodology in the future may differ from MetLife’s historical model.</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allocates equity to the segments based on the internal capital model and aligns with emerging standards and consistent risk principles.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net investment income is credited or charged based on the level of allocated equity; however, changes in allocated equity do not impact the Company’s combined net investment income or net income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4"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investment income is based upon the actual results of each segment’s specifically identifiable investment portfolios adjusted for allocated equity. Other costs are allocated to each of the segments based upon: (i) a review of the nature of such costs; (ii) time studies analyzing the amount of employee time incurred by each segment; and (iii) cost estimates included in the Company’s product pricing.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34" w:right="25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Operating Results</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Run-off</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&amp; Other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center"/>
              <w:ind w:left="26"/>
              <w:spacing w:after="0"/>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426</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4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630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4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0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311</w:t>
            </w:r>
          </w:p>
        </w:tc>
        <w:tc>
          <w:tcPr>
            <w:tcW w:w="100" w:type="dxa"/>
            <w:vAlign w:val="bottom"/>
          </w:tcPr>
          <w:p>
            <w:pPr>
              <w:spacing w:after="0"/>
              <w:rPr>
                <w:sz w:val="23"/>
                <w:szCs w:val="2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354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7"/>
        </w:trPr>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Operating Results</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Annuities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&amp; 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501</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(476)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143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(160)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358</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(316)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66"/>
        </w:trPr>
        <w:tc>
          <w:tcPr>
            <w:tcW w:w="630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color w:val="auto"/>
              </w:rPr>
              <w:t>(2,973)</w:t>
            </w: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807</w:t>
            </w:r>
          </w:p>
        </w:tc>
        <w:tc>
          <w:tcPr>
            <w:tcW w:w="0" w:type="dxa"/>
            <w:vAlign w:val="bottom"/>
          </w:tcPr>
          <w:p>
            <w:pPr>
              <w:spacing w:after="0"/>
              <w:rPr>
                <w:sz w:val="1"/>
                <w:szCs w:val="1"/>
                <w:color w:val="auto"/>
              </w:rPr>
            </w:pPr>
          </w:p>
        </w:tc>
      </w:tr>
      <w:tr>
        <w:trPr>
          <w:trHeight w:val="24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(1,423)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319</w:t>
            </w: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10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0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240" w:type="dxa"/>
            <w:vAlign w:val="bottom"/>
            <w:gridSpan w:val="3"/>
          </w:tcPr>
          <w:p>
            <w:pPr>
              <w:jc w:val="right"/>
              <w:ind w:right="52"/>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367</w:t>
            </w:r>
          </w:p>
        </w:tc>
        <w:tc>
          <w:tcPr>
            <w:tcW w:w="100" w:type="dxa"/>
            <w:vAlign w:val="bottom"/>
          </w:tcPr>
          <w:p>
            <w:pPr>
              <w:spacing w:after="0"/>
              <w:rPr>
                <w:sz w:val="23"/>
                <w:szCs w:val="2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23"/>
                <w:szCs w:val="23"/>
                <w:color w:val="auto"/>
              </w:rPr>
            </w:pPr>
          </w:p>
        </w:tc>
        <w:tc>
          <w:tcPr>
            <w:tcW w:w="720" w:type="dxa"/>
            <w:vAlign w:val="bottom"/>
          </w:tcPr>
          <w:p>
            <w:pPr>
              <w:jc w:val="right"/>
              <w:ind w:right="126"/>
              <w:spacing w:after="0"/>
              <w:rPr>
                <w:sz w:val="20"/>
                <w:szCs w:val="20"/>
                <w:color w:val="auto"/>
              </w:rPr>
            </w:pPr>
            <w:r>
              <w:rPr>
                <w:rFonts w:ascii="Arial" w:cs="Arial" w:eastAsia="Arial" w:hAnsi="Arial"/>
                <w:sz w:val="15"/>
                <w:szCs w:val="15"/>
                <w:color w:val="auto"/>
              </w:rPr>
              <w:t>353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6"/>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4" w:right="239" w:bottom="1440" w:gutter="0" w:footer="0" w:header="0"/>
        </w:sectPr>
      </w:pPr>
    </w:p>
    <w:bookmarkStart w:id="14" w:name="page15"/>
    <w:bookmarkEnd w:id="1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86"/>
              </w:rPr>
              <w:t>Operating Results</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0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Run-off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&amp; Other</w:t>
            </w:r>
          </w:p>
        </w:tc>
        <w:tc>
          <w:tcPr>
            <w:tcW w:w="200" w:type="dxa"/>
            <w:vAlign w:val="bottom"/>
          </w:tcPr>
          <w:p>
            <w:pPr>
              <w:spacing w:after="0"/>
              <w:rPr>
                <w:sz w:val="15"/>
                <w:szCs w:val="15"/>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Pre-tax operating earnings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623</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169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52</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rPr>
              <w:t>Operating earnings</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44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604</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ind w:left="40"/>
              <w:spacing w:after="0"/>
              <w:rPr>
                <w:sz w:val="20"/>
                <w:szCs w:val="20"/>
                <w:color w:val="auto"/>
              </w:rPr>
            </w:pPr>
            <w:r>
              <w:rPr>
                <w:rFonts w:ascii="Arial" w:cs="Arial" w:eastAsia="Arial" w:hAnsi="Arial"/>
                <w:sz w:val="15"/>
                <w:szCs w:val="15"/>
                <w:color w:val="auto"/>
              </w:rPr>
              <w:t>Adjustments for:</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66"/>
        </w:trPr>
        <w:tc>
          <w:tcPr>
            <w:tcW w:w="6300" w:type="dxa"/>
            <w:vAlign w:val="bottom"/>
            <w:gridSpan w:val="3"/>
          </w:tcPr>
          <w:p>
            <w:pPr>
              <w:ind w:left="40"/>
              <w:spacing w:after="0"/>
              <w:rPr>
                <w:sz w:val="20"/>
                <w:szCs w:val="20"/>
                <w:color w:val="auto"/>
              </w:rPr>
            </w:pPr>
            <w:r>
              <w:rPr>
                <w:rFonts w:ascii="Arial" w:cs="Arial" w:eastAsia="Arial" w:hAnsi="Arial"/>
                <w:sz w:val="15"/>
                <w:szCs w:val="15"/>
                <w:color w:val="auto"/>
              </w:rPr>
              <w:t>Net derivative gains (losses)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00" w:type="dxa"/>
            <w:vAlign w:val="bottom"/>
            <w:gridSpan w:val="3"/>
          </w:tcPr>
          <w:p>
            <w:pPr>
              <w:ind w:left="40"/>
              <w:spacing w:after="0"/>
              <w:rPr>
                <w:sz w:val="20"/>
                <w:szCs w:val="20"/>
                <w:color w:val="auto"/>
              </w:rPr>
            </w:pPr>
            <w:r>
              <w:rPr>
                <w:rFonts w:ascii="Arial" w:cs="Arial" w:eastAsia="Arial" w:hAnsi="Arial"/>
                <w:sz w:val="15"/>
                <w:szCs w:val="15"/>
                <w:color w:val="auto"/>
              </w:rPr>
              <w:t>Interest revenue</w:t>
            </w: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5"/>
              <w:spacing w:after="0"/>
              <w:rPr>
                <w:sz w:val="20"/>
                <w:szCs w:val="20"/>
                <w:color w:val="auto"/>
              </w:rPr>
            </w:pPr>
            <w:r>
              <w:rPr>
                <w:rFonts w:ascii="Arial" w:cs="Arial" w:eastAsia="Arial" w:hAnsi="Arial"/>
                <w:sz w:val="15"/>
                <w:szCs w:val="15"/>
                <w:color w:val="auto"/>
              </w:rPr>
              <w:t>638</w:t>
            </w:r>
          </w:p>
        </w:tc>
        <w:tc>
          <w:tcPr>
            <w:tcW w:w="100" w:type="dxa"/>
            <w:vAlign w:val="bottom"/>
          </w:tcPr>
          <w:p>
            <w:pPr>
              <w:spacing w:after="0"/>
              <w:rPr>
                <w:sz w:val="23"/>
                <w:szCs w:val="23"/>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5"/>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23"/>
                <w:szCs w:val="23"/>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6"/>
              <w:spacing w:after="0"/>
              <w:rPr>
                <w:sz w:val="20"/>
                <w:szCs w:val="20"/>
                <w:color w:val="auto"/>
              </w:rPr>
            </w:pPr>
            <w:r>
              <w:rPr>
                <w:rFonts w:ascii="Arial" w:cs="Arial" w:eastAsia="Arial" w:hAnsi="Arial"/>
                <w:sz w:val="15"/>
                <w:szCs w:val="15"/>
                <w:color w:val="auto"/>
              </w:rPr>
              <w:t>712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86"/>
              <w:spacing w:after="0"/>
              <w:rPr>
                <w:sz w:val="20"/>
                <w:szCs w:val="20"/>
                <w:color w:val="auto"/>
              </w:rPr>
            </w:pPr>
            <w:r>
              <w:rPr>
                <w:rFonts w:ascii="Arial" w:cs="Arial" w:eastAsia="Arial" w:hAnsi="Arial"/>
                <w:sz w:val="15"/>
                <w:szCs w:val="15"/>
                <w:color w:val="auto"/>
              </w:rPr>
              <w:t>124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58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7"/>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6"/>
              </w:rPr>
              <w:t>Operating Results</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0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Run-off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&amp; Other</w:t>
            </w:r>
          </w:p>
        </w:tc>
        <w:tc>
          <w:tcPr>
            <w:tcW w:w="200" w:type="dxa"/>
            <w:vAlign w:val="bottom"/>
          </w:tcPr>
          <w:p>
            <w:pPr>
              <w:spacing w:after="0"/>
              <w:rPr>
                <w:sz w:val="15"/>
                <w:szCs w:val="15"/>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Pre-tax operating earnings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841</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228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41"/>
        </w:trPr>
        <w:tc>
          <w:tcPr>
            <w:tcW w:w="630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Operating earnings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613</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5"/>
                <w:szCs w:val="15"/>
                <w:color w:val="auto"/>
              </w:rPr>
              <w:t>Adjustments for:</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66"/>
        </w:trPr>
        <w:tc>
          <w:tcPr>
            <w:tcW w:w="6300" w:type="dxa"/>
            <w:vAlign w:val="bottom"/>
            <w:gridSpan w:val="3"/>
          </w:tcPr>
          <w:p>
            <w:pPr>
              <w:ind w:left="40"/>
              <w:spacing w:after="0"/>
              <w:rPr>
                <w:sz w:val="20"/>
                <w:szCs w:val="20"/>
                <w:color w:val="auto"/>
              </w:rPr>
            </w:pPr>
            <w:r>
              <w:rPr>
                <w:rFonts w:ascii="Arial" w:cs="Arial" w:eastAsia="Arial" w:hAnsi="Arial"/>
                <w:sz w:val="15"/>
                <w:szCs w:val="15"/>
                <w:color w:val="auto"/>
              </w:rPr>
              <w:t>Net derivative gains (losses)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(2,680)</w:t>
            </w: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266"/>
        </w:trPr>
        <w:tc>
          <w:tcPr>
            <w:tcW w:w="6300" w:type="dxa"/>
            <w:vAlign w:val="bottom"/>
            <w:tcBorders>
              <w:bottom w:val="single" w:sz="8" w:color="CCEEFF"/>
            </w:tcBorders>
            <w:gridSpan w:val="3"/>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241"/>
        </w:trPr>
        <w:tc>
          <w:tcPr>
            <w:tcW w:w="6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382</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00" w:type="dxa"/>
            <w:vAlign w:val="bottom"/>
            <w:gridSpan w:val="3"/>
          </w:tcPr>
          <w:p>
            <w:pPr>
              <w:ind w:left="40"/>
              <w:spacing w:after="0"/>
              <w:rPr>
                <w:sz w:val="20"/>
                <w:szCs w:val="20"/>
                <w:color w:val="auto"/>
              </w:rPr>
            </w:pPr>
            <w:r>
              <w:rPr>
                <w:rFonts w:ascii="Arial" w:cs="Arial" w:eastAsia="Arial" w:hAnsi="Arial"/>
                <w:sz w:val="15"/>
                <w:szCs w:val="15"/>
                <w:color w:val="auto"/>
              </w:rPr>
              <w:t>Interest revenue</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705</w:t>
            </w:r>
          </w:p>
        </w:tc>
        <w:tc>
          <w:tcPr>
            <w:tcW w:w="100" w:type="dxa"/>
            <w:vAlign w:val="bottom"/>
          </w:tcPr>
          <w:p>
            <w:pPr>
              <w:spacing w:after="0"/>
              <w:rPr>
                <w:sz w:val="23"/>
                <w:szCs w:val="23"/>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23"/>
                <w:szCs w:val="23"/>
                <w:color w:val="auto"/>
              </w:rPr>
            </w:pP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698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0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left="492"/>
              <w:spacing w:after="0"/>
              <w:rPr>
                <w:sz w:val="20"/>
                <w:szCs w:val="20"/>
                <w:color w:val="auto"/>
              </w:rPr>
            </w:pPr>
            <w:r>
              <w:rPr>
                <w:rFonts w:ascii="Arial" w:cs="Arial" w:eastAsia="Arial" w:hAnsi="Arial"/>
                <w:sz w:val="13"/>
                <w:szCs w:val="13"/>
                <w:b w:val="1"/>
                <w:bCs w:val="1"/>
                <w:color w:val="auto"/>
                <w:w w:val="91"/>
              </w:rPr>
              <w:t>Three Months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left="452"/>
              <w:spacing w:after="0"/>
              <w:rPr>
                <w:sz w:val="20"/>
                <w:szCs w:val="20"/>
                <w:color w:val="auto"/>
              </w:rPr>
            </w:pPr>
            <w:r>
              <w:rPr>
                <w:rFonts w:ascii="Arial" w:cs="Arial" w:eastAsia="Arial" w:hAnsi="Arial"/>
                <w:sz w:val="13"/>
                <w:szCs w:val="13"/>
                <w:b w:val="1"/>
                <w:bCs w:val="1"/>
                <w:color w:val="auto"/>
                <w:w w:val="86"/>
              </w:rPr>
              <w:t>Six Months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jc w:val="center"/>
              <w:ind w:left="452"/>
              <w:spacing w:after="0" w:line="135" w:lineRule="exact"/>
              <w:rPr>
                <w:sz w:val="20"/>
                <w:szCs w:val="20"/>
                <w:color w:val="auto"/>
              </w:rPr>
            </w:pPr>
            <w:r>
              <w:rPr>
                <w:rFonts w:ascii="Arial" w:cs="Arial" w:eastAsia="Arial" w:hAnsi="Arial"/>
                <w:sz w:val="13"/>
                <w:szCs w:val="13"/>
                <w:b w:val="1"/>
                <w:bCs w:val="1"/>
                <w:color w:val="auto"/>
                <w:w w:val="85"/>
              </w:rPr>
              <w:t>Ended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tcPr>
          <w:p>
            <w:pPr>
              <w:jc w:val="center"/>
              <w:ind w:left="412"/>
              <w:spacing w:after="0" w:line="135" w:lineRule="exact"/>
              <w:rPr>
                <w:sz w:val="20"/>
                <w:szCs w:val="20"/>
                <w:color w:val="auto"/>
              </w:rPr>
            </w:pPr>
            <w:r>
              <w:rPr>
                <w:rFonts w:ascii="Arial" w:cs="Arial" w:eastAsia="Arial" w:hAnsi="Arial"/>
                <w:sz w:val="13"/>
                <w:szCs w:val="13"/>
                <w:b w:val="1"/>
                <w:bCs w:val="1"/>
                <w:color w:val="auto"/>
                <w:w w:val="90"/>
              </w:rPr>
              <w:t>Ended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3"/>
                <w:szCs w:val="13"/>
                <w:b w:val="1"/>
                <w:bCs w:val="1"/>
                <w:color w:val="auto"/>
                <w:w w:val="88"/>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3"/>
                <w:szCs w:val="13"/>
                <w:b w:val="1"/>
                <w:bCs w:val="1"/>
                <w:color w:val="auto"/>
                <w:w w:val="84"/>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9"/>
        </w:trPr>
        <w:tc>
          <w:tcPr>
            <w:tcW w:w="6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Annuities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Life</w:t>
            </w:r>
          </w:p>
        </w:tc>
        <w:tc>
          <w:tcPr>
            <w:tcW w:w="300" w:type="dxa"/>
            <w:vAlign w:val="bottom"/>
          </w:tcPr>
          <w:p>
            <w:pPr>
              <w:spacing w:after="0"/>
              <w:rPr>
                <w:sz w:val="16"/>
                <w:szCs w:val="16"/>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Run-off</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Corporate &amp; Other</w:t>
            </w:r>
          </w:p>
        </w:tc>
        <w:tc>
          <w:tcPr>
            <w:tcW w:w="300" w:type="dxa"/>
            <w:vAlign w:val="bottom"/>
          </w:tcPr>
          <w:p>
            <w:pPr>
              <w:spacing w:after="0"/>
              <w:rPr>
                <w:sz w:val="16"/>
                <w:szCs w:val="16"/>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200"/>
              <w:spacing w:after="0"/>
              <w:rPr>
                <w:sz w:val="20"/>
                <w:szCs w:val="20"/>
                <w:color w:val="auto"/>
              </w:rPr>
            </w:pPr>
            <w:r>
              <w:rPr>
                <w:rFonts w:ascii="Arial" w:cs="Arial" w:eastAsia="Arial" w:hAnsi="Arial"/>
                <w:sz w:val="14"/>
                <w:szCs w:val="14"/>
                <w:color w:val="auto"/>
              </w:rPr>
              <w:t>Total</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2,990</w:t>
            </w:r>
          </w:p>
        </w:tc>
        <w:tc>
          <w:tcPr>
            <w:tcW w:w="12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906"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34" w:right="239" w:bottom="906" w:gutter="0" w:footer="0" w:header="0"/>
          <w:type w:val="continuous"/>
        </w:sectPr>
      </w:pPr>
    </w:p>
    <w:bookmarkStart w:id="15" w:name="page16"/>
    <w:bookmarkEnd w:id="1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2016</w:t>
            </w:r>
          </w:p>
        </w:tc>
      </w:tr>
      <w:tr>
        <w:trPr>
          <w:trHeight w:val="196"/>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151,709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152,146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15,705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17,150</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41,261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15,653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12,627</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224,328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221,930</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4 of the Notes to the Combined Financial Statements included in the Form 10, the Company issues variable annuity products with guaranteed minimum benefits. Guaranteed minimum accumulation benefits (“GMABs”), the non-life 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contractholder a secondary guarantee.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488"/>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In the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gridSpan w:val="2"/>
          </w:tcPr>
          <w:p>
            <w:pPr>
              <w:jc w:val="right"/>
              <w:ind w:right="880"/>
              <w:spacing w:after="0" w:line="153" w:lineRule="exact"/>
              <w:rPr>
                <w:sz w:val="20"/>
                <w:szCs w:val="20"/>
                <w:color w:val="auto"/>
              </w:rPr>
            </w:pPr>
            <w:r>
              <w:rPr>
                <w:rFonts w:ascii="Arial" w:cs="Arial" w:eastAsia="Arial" w:hAnsi="Arial"/>
                <w:sz w:val="14"/>
                <w:szCs w:val="14"/>
                <w:b w:val="1"/>
                <w:bCs w:val="1"/>
                <w:color w:val="auto"/>
              </w:rPr>
              <w:t>At</w:t>
            </w:r>
          </w:p>
        </w:tc>
      </w:tr>
      <w:tr>
        <w:trPr>
          <w:trHeight w:val="192"/>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4"/>
              </w:rPr>
              <w:t>Annuitization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w w:val="95"/>
              </w:rPr>
              <w:t>Event of Death</w:t>
            </w:r>
          </w:p>
        </w:tc>
        <w:tc>
          <w:tcPr>
            <w:tcW w:w="140" w:type="dxa"/>
            <w:vAlign w:val="bottom"/>
          </w:tcPr>
          <w:p>
            <w:pPr>
              <w:spacing w:after="0"/>
              <w:rPr>
                <w:sz w:val="16"/>
                <w:szCs w:val="16"/>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Annuitization</w:t>
            </w:r>
          </w:p>
        </w:tc>
      </w:tr>
      <w:tr>
        <w:trPr>
          <w:trHeight w:val="250"/>
        </w:trPr>
        <w:tc>
          <w:tcPr>
            <w:tcW w:w="48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114,981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65,899</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111,719</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64,503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109,827</w:t>
            </w:r>
          </w:p>
        </w:tc>
        <w:tc>
          <w:tcPr>
            <w:tcW w:w="3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8"/>
              <w:spacing w:after="0"/>
              <w:rPr>
                <w:sz w:val="20"/>
                <w:szCs w:val="20"/>
                <w:color w:val="auto"/>
              </w:rPr>
            </w:pPr>
            <w:r>
              <w:rPr>
                <w:rFonts w:ascii="Arial" w:cs="Arial" w:eastAsia="Arial" w:hAnsi="Arial"/>
                <w:sz w:val="16"/>
                <w:szCs w:val="16"/>
                <w:color w:val="auto"/>
              </w:rPr>
              <w:t>64,505</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106,759</w:t>
            </w:r>
          </w:p>
        </w:tc>
        <w:tc>
          <w:tcPr>
            <w:tcW w:w="140" w:type="dxa"/>
            <w:vAlign w:val="bottom"/>
          </w:tcPr>
          <w:p>
            <w:pPr>
              <w:spacing w:after="0"/>
              <w:rPr>
                <w:sz w:val="20"/>
                <w:szCs w:val="20"/>
                <w:color w:val="auto"/>
              </w:rPr>
            </w:pPr>
          </w:p>
        </w:tc>
        <w:tc>
          <w:tcPr>
            <w:tcW w:w="7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63,025</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2,893</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6,837</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(4) $</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3,313  (5)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6"/>
                <w:szCs w:val="16"/>
                <w:color w:val="auto"/>
              </w:rPr>
              <w:t>67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 years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67 years</w:t>
            </w:r>
          </w:p>
        </w:tc>
      </w:tr>
      <w:tr>
        <w:trPr>
          <w:trHeight w:val="54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4"/>
                <w:szCs w:val="14"/>
                <w:b w:val="1"/>
                <w:bCs w:val="1"/>
                <w:color w:val="auto"/>
                <w:w w:val="96"/>
              </w:rPr>
              <w:t>June 30, 2017</w:t>
            </w: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Secondary Guarantees</w:t>
            </w: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rPr>
              <w:t>(Dollars in millions)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Universal and Variable Life Contracts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9,453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9,326</w:t>
            </w: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 (6)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101,677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102,635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policyholders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59 years</w:t>
            </w:r>
          </w:p>
        </w:tc>
      </w:tr>
      <w:tr>
        <w:trPr>
          <w:trHeight w:val="197"/>
        </w:trPr>
        <w:tc>
          <w:tcPr>
            <w:tcW w:w="4800" w:type="dxa"/>
            <w:vAlign w:val="bottom"/>
          </w:tcPr>
          <w:p>
            <w:pPr>
              <w:spacing w:after="0"/>
              <w:rPr>
                <w:sz w:val="20"/>
                <w:szCs w:val="20"/>
                <w:color w:val="auto"/>
              </w:rPr>
            </w:pPr>
            <w:r>
              <w:rPr>
                <w:rFonts w:ascii="Arial" w:cs="Arial" w:eastAsia="Arial" w:hAnsi="Arial"/>
                <w:sz w:val="14"/>
                <w:szCs w:val="14"/>
                <w:color w:val="auto"/>
              </w:rPr>
              <w:t>__________________</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92"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6 of the Notes to the Combined Financial Statements included in the Form 10 for a discussion of certain living and death benefit guarantees which have been reinsured.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contractholder’s investments in the general account and separate account, if applicable.</w:t>
      </w:r>
    </w:p>
    <w:p>
      <w:pPr>
        <w:sectPr>
          <w:pgSz w:w="11900" w:h="16838" w:orient="portrait"/>
          <w:cols w:equalWidth="0" w:num="1">
            <w:col w:w="11420"/>
          </w:cols>
          <w:pgMar w:left="240" w:top="23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34" w:right="239" w:bottom="1440" w:gutter="0" w:footer="0" w:header="0"/>
          <w:type w:val="continuous"/>
        </w:sectPr>
      </w:pPr>
    </w:p>
    <w:bookmarkStart w:id="16" w:name="page17"/>
    <w:bookmarkEnd w:id="1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64" w:lineRule="exact"/>
        <w:rPr>
          <w:sz w:val="20"/>
          <w:szCs w:val="20"/>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contractholders were to annuitize on the balance sheet date, even though the contracts contain terms that allow annuitization of the guaranteed amount only after the 10th anniversary of the contract, which not all contractholders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ectPr>
          <w:pgSz w:w="11900" w:h="16838" w:orient="portrait"/>
          <w:cols w:equalWidth="0" w:num="1">
            <w:col w:w="11420"/>
          </w:cols>
          <w:pgMar w:left="240" w:top="288" w:right="2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for Unpaid Claims and Claim Expenses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Rollforward of Claims and Claim Adjustment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regarding the liabilities for unpaid claims and claim adjustment expenses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December 31 of prior period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Reinsurance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balance at December 31 of prior period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adjustment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balance,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Current period</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Prior periods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incurred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Current period</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Add: Reinsurance recoverables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end of period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Six Months</w:t>
      </w:r>
    </w:p>
    <w:p>
      <w:pPr>
        <w:ind w:left="88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2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1"/>
                <w:szCs w:val="21"/>
                <w:color w:val="auto"/>
              </w:rPr>
            </w:pPr>
          </w:p>
        </w:tc>
      </w:tr>
      <w:tr>
        <w:trPr>
          <w:trHeight w:val="249"/>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1,719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1,565</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154</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89</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243</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516</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489</w:t>
            </w:r>
          </w:p>
        </w:tc>
      </w:tr>
      <w:tr>
        <w:trPr>
          <w:trHeight w:val="33"/>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ind w:left="1760" w:hanging="1126"/>
        <w:spacing w:after="0"/>
        <w:tabs>
          <w:tab w:leader="none" w:pos="1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(343)</w:t>
      </w:r>
    </w:p>
    <w:p>
      <w:pPr>
        <w:spacing w:after="0" w:line="86" w:lineRule="exact"/>
        <w:rPr>
          <w:sz w:val="20"/>
          <w:szCs w:val="20"/>
          <w:color w:val="auto"/>
        </w:rPr>
      </w:pPr>
    </w:p>
    <w:p>
      <w:pPr>
        <w:ind w:left="1760" w:hanging="1045"/>
        <w:spacing w:after="0"/>
        <w:tabs>
          <w:tab w:leader="none" w:pos="1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(122)</w:t>
      </w:r>
    </w:p>
    <w:p>
      <w:pPr>
        <w:spacing w:after="0" w:line="86" w:lineRule="exact"/>
        <w:rPr>
          <w:sz w:val="20"/>
          <w:szCs w:val="20"/>
          <w:color w:val="auto"/>
        </w:rPr>
      </w:pPr>
    </w:p>
    <w:p>
      <w:pPr>
        <w:ind w:left="1760" w:hanging="1126"/>
        <w:spacing w:after="0"/>
        <w:tabs>
          <w:tab w:leader="none" w:pos="1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6"/>
          <w:szCs w:val="16"/>
          <w:color w:val="auto"/>
        </w:rPr>
        <w:t>196</w:t>
      </w:r>
      <w:r>
        <w:rPr>
          <w:sz w:val="20"/>
          <w:szCs w:val="20"/>
          <w:color w:val="auto"/>
        </w:rPr>
        <w:tab/>
      </w:r>
      <w:r>
        <w:rPr>
          <w:rFonts w:ascii="Arial" w:cs="Arial" w:eastAsia="Arial" w:hAnsi="Arial"/>
          <w:sz w:val="16"/>
          <w:szCs w:val="16"/>
          <w:color w:val="auto"/>
        </w:rPr>
        <w:t>267</w:t>
      </w:r>
    </w:p>
    <w:p>
      <w:pPr>
        <w:spacing w:after="0" w:line="8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6"/>
          <w:szCs w:val="16"/>
          <w:color w:val="auto"/>
        </w:rPr>
        <w:t>1,845</w:t>
      </w:r>
      <w:r>
        <w:rPr>
          <w:sz w:val="20"/>
          <w:szCs w:val="20"/>
          <w:color w:val="auto"/>
        </w:rPr>
        <w:tab/>
      </w:r>
      <w:r>
        <w:rPr>
          <w:rFonts w:ascii="Arial" w:cs="Arial" w:eastAsia="Arial" w:hAnsi="Arial"/>
          <w:sz w:val="16"/>
          <w:szCs w:val="16"/>
          <w:color w:val="auto"/>
        </w:rPr>
        <w:t>1,659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540" w:val="left"/>
          <w:tab w:leader="none" w:pos="1160" w:val="left"/>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2,041</w:t>
        <w:tab/>
        <w:t>$</w:t>
      </w:r>
      <w:r>
        <w:rPr>
          <w:sz w:val="20"/>
          <w:szCs w:val="20"/>
          <w:color w:val="auto"/>
        </w:rPr>
        <w:tab/>
      </w:r>
      <w:r>
        <w:rPr>
          <w:rFonts w:ascii="Arial" w:cs="Arial" w:eastAsia="Arial" w:hAnsi="Arial"/>
          <w:sz w:val="15"/>
          <w:szCs w:val="15"/>
          <w:color w:val="auto"/>
        </w:rPr>
        <w:t>1,926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3722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2603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8540" w:space="720"/>
            <w:col w:w="2160"/>
          </w:cols>
          <w:pgMar w:left="240" w:top="288" w:right="239" w:bottom="1440" w:gutter="0" w:footer="0" w:header="0"/>
          <w:type w:val="continuous"/>
        </w:sect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accumulated adjustment, net of reinsurance, upon implementation of the new short-duration contracts guidance which clarified the requirement to include claim information for long-duration contracts. The accumulated adjustment primarily reflects unpaid claim liabilities, net of reinsurance, for long-duration contracts as of the beginning of the period presented.</w:t>
      </w:r>
    </w:p>
    <w:p>
      <w:pPr>
        <w:spacing w:after="0" w:line="7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six months ended June 30, 2017 and 2016, the claims and claim adjustment expenses associated with prior years changed due to differences between the actual benefits paid and the expected benefits owed during those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8" w:right="2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and Equity Securities Available-for-Sale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and Equity Securities Available-for-Sale by Sector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table presents the fixed maturity and equity securities AFS by sector. Redeemable preferred stock is reported within U.S. corporate and foreign corporate fixed maturity securities and non-redeemable preferred stock is reported within equity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June 30, 2017</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2016</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Cost or</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Cost or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20,837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22,412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21,278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1,324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22,311</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13,959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15,511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12,032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13,090</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7,973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8,168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7,961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6,395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6,627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3,299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2,238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2,654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59,277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4,683</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63,507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58,715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3,619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150"/>
        </w:trPr>
        <w:tc>
          <w:tcPr>
            <w:tcW w:w="24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Equity securities:</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Non-redeemable preferred stock</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Arial" w:cs="Arial" w:eastAsia="Arial" w:hAnsi="Arial"/>
                <w:sz w:val="14"/>
                <w:szCs w:val="14"/>
                <w:color w:val="auto"/>
              </w:rPr>
              <w:t>Total equity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Noncredit OTTI losses included in accumulated other comprehensive income (“AOCI”) in an unrealized gain position are due to increases in estimated fair value subsequent to initial recognition of noncredit losses on such securities. See also “— Net Unrealized Investment Gains (Losses).”</w:t>
      </w:r>
    </w:p>
    <w:p>
      <w:pPr>
        <w:spacing w:after="0" w:line="16"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less than $1 million and $5 million with unrealized gains (losses) of less than ($1) million and less than $1 million at June 30, 2017 and December 31,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and estimated fair value of fixed maturity securities, by contractual maturity date, were as follows at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Due After One</w:t>
            </w:r>
          </w:p>
        </w:tc>
        <w:tc>
          <w:tcPr>
            <w:tcW w:w="24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240" w:type="dxa"/>
            <w:vAlign w:val="bottom"/>
          </w:tcPr>
          <w:p>
            <w:pPr>
              <w:spacing w:after="0"/>
              <w:rPr>
                <w:sz w:val="12"/>
                <w:szCs w:val="12"/>
                <w:color w:val="auto"/>
              </w:rPr>
            </w:pPr>
          </w:p>
        </w:tc>
        <w:tc>
          <w:tcPr>
            <w:tcW w:w="1160" w:type="dxa"/>
            <w:vAlign w:val="bottom"/>
          </w:tcPr>
          <w:p>
            <w:pPr>
              <w:jc w:val="right"/>
              <w:ind w:right="424"/>
              <w:spacing w:after="0" w:line="149"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Five Years</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Through Ten 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11,680</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9,720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22,664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59,277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1,780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12,110</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10,019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25,893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13,705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63,507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and Equity Securities AFS by Sector</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and equity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3"/>
                <w:szCs w:val="13"/>
                <w:b w:val="1"/>
                <w:bCs w:val="1"/>
                <w:color w:val="auto"/>
              </w:rPr>
              <w:t>June 30, 2017</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December 31, 2016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5"/>
          </w:tcPr>
          <w:p>
            <w:pPr>
              <w:ind w:left="400"/>
              <w:spacing w:after="0" w:line="144" w:lineRule="exact"/>
              <w:rPr>
                <w:sz w:val="20"/>
                <w:szCs w:val="20"/>
                <w:color w:val="auto"/>
              </w:rPr>
            </w:pPr>
            <w:r>
              <w:rPr>
                <w:rFonts w:ascii="Arial" w:cs="Arial" w:eastAsia="Arial" w:hAnsi="Arial"/>
                <w:sz w:val="13"/>
                <w:szCs w:val="13"/>
                <w:b w:val="1"/>
                <w:bCs w:val="1"/>
                <w:color w:val="auto"/>
              </w:rPr>
              <w:t>Equal to or Greater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4"/>
          </w:tcPr>
          <w:p>
            <w:pPr>
              <w:jc w:val="right"/>
              <w:ind w:right="450"/>
              <w:spacing w:after="0" w:line="144" w:lineRule="exact"/>
              <w:rPr>
                <w:sz w:val="20"/>
                <w:szCs w:val="20"/>
                <w:color w:val="auto"/>
              </w:rPr>
            </w:pPr>
            <w:r>
              <w:rPr>
                <w:rFonts w:ascii="Arial" w:cs="Arial" w:eastAsia="Arial" w:hAnsi="Arial"/>
                <w:sz w:val="13"/>
                <w:szCs w:val="13"/>
                <w:b w:val="1"/>
                <w:bCs w:val="1"/>
                <w:color w:val="auto"/>
              </w:rPr>
              <w:t>Equal to or Greater</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3"/>
                <w:szCs w:val="13"/>
                <w:b w:val="1"/>
                <w:bCs w:val="1"/>
                <w:color w:val="auto"/>
              </w:rPr>
              <w:t>than 12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than 12 Months</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88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40" w:type="dxa"/>
            <w:vAlign w:val="bottom"/>
          </w:tcPr>
          <w:p>
            <w:pPr>
              <w:jc w:val="center"/>
              <w:ind w:right="11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1"/>
                <w:szCs w:val="11"/>
                <w:color w:val="auto"/>
              </w:rPr>
            </w:pPr>
          </w:p>
        </w:tc>
        <w:tc>
          <w:tcPr>
            <w:tcW w:w="8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jc w:val="right"/>
              <w:ind w:right="470"/>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2,842</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529</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4,676</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745</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2,853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5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13,546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2,018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17,244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2,863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50"/>
        </w:trPr>
        <w:tc>
          <w:tcPr>
            <w:tcW w:w="25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Equity securities: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Non-redeemable preferred stock</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22</w:t>
            </w:r>
          </w:p>
        </w:tc>
        <w:tc>
          <w:tcPr>
            <w:tcW w:w="12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57</w:t>
            </w:r>
          </w:p>
        </w:tc>
        <w:tc>
          <w:tcPr>
            <w:tcW w:w="10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40</w:t>
            </w:r>
          </w:p>
        </w:tc>
        <w:tc>
          <w:tcPr>
            <w:tcW w:w="10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25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40"/>
              <w:spacing w:after="0" w:line="157" w:lineRule="exact"/>
              <w:rPr>
                <w:sz w:val="20"/>
                <w:szCs w:val="20"/>
                <w:color w:val="auto"/>
              </w:rPr>
            </w:pPr>
            <w:r>
              <w:rPr>
                <w:rFonts w:ascii="Arial" w:cs="Arial" w:eastAsia="Arial" w:hAnsi="Arial"/>
                <w:sz w:val="14"/>
                <w:szCs w:val="14"/>
                <w:color w:val="auto"/>
              </w:rPr>
              <w:t>Total number of securities in 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00"/>
              <w:spacing w:after="0"/>
              <w:rPr>
                <w:sz w:val="20"/>
                <w:szCs w:val="20"/>
                <w:color w:val="auto"/>
              </w:rPr>
            </w:pPr>
            <w:r>
              <w:rPr>
                <w:rFonts w:ascii="Arial" w:cs="Arial" w:eastAsia="Arial" w:hAnsi="Arial"/>
                <w:sz w:val="14"/>
                <w:szCs w:val="14"/>
                <w:color w:val="auto"/>
              </w:rPr>
              <w:t>unrealized loss position</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As described more fully in Notes 1 and 7 of the Notes to the Combined Financial Statements included in the Form 10, the Company performs a regular evaluation of all investment classes for impairment, including fixed maturity securities, equity securities and perpetual hybrid securities, in accordance with its impairment policy, in order to evaluate whether such investments are other-than-temporarily impaired.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June 30, 2017. Future OTTI will depend primarily on economic fundamentals, issuer performance (including changes in the present value of future cash flows expected to be collected), changes in credit ratings, collateral valuation, interest rates and credit spreads, as well as a change in the Company’s intention to hold or sell a security that is in an unrealized loss position. If economic fundamentals deteriorate or if there are adverse changes in the above factors, OTTI may be incurred in upcoming periods.</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decreased $493 million during the six months ended June 30, 2017 to $453 million. The decrease in gross unrealized losses for the six months ended June 30, 2017 was primarily attributable to narrowing credit spreads and decreasing longer-term interest rates.</w:t>
      </w:r>
    </w:p>
    <w:p>
      <w:pPr>
        <w:spacing w:after="0" w:line="73"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At June 30, 2017, $5 million of the total $453 million of gross unrealized losses were from nine fixed maturity securities with an unrealized loss position of 20% or more of amortized cost for six months or greater.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gross unrealized losses on equity securities was not significant during the six months ended June 30,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 Grade Fixed Maturity Securities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Of the $5 million of gross unrealized losses on fixed maturity securities with an unrealized loss of 20% or more of amortized cost for six months or greater, $4 million, or 80%, were related to gross unrealized losses on three investment grade fixed maturity securities. Unrealized losses on investment grade fixed maturity securities are principally related to widening credit spreads since purchase and, with respect to fixed-rate fixed maturity securities, rising interest rates since purchase.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Below Investment Grade Fixed Maturity Securities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Of the $5 million of gross unrealized losses on fixed maturity securities with an unrealized loss of 20% or more of amortized cost for six months or greater, $1 million, or 20%, were related to gross unrealized losses on six below investment grade fixed maturity securities. Unrealized losses on below investment grade fixed maturity securities are principally related to U.S. and foreign corporate securities (primarily industrial securities) and are the result of significantly wider credit spreads resulting from higher risk premiums since purchase, largely due to economic and market uncertainties including concerns over lower oil prices in the energy sector. Management evaluates U.S. and foreign corporate securities based on factors such as expected cash flows and the financial condition and near-term and long-term prospects of the issuers.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6"/>
              </w:rPr>
              <w:t>June 30, 2017</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center"/>
              <w:ind w:right="740"/>
              <w:spacing w:after="0" w:line="153" w:lineRule="exact"/>
              <w:rPr>
                <w:sz w:val="20"/>
                <w:szCs w:val="20"/>
                <w:color w:val="auto"/>
              </w:rPr>
            </w:pPr>
            <w:r>
              <w:rPr>
                <w:rFonts w:ascii="Arial" w:cs="Arial" w:eastAsia="Arial" w:hAnsi="Arial"/>
                <w:sz w:val="14"/>
                <w:szCs w:val="14"/>
                <w:b w:val="1"/>
                <w:bCs w:val="1"/>
                <w:color w:val="auto"/>
              </w:rPr>
              <w:t>Carrying</w:t>
            </w: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6,959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67.8 %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6,523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69.6 %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9,282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mortgage loans, net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10,140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 mortgage loans held by CSEs — FVO</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mortgage loans were $147 million and $307 million for the three months and six months ended June 30, 2017, respectively, and were primarily comprised of residential mortgage loans. Purchases of mortgage loans were $192 million and $231 million for the three months and six months ended June 30, 2016, respectively, and were primarily comprised of residential mortgage loans.</w:t>
      </w:r>
    </w:p>
    <w:p>
      <w:pPr>
        <w:spacing w:after="0" w:line="7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See “— Variable Interest Entities” for discussion of consolidated securitization entities (“CSEs”).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Information on commercial, agricultural and residential mortgage loans is presented in the tables below. Information on commercial mortgage loans held by CSEs — FVO is presented in Note 6. The Company elects the FVO for certain commercial mortgage loans and related long-term debt that are managed on a total return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Valuation Allowance and Impaired Loans by Portfolio Segment</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Mortgage loans by portfolio segment, by method of evaluation of credit loss, impaired mortgage loans including those modified in a troubled debt restructuring, and the related valuation allowances, were as follows 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8"/>
            <w:vMerge w:val="restart"/>
          </w:tcPr>
          <w:p>
            <w:pPr>
              <w:ind w:left="440"/>
              <w:spacing w:after="0"/>
              <w:rPr>
                <w:sz w:val="20"/>
                <w:szCs w:val="20"/>
                <w:color w:val="auto"/>
              </w:rPr>
            </w:pPr>
            <w:r>
              <w:rPr>
                <w:rFonts w:ascii="Arial" w:cs="Arial" w:eastAsia="Arial" w:hAnsi="Arial"/>
                <w:sz w:val="14"/>
                <w:szCs w:val="14"/>
                <w:b w:val="1"/>
                <w:bCs w:val="1"/>
                <w:color w:val="auto"/>
              </w:rPr>
              <w:t>Evaluated Individually for Credit Losses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Evaluated Collectively for</w:t>
            </w: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Impaired</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8"/>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5"/>
              </w:rPr>
              <w:t>Impaired Loans with a</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ind w:left="180"/>
              <w:spacing w:after="0" w:line="153" w:lineRule="exact"/>
              <w:rPr>
                <w:sz w:val="20"/>
                <w:szCs w:val="20"/>
                <w:color w:val="auto"/>
              </w:rPr>
            </w:pPr>
            <w:r>
              <w:rPr>
                <w:rFonts w:ascii="Arial" w:cs="Arial" w:eastAsia="Arial" w:hAnsi="Arial"/>
                <w:sz w:val="14"/>
                <w:szCs w:val="14"/>
                <w:b w:val="1"/>
                <w:bCs w:val="1"/>
                <w:color w:val="auto"/>
              </w:rPr>
              <w:t>Impaired Loans without 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8"/>
              </w:rPr>
              <w:t>Valuation Allowance</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Valuation Allowance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92"/>
              </w:rPr>
              <w:t>Unpaid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Valuation</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Unpaid Principal</w:t>
            </w: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Valuation</w:t>
            </w:r>
          </w:p>
        </w:tc>
        <w:tc>
          <w:tcPr>
            <w:tcW w:w="140" w:type="dxa"/>
            <w:vAlign w:val="bottom"/>
          </w:tcPr>
          <w:p>
            <w:pPr>
              <w:spacing w:after="0"/>
              <w:rPr>
                <w:sz w:val="13"/>
                <w:szCs w:val="13"/>
                <w:color w:val="auto"/>
              </w:rPr>
            </w:pPr>
          </w:p>
        </w:tc>
        <w:tc>
          <w:tcPr>
            <w:tcW w:w="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Allowances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Allowances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6,959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42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9,278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average recorded investment for impaired commercial, agricultural and residential mortgage loans was $0, $3 million and $2 million, respectively, for both the three months and six months ended June 30, 2017. The average recorded investment for impaired commercial, agricultural and residential mortgage loans was $0, $3 million and $0, respectively, for both the three months and six months ended June 30, 2016.</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Allowance Rollforward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valuation allowance, by portfolio segment,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w w:val="91"/>
              </w:rPr>
              <w:t>Six Months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left="301"/>
              <w:spacing w:after="0"/>
              <w:rPr>
                <w:sz w:val="20"/>
                <w:szCs w:val="20"/>
                <w:color w:val="auto"/>
              </w:rPr>
            </w:pPr>
            <w:r>
              <w:rPr>
                <w:rFonts w:ascii="Arial" w:cs="Arial" w:eastAsia="Arial" w:hAnsi="Arial"/>
                <w:sz w:val="16"/>
                <w:szCs w:val="16"/>
                <w:b w:val="1"/>
                <w:bCs w:val="1"/>
                <w:color w:val="auto"/>
                <w:w w:val="93"/>
              </w:rPr>
              <w:t>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left="301"/>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9"/>
              </w:rPr>
              <w:t>Agricultural</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r>
      <w:tr>
        <w:trPr>
          <w:trHeight w:val="196"/>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rPr>
              <w:t>Provision (release)</w:t>
            </w: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5</w:t>
            </w:r>
          </w:p>
        </w:tc>
      </w:tr>
      <w:tr>
        <w:trPr>
          <w:trHeight w:val="33"/>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0"/>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0"/>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June 30, 2017</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center"/>
              <w:ind w:right="800"/>
              <w:spacing w:after="0" w:line="153" w:lineRule="exact"/>
              <w:rPr>
                <w:sz w:val="20"/>
                <w:szCs w:val="20"/>
                <w:color w:val="auto"/>
              </w:rPr>
            </w:pPr>
            <w:r>
              <w:rPr>
                <w:rFonts w:ascii="Arial" w:cs="Arial" w:eastAsia="Arial" w:hAnsi="Arial"/>
                <w:sz w:val="14"/>
                <w:szCs w:val="14"/>
                <w:b w:val="1"/>
                <w:bCs w:val="1"/>
                <w:color w:val="auto"/>
                <w:w w:val="92"/>
              </w:rPr>
              <w:t>Recorded</w:t>
            </w: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w:t>
            </w:r>
          </w:p>
        </w:tc>
      </w:tr>
      <w:tr>
        <w:trPr>
          <w:trHeight w:val="217"/>
        </w:trPr>
        <w:tc>
          <w:tcPr>
            <w:tcW w:w="558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estimated fair value of agricultural mortgage loans was $2.1 billion and $1.9 billion at June 30, 2017 and December 31, 2016,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June 30, 2017</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center"/>
              <w:ind w:right="800"/>
              <w:spacing w:after="0" w:line="153" w:lineRule="exact"/>
              <w:rPr>
                <w:sz w:val="20"/>
                <w:szCs w:val="20"/>
                <w:color w:val="auto"/>
              </w:rPr>
            </w:pPr>
            <w:r>
              <w:rPr>
                <w:rFonts w:ascii="Arial" w:cs="Arial" w:eastAsia="Arial" w:hAnsi="Arial"/>
                <w:sz w:val="14"/>
                <w:szCs w:val="14"/>
                <w:b w:val="1"/>
                <w:bCs w:val="1"/>
                <w:color w:val="auto"/>
                <w:w w:val="92"/>
              </w:rPr>
              <w:t>Recorded</w:t>
            </w: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fair value of residential mortgage loans was $1.1 billion and $867 million at June 30, 2017 and December 31, 2016, respectively.</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Past Due and Nonaccrual Mortgage Loans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June 30, 2017 and December 31, 2016. The Company defines delinquency consistent with industry practice, when mortgage loans are past due as follows: commercial and residential mortgage loans — 60 days and agricultural mortgage loans — 90 days. The past due and nonaccrual mortgage loans at recorded investment, prior to valuation allowances, by portfolio segment, were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Past Due</w:t>
            </w: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Nonaccrual Status</w:t>
            </w:r>
          </w:p>
        </w:tc>
      </w:tr>
      <w:tr>
        <w:trPr>
          <w:trHeight w:val="264"/>
        </w:trPr>
        <w:tc>
          <w:tcPr>
            <w:tcW w:w="4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5"/>
          </w:tcPr>
          <w:p>
            <w:pPr>
              <w:ind w:left="88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80" w:type="dxa"/>
            <w:vAlign w:val="bottom"/>
          </w:tcPr>
          <w:p>
            <w:pPr>
              <w:spacing w:after="0"/>
              <w:rPr>
                <w:sz w:val="20"/>
                <w:szCs w:val="20"/>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ind w:left="1240"/>
              <w:spacing w:after="0"/>
              <w:rPr>
                <w:sz w:val="20"/>
                <w:szCs w:val="20"/>
                <w:color w:val="auto"/>
              </w:rPr>
            </w:pPr>
            <w:r>
              <w:rPr>
                <w:rFonts w:ascii="Arial" w:cs="Arial" w:eastAsia="Arial" w:hAnsi="Arial"/>
                <w:sz w:val="16"/>
                <w:szCs w:val="16"/>
                <w:color w:val="auto"/>
              </w:rPr>
              <w:t>11</w:t>
            </w:r>
          </w:p>
        </w:tc>
      </w:tr>
      <w:tr>
        <w:trPr>
          <w:trHeight w:val="33"/>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11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Modified in a Troubled Debt Restructuring</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During the three months and six months ended June 30, 2017 the Company did not have a significant amount of mortgage loans modified in a troubled debt restructuring. During the three months and six months ended June 30, 2016, there were no mortgage loans modified in a troubled debt restructuring.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$3.7 billion and $4.8 billion at June 30, 2017 and December 31,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and equity securities AFS and the effect on DAC, VOBA, deferred sales inducements (“DSI”) and future policy benefits, that would result from the realization of the unrealized gains (losses), are included in net unrealized investment gains (losses) in AOCI.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5"/>
          </w:tcPr>
          <w:p>
            <w:pPr>
              <w:jc w:val="right"/>
              <w:ind w:right="118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240" w:type="dxa"/>
            <w:vAlign w:val="bottom"/>
          </w:tcPr>
          <w:p>
            <w:pPr>
              <w:spacing w:after="0"/>
              <w:rPr>
                <w:sz w:val="20"/>
                <w:szCs w:val="20"/>
                <w:color w:val="auto"/>
              </w:rPr>
            </w:pP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20"/>
                <w:szCs w:val="20"/>
                <w:color w:val="auto"/>
              </w:rPr>
            </w:pP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allocated from:</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DAC, VOBA and DSI</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7"/>
        </w:trPr>
        <w:tc>
          <w:tcPr>
            <w:tcW w:w="8120" w:type="dxa"/>
            <w:vAlign w:val="bottom"/>
          </w:tcPr>
          <w:p>
            <w:pPr>
              <w:ind w:left="36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48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42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421"/>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DAC, VOBA and DSI</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Change in net unrealized investment gains (losses)</w:t>
            </w: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investments in any counterparty that were greater than 10% of the Company’s shareholder’s net investment, other than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its agencies, at both June 30, 2017 and December 31,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14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5,694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5,895</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6,595</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6,750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6,642</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1440" w:type="dxa"/>
            <w:vAlign w:val="bottom"/>
          </w:tcPr>
          <w:p>
            <w:pPr>
              <w:jc w:val="right"/>
              <w:ind w:right="126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6,788</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6,571</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3"/>
                <w:szCs w:val="13"/>
                <w:b w:val="1"/>
                <w:bCs w:val="1"/>
                <w:color w:val="auto"/>
              </w:rPr>
              <w:t>June 30, 2017</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87"/>
              </w:rPr>
              <w:t>Remaining Tenor of Securities Lending Agreements</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9"/>
          </w:tcPr>
          <w:p>
            <w:pPr>
              <w:jc w:val="center"/>
              <w:ind w:right="100"/>
              <w:spacing w:after="0"/>
              <w:rPr>
                <w:sz w:val="20"/>
                <w:szCs w:val="20"/>
                <w:color w:val="auto"/>
              </w:rPr>
            </w:pPr>
            <w:r>
              <w:rPr>
                <w:rFonts w:ascii="Arial" w:cs="Arial" w:eastAsia="Arial" w:hAnsi="Arial"/>
                <w:sz w:val="13"/>
                <w:szCs w:val="13"/>
                <w:b w:val="1"/>
                <w:bCs w:val="1"/>
                <w:color w:val="auto"/>
                <w:w w:val="86"/>
              </w:rPr>
              <w:t>Remaining Tenor of Securities Lending Agreements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1 Month or</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1 Month or</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Open (1)</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Less</w:t>
            </w: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1 to 6 Months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Open (1)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Less</w:t>
            </w: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1 to 6 Months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collateral liability by loaned security type:</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2,813</w:t>
            </w:r>
          </w:p>
        </w:tc>
        <w:tc>
          <w:tcPr>
            <w:tcW w:w="120" w:type="dxa"/>
            <w:vAlign w:val="bottom"/>
          </w:tcPr>
          <w:p>
            <w:pPr>
              <w:spacing w:after="0"/>
              <w:rPr>
                <w:sz w:val="22"/>
                <w:szCs w:val="22"/>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6,493</w:t>
            </w:r>
          </w:p>
        </w:tc>
        <w:tc>
          <w:tcPr>
            <w:tcW w:w="100" w:type="dxa"/>
            <w:vAlign w:val="bottom"/>
          </w:tcPr>
          <w:p>
            <w:pPr>
              <w:spacing w:after="0"/>
              <w:rPr>
                <w:sz w:val="22"/>
                <w:szCs w:val="22"/>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22"/>
                <w:szCs w:val="22"/>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1,743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5,778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Agency RMBS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6,642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right="2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June 30, 2017 was $2.1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ABS, U.S. government and agency securities, non-agency RMBS and U.S. and foreign corporate securities) with 64% invested in agency RMBS, cash equivalents, short-term investments, U.S. government and agency securities, or held in cash at June 30, 2017.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30, 2017</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7,648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w:t>
            </w:r>
          </w:p>
        </w:tc>
        <w:tc>
          <w:tcPr>
            <w:tcW w:w="340" w:type="dxa"/>
            <w:vAlign w:val="bottom"/>
          </w:tcPr>
          <w:p>
            <w:pPr>
              <w:spacing w:after="0"/>
              <w:rPr>
                <w:sz w:val="20"/>
                <w:szCs w:val="20"/>
                <w:color w:val="auto"/>
              </w:rPr>
            </w:pP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9,054</w:t>
            </w: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3,548</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16,009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20,250</w:t>
            </w:r>
          </w:p>
        </w:tc>
      </w:tr>
      <w:tr>
        <w:trPr>
          <w:trHeight w:val="33"/>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pledged invested assets in connection with various agreements and transactions, including funding agreements (see Note 4 of the Notes to the Combined Financial Statements included in the Form 10) and derivative transactions (see Note 5). The Company held in trust certain investments in connection with certain reinsurance transactions. In April 2017, the MetLife Reinsurance Company of South Carolina (“MRSC”) collateral financing arrangement was repaid in connection with the Restructuring (see Note 7). Amounts in the table above include invested assets and cash and cash equivalents.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03"/>
              <w:spacing w:after="0"/>
              <w:rPr>
                <w:sz w:val="20"/>
                <w:szCs w:val="20"/>
                <w:color w:val="auto"/>
              </w:rPr>
            </w:pPr>
            <w:r>
              <w:rPr>
                <w:rFonts w:ascii="Arial" w:cs="Arial" w:eastAsia="Arial" w:hAnsi="Arial"/>
                <w:sz w:val="14"/>
                <w:szCs w:val="14"/>
                <w:b w:val="1"/>
                <w:bCs w:val="1"/>
                <w:color w:val="auto"/>
                <w:w w:val="90"/>
              </w:rPr>
              <w:t>June 30, 2017</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03"/>
              <w:spacing w:after="0" w:line="153"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3"/>
                <w:szCs w:val="13"/>
                <w:color w:val="auto"/>
              </w:rPr>
            </w:pPr>
          </w:p>
        </w:tc>
        <w:tc>
          <w:tcPr>
            <w:tcW w:w="1120" w:type="dxa"/>
            <w:vAlign w:val="bottom"/>
          </w:tcPr>
          <w:p>
            <w:pPr>
              <w:jc w:val="center"/>
              <w:ind w:right="16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b w:val="1"/>
                <w:bCs w:val="1"/>
                <w:color w:val="auto"/>
                <w:w w:val="95"/>
              </w:rPr>
              <w:t>Liabilities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MRSC (collateral financing arrangement) (1)</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center"/>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CSEs (assets (primarily loans) and liabilities (primarily debt)) (2)</w:t>
            </w:r>
          </w:p>
        </w:tc>
        <w:tc>
          <w:tcPr>
            <w:tcW w:w="780" w:type="dxa"/>
            <w:vAlign w:val="bottom"/>
          </w:tcPr>
          <w:p>
            <w:pPr>
              <w:spacing w:after="0"/>
              <w:rPr>
                <w:sz w:val="20"/>
                <w:szCs w:val="20"/>
                <w:color w:val="auto"/>
              </w:rPr>
            </w:pPr>
          </w:p>
        </w:tc>
        <w:tc>
          <w:tcPr>
            <w:tcW w:w="380" w:type="dxa"/>
            <w:vAlign w:val="bottom"/>
          </w:tcPr>
          <w:p>
            <w:pPr>
              <w:jc w:val="right"/>
              <w:ind w:right="41"/>
              <w:spacing w:after="0"/>
              <w:rPr>
                <w:sz w:val="20"/>
                <w:szCs w:val="20"/>
                <w:color w:val="auto"/>
              </w:rPr>
            </w:pPr>
            <w:r>
              <w:rPr>
                <w:rFonts w:ascii="Arial" w:cs="Arial" w:eastAsia="Arial" w:hAnsi="Arial"/>
                <w:sz w:val="16"/>
                <w:szCs w:val="16"/>
                <w:color w:val="auto"/>
                <w:w w:val="89"/>
              </w:rPr>
              <w:t>124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82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jc w:val="right"/>
              <w:ind w:right="4681"/>
              <w:spacing w:after="0"/>
              <w:rPr>
                <w:sz w:val="20"/>
                <w:szCs w:val="20"/>
                <w:color w:val="auto"/>
              </w:rPr>
            </w:pPr>
            <w:r>
              <w:rPr>
                <w:rFonts w:ascii="Arial" w:cs="Arial" w:eastAsia="Arial" w:hAnsi="Arial"/>
                <w:sz w:val="14"/>
                <w:szCs w:val="14"/>
                <w:color w:val="auto"/>
                <w:w w:val="91"/>
              </w:rPr>
              <w:t>__________________</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12 of the Notes to the Combined Financial Statements included in the Form 10 for a description of the MRSC collateral financing arrangement. In April 2017, these assets were liquidated and the proceeds were used to repay the collateral financing arrangement. See Note 7. These assets historically consisted of fixed maturity securities, short-term investments and cash equivalents, but were transitioned into short-term investments and cash equivalents prior to termination of the arrangement.</w:t>
      </w:r>
    </w:p>
    <w:p>
      <w:pPr>
        <w:spacing w:after="0" w:line="78" w:lineRule="exact"/>
        <w:rPr>
          <w:rFonts w:ascii="Arial" w:cs="Arial" w:eastAsia="Arial" w:hAnsi="Arial"/>
          <w:sz w:val="18"/>
          <w:szCs w:val="18"/>
          <w:color w:val="auto"/>
        </w:rPr>
      </w:pPr>
    </w:p>
    <w:p>
      <w:pPr>
        <w:jc w:val="both"/>
        <w:ind w:left="500" w:hanging="492"/>
        <w:spacing w:after="0" w:line="31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$89 million and $95 million at estimated fair value at June 30, 2017 and December 31, 2016,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3"/>
                <w:szCs w:val="13"/>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Exposure</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to Loss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Structured Securities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12,174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12,174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13,062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13,062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and foreign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 (3)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14,225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15,094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15,165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15,973</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73"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maximum exposure to loss relating to fixed maturity securities AFS is equal to their carrying amounts or the carrying amounts of retained interests. The maximum exposure to loss relating to other limited partnership interests and real estate joint ventures is equal to the carrying amounts plus any unfunded commitments. For certain of its investments in other invested assets, the Company’s return is in the form of income tax credits which are guaranteed by creditworthy third parties. For such investments, the maximum exposure to loss is equal to the carrying amounts plus any unfunded commitments, reduced by income tax credits guaranteed by third parties. There were no income tax credits at both June 30, 2017 and December 31, 2016. Such a maximum loss would be expected to occur only upon bankruptcy of the issuer or investee.</w:t>
      </w:r>
    </w:p>
    <w:p>
      <w:pPr>
        <w:spacing w:after="0" w:line="70"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investments is comprised of real estate joint ventures, other invested assets and non-redeemable preferred stock.</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As described in Note 11, the Company makes commitments to fund partnership investments in the normal course of business. Excluding these commitments, the Company did not provide financial or other support to investees designated as VIEs during both the three months and six months ended June 30, 2017 and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left="560"/>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3"/>
              </w:rPr>
              <w:t>Six Months</w:t>
            </w:r>
          </w:p>
        </w:tc>
        <w:tc>
          <w:tcPr>
            <w:tcW w:w="9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3"/>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gridSpan w:val="3"/>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r>
      <w:tr>
        <w:trPr>
          <w:trHeight w:val="192"/>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598</w:t>
            </w:r>
          </w:p>
        </w:tc>
        <w:tc>
          <w:tcPr>
            <w:tcW w:w="82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680</w:t>
            </w:r>
          </w:p>
        </w:tc>
        <w:tc>
          <w:tcPr>
            <w:tcW w:w="36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1,208</w:t>
            </w:r>
          </w:p>
        </w:tc>
        <w:tc>
          <w:tcPr>
            <w:tcW w:w="76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1,311</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203</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Real estate and real estate joint ventures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17"/>
        </w:trPr>
        <w:tc>
          <w:tcPr>
            <w:tcW w:w="5280" w:type="dxa"/>
            <w:vAlign w:val="bottom"/>
          </w:tcPr>
          <w:p>
            <w:pPr>
              <w:ind w:left="160"/>
              <w:spacing w:after="0"/>
              <w:rPr>
                <w:sz w:val="20"/>
                <w:szCs w:val="20"/>
                <w:color w:val="auto"/>
              </w:rPr>
            </w:pPr>
            <w:r>
              <w:rPr>
                <w:rFonts w:ascii="Arial" w:cs="Arial" w:eastAsia="Arial" w:hAnsi="Arial"/>
                <w:sz w:val="16"/>
                <w:szCs w:val="16"/>
                <w:color w:val="auto"/>
              </w:rPr>
              <w:t>Subtotal</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845</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1,633</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Investment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r>
      <w:tr>
        <w:trPr>
          <w:trHeight w:val="217"/>
        </w:trPr>
        <w:tc>
          <w:tcPr>
            <w:tcW w:w="5280" w:type="dxa"/>
            <w:vAlign w:val="bottom"/>
          </w:tcPr>
          <w:p>
            <w:pPr>
              <w:ind w:left="160"/>
              <w:spacing w:after="0"/>
              <w:rPr>
                <w:sz w:val="20"/>
                <w:szCs w:val="20"/>
                <w:color w:val="auto"/>
              </w:rPr>
            </w:pPr>
            <w:r>
              <w:rPr>
                <w:rFonts w:ascii="Arial" w:cs="Arial" w:eastAsia="Arial" w:hAnsi="Arial"/>
                <w:sz w:val="16"/>
                <w:szCs w:val="16"/>
                <w:color w:val="auto"/>
              </w:rPr>
              <w:t>Subtotal, net</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802</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1,548</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 — interest income — commercial mortgage loans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17"/>
        </w:trPr>
        <w:tc>
          <w:tcPr>
            <w:tcW w:w="52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805</w:t>
            </w: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1,553</w:t>
            </w: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affiliated net investment income and investment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80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gridSpan w:val="3"/>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r>
      <w:tr>
        <w:trPr>
          <w:trHeight w:val="192"/>
        </w:trPr>
        <w:tc>
          <w:tcPr>
            <w:tcW w:w="6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28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r>
      <w:tr>
        <w:trPr>
          <w:trHeight w:val="196"/>
        </w:trPr>
        <w:tc>
          <w:tcPr>
            <w:tcW w:w="6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OTTI losses recognized — by sector and industry:</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and foreign corporate securities — by industry:</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tcPr>
          <w:p>
            <w:pPr>
              <w:ind w:left="360"/>
              <w:spacing w:after="0"/>
              <w:rPr>
                <w:sz w:val="20"/>
                <w:szCs w:val="20"/>
                <w:color w:val="auto"/>
              </w:rPr>
            </w:pPr>
            <w:r>
              <w:rPr>
                <w:rFonts w:ascii="Arial" w:cs="Arial" w:eastAsia="Arial" w:hAnsi="Arial"/>
                <w:sz w:val="16"/>
                <w:szCs w:val="16"/>
                <w:color w:val="auto"/>
              </w:rPr>
              <w:t>Industrial</w:t>
            </w: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U.S. and foreign corporate securities</w:t>
            </w:r>
          </w:p>
        </w:tc>
        <w:tc>
          <w:tcPr>
            <w:tcW w:w="7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r>
      <w:tr>
        <w:trPr>
          <w:trHeight w:val="237"/>
        </w:trPr>
        <w:tc>
          <w:tcPr>
            <w:tcW w:w="6380" w:type="dxa"/>
            <w:vAlign w:val="bottom"/>
          </w:tcPr>
          <w:p>
            <w:pPr>
              <w:ind w:left="360"/>
              <w:spacing w:after="0"/>
              <w:rPr>
                <w:sz w:val="20"/>
                <w:szCs w:val="20"/>
                <w:color w:val="auto"/>
              </w:rPr>
            </w:pPr>
            <w:r>
              <w:rPr>
                <w:rFonts w:ascii="Arial" w:cs="Arial" w:eastAsia="Arial" w:hAnsi="Arial"/>
                <w:sz w:val="16"/>
                <w:szCs w:val="16"/>
                <w:color w:val="auto"/>
              </w:rPr>
              <w:t>RMBS</w:t>
            </w:r>
          </w:p>
        </w:tc>
        <w:tc>
          <w:tcPr>
            <w:tcW w:w="78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State and political subdivision</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fixed maturity securities recognized in earnings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r>
      <w:tr>
        <w:trPr>
          <w:trHeight w:val="217"/>
        </w:trPr>
        <w:tc>
          <w:tcPr>
            <w:tcW w:w="6380" w:type="dxa"/>
            <w:vAlign w:val="bottom"/>
          </w:tcPr>
          <w:p>
            <w:pPr>
              <w:ind w:left="200"/>
              <w:spacing w:after="0"/>
              <w:rPr>
                <w:sz w:val="20"/>
                <w:szCs w:val="20"/>
                <w:color w:val="auto"/>
              </w:rPr>
            </w:pPr>
            <w:r>
              <w:rPr>
                <w:rFonts w:ascii="Arial" w:cs="Arial" w:eastAsia="Arial" w:hAnsi="Arial"/>
                <w:sz w:val="16"/>
                <w:szCs w:val="16"/>
                <w:color w:val="auto"/>
              </w:rPr>
              <w:t>Total gains (losses) on fixed maturity securities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gains (losses) on equity securities:</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24"/>
        </w:trPr>
        <w:tc>
          <w:tcPr>
            <w:tcW w:w="6380" w:type="dxa"/>
            <w:vAlign w:val="bottom"/>
          </w:tcPr>
          <w:p>
            <w:pPr>
              <w:ind w:left="200"/>
              <w:spacing w:after="0"/>
              <w:rPr>
                <w:sz w:val="20"/>
                <w:szCs w:val="20"/>
                <w:color w:val="auto"/>
              </w:rPr>
            </w:pPr>
            <w:r>
              <w:rPr>
                <w:rFonts w:ascii="Arial" w:cs="Arial" w:eastAsia="Arial" w:hAnsi="Arial"/>
                <w:sz w:val="16"/>
                <w:szCs w:val="16"/>
                <w:color w:val="auto"/>
              </w:rPr>
              <w:t>Total OTTI losses recognized — by sector:</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Common stock</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equity securities recognized in earnings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 — net gains (losses) on sales and disposals</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r>
      <w:tr>
        <w:trPr>
          <w:trHeight w:val="217"/>
        </w:trPr>
        <w:tc>
          <w:tcPr>
            <w:tcW w:w="6380" w:type="dxa"/>
            <w:vAlign w:val="bottom"/>
          </w:tcPr>
          <w:p>
            <w:pPr>
              <w:ind w:left="320"/>
              <w:spacing w:after="0"/>
              <w:rPr>
                <w:sz w:val="20"/>
                <w:szCs w:val="20"/>
                <w:color w:val="auto"/>
              </w:rPr>
            </w:pPr>
            <w:r>
              <w:rPr>
                <w:rFonts w:ascii="Arial" w:cs="Arial" w:eastAsia="Arial" w:hAnsi="Arial"/>
                <w:sz w:val="16"/>
                <w:szCs w:val="16"/>
                <w:color w:val="auto"/>
              </w:rPr>
              <w:t>Total gains (losses) on equity securities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Real estate and real estate joint ventures</w:t>
            </w:r>
          </w:p>
        </w:tc>
        <w:tc>
          <w:tcPr>
            <w:tcW w:w="780" w:type="dxa"/>
            <w:vAlign w:val="bottom"/>
          </w:tcPr>
          <w:p>
            <w:pPr>
              <w:spacing w:after="0"/>
              <w:rPr>
                <w:sz w:val="20"/>
                <w:szCs w:val="20"/>
                <w:color w:val="auto"/>
              </w:rPr>
            </w:pPr>
          </w:p>
        </w:tc>
        <w:tc>
          <w:tcPr>
            <w:tcW w:w="42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20"/>
                <w:szCs w:val="20"/>
                <w:color w:val="auto"/>
              </w:rPr>
            </w:pPr>
          </w:p>
        </w:tc>
        <w:tc>
          <w:tcPr>
            <w:tcW w:w="42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Subtotal</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r>
      <w:tr>
        <w:trPr>
          <w:trHeight w:val="204"/>
        </w:trPr>
        <w:tc>
          <w:tcPr>
            <w:tcW w:w="6380" w:type="dxa"/>
            <w:vAlign w:val="bottom"/>
          </w:tcPr>
          <w:p>
            <w:pPr>
              <w:ind w:left="40"/>
              <w:spacing w:after="0"/>
              <w:rPr>
                <w:sz w:val="20"/>
                <w:szCs w:val="20"/>
                <w:color w:val="auto"/>
              </w:rPr>
            </w:pPr>
            <w:r>
              <w:rPr>
                <w:rFonts w:ascii="Arial" w:cs="Arial" w:eastAsia="Arial" w:hAnsi="Arial"/>
                <w:sz w:val="16"/>
                <w:szCs w:val="16"/>
                <w:color w:val="auto"/>
              </w:rPr>
              <w:t>FVO CSEs:</w:t>
            </w:r>
          </w:p>
        </w:tc>
        <w:tc>
          <w:tcPr>
            <w:tcW w:w="7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 loans</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Long-term debt — related to commercial mortgage loans</w:t>
            </w:r>
          </w:p>
        </w:tc>
        <w:tc>
          <w:tcPr>
            <w:tcW w:w="780" w:type="dxa"/>
            <w:vAlign w:val="bottom"/>
          </w:tcPr>
          <w:p>
            <w:pPr>
              <w:spacing w:after="0"/>
              <w:rPr>
                <w:sz w:val="20"/>
                <w:szCs w:val="20"/>
                <w:color w:val="auto"/>
              </w:rPr>
            </w:pP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Non-investment portfolio gains (losses)</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320"/>
              <w:spacing w:after="0"/>
              <w:rPr>
                <w:sz w:val="20"/>
                <w:szCs w:val="20"/>
                <w:color w:val="auto"/>
              </w:rPr>
            </w:pPr>
            <w:r>
              <w:rPr>
                <w:rFonts w:ascii="Arial" w:cs="Arial" w:eastAsia="Arial" w:hAnsi="Arial"/>
                <w:sz w:val="16"/>
                <w:szCs w:val="16"/>
                <w:color w:val="auto"/>
              </w:rPr>
              <w:t>Subtotal</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net investment gains (losses)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Related Party Investment Transactions” for discussion of affiliated net investment gains (losses) related to transfers of invested assets to affiliates.</w:t>
      </w:r>
    </w:p>
    <w:p>
      <w:pPr>
        <w:spacing w:after="0" w:line="62"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Gains (losses) from foreign currency transactions included within net investment gains (losses) were $1 million and ($5) million for the three months and six months ended June 30, 2017, respectively, and $3 million and $5 million for the three months and six months ended June 30, 2016,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and Equity Securities</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Investment gains and losses on sales of securities are determined on a specific identification basis. Proceeds from sales or disposals of fixed maturity and equity securities and the components of fixed maturity and equity securities net investment gains (losses) were as shown in the table below.</w:t>
      </w:r>
    </w:p>
    <w:p>
      <w:pPr>
        <w:spacing w:after="0" w:line="224"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w:t>
      </w:r>
    </w:p>
    <w:p>
      <w:pPr>
        <w:jc w:val="center"/>
        <w:ind w:left="528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13335</wp:posOffset>
            </wp:positionV>
            <wp:extent cx="3910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rPr>
              <w:t>Fixed Maturity Securities</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Securities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5,550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521"/>
              <w:spacing w:after="0"/>
              <w:rPr>
                <w:sz w:val="20"/>
                <w:szCs w:val="20"/>
                <w:color w:val="auto"/>
              </w:rPr>
            </w:pPr>
            <w:r>
              <w:rPr>
                <w:rFonts w:ascii="Arial" w:cs="Arial" w:eastAsia="Arial" w:hAnsi="Arial"/>
                <w:sz w:val="14"/>
                <w:szCs w:val="14"/>
                <w:b w:val="1"/>
                <w:bCs w:val="1"/>
                <w:color w:val="auto"/>
                <w:w w:val="93"/>
              </w:rPr>
              <w:t>Six Months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5"/>
          </w:tcPr>
          <w:p>
            <w:pPr>
              <w:jc w:val="center"/>
              <w:ind w:left="461"/>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Fixed Maturity Securities</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Securities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5"/>
          </w:tcPr>
          <w:p>
            <w:pPr>
              <w:jc w:val="center"/>
              <w:ind w:left="501"/>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14,889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other comprehensive income (loss) (“OCI”):</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w w:val="91"/>
              </w:rPr>
              <w:t>Three Months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jc w:val="center"/>
              <w:ind w:left="303"/>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3"/>
          </w:tcPr>
          <w:p>
            <w:pPr>
              <w:jc w:val="right"/>
              <w:ind w:right="462"/>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ind w:left="243"/>
              <w:spacing w:after="0" w:line="149" w:lineRule="exact"/>
              <w:rPr>
                <w:sz w:val="20"/>
                <w:szCs w:val="20"/>
                <w:color w:val="auto"/>
              </w:rPr>
            </w:pPr>
            <w:r>
              <w:rPr>
                <w:rFonts w:ascii="Arial" w:cs="Arial" w:eastAsia="Arial" w:hAnsi="Arial"/>
                <w:sz w:val="14"/>
                <w:szCs w:val="14"/>
                <w:b w:val="1"/>
                <w:bCs w:val="1"/>
                <w:color w:val="auto"/>
                <w:w w:val="93"/>
              </w:rPr>
              <w:t>Ended</w:t>
            </w:r>
          </w:p>
        </w:tc>
        <w:tc>
          <w:tcPr>
            <w:tcW w:w="680" w:type="dxa"/>
            <w:vAlign w:val="bottom"/>
          </w:tcPr>
          <w:p>
            <w:pPr>
              <w:spacing w:after="0"/>
              <w:rPr>
                <w:sz w:val="12"/>
                <w:szCs w:val="12"/>
                <w:color w:val="auto"/>
              </w:rPr>
            </w:pP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303"/>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6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impairments — credit loss OTTI on securities previously impaired</w:t>
            </w: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7"/>
              </w:rPr>
              <w:t>Sales (maturities, pay downs or prepayments) of securities previously impaired as credit loss OTTI</w:t>
            </w: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680" w:type="dxa"/>
            <w:vAlign w:val="bottom"/>
            <w:tcBorders>
              <w:top w:val="single" w:sz="8" w:color="auto"/>
            </w:tcBorders>
          </w:tcPr>
          <w:p>
            <w:pPr>
              <w:jc w:val="right"/>
              <w:ind w:right="50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60</w:t>
            </w:r>
          </w:p>
        </w:tc>
      </w:tr>
      <w:tr>
        <w:trPr>
          <w:trHeight w:val="33"/>
        </w:trPr>
        <w:tc>
          <w:tcPr>
            <w:tcW w:w="6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transfers invested assets, primarily consisting of fixed maturity securities, to and from affiliates. Invested assets transferred to and from affiliates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ind w:left="383"/>
              <w:spacing w:after="0"/>
              <w:rPr>
                <w:sz w:val="20"/>
                <w:szCs w:val="20"/>
                <w:color w:val="auto"/>
              </w:rPr>
            </w:pPr>
            <w:r>
              <w:rPr>
                <w:rFonts w:ascii="Arial" w:cs="Arial" w:eastAsia="Arial" w:hAnsi="Arial"/>
                <w:sz w:val="14"/>
                <w:szCs w:val="14"/>
                <w:b w:val="1"/>
                <w:bCs w:val="1"/>
                <w:color w:val="auto"/>
                <w:w w:val="93"/>
              </w:rPr>
              <w:t>Six Months</w:t>
            </w:r>
          </w:p>
        </w:tc>
        <w:tc>
          <w:tcPr>
            <w:tcW w:w="84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left="363"/>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tcPr>
          <w:p>
            <w:pPr>
              <w:spacing w:after="0"/>
              <w:rPr>
                <w:sz w:val="12"/>
                <w:szCs w:val="12"/>
                <w:color w:val="auto"/>
              </w:rPr>
            </w:pP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40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to affiliates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292</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Amortized cost of invested assets transferred to affiliates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294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 recognized on transfers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Change in additional paid-in-capital recognized on transfers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from affiliates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w:t>
            </w:r>
          </w:p>
        </w:tc>
      </w:tr>
      <w:tr>
        <w:trPr>
          <w:trHeight w:val="33"/>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April 2016, the Company received a transfer of investments and cash and cash equivalents of $4.3 billion for the recapture of risks related to certain single premium deferred annuity contracts previously reinsured to Metropolitan Life Insurance Company (“MLIC”), an affiliate, which are included in the table above. See Note 6 of the Notes to the Combined Financial Statements included in the Form 10 for additional information related to the transfer.</w:t>
      </w:r>
    </w:p>
    <w:p>
      <w:pPr>
        <w:spacing w:after="0" w:line="3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had loans outstanding to MetLife, Inc., which were included in other invested assets, totaling $1.1 billion at December 31, 2016. These loans bear interest at fixed rates of 4.21% and 5.10%, payable semiannually, and were due on September 30, 2032 and December 31, 2033, respectively. In April 2017, the two loans were repaid. See Note 7.</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receives investment administrative services from an affiliate. The related investment administrative service charges were $24 million and $49 million, respectively, for both the three months and six months ended June 30, 2017 and June 30, 2016.</w:t>
      </w:r>
    </w:p>
    <w:p>
      <w:pPr>
        <w:spacing w:after="0" w:line="6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January 2017, MLIC recaptured risks related to guaranteed minimum benefit guarantees on certain variable annuities being reinsured by the Company. The Company transferred investments and cash and cash equivalents which are included in the table above. See Note 12 for additional information related to the transfer.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an affiliate, for $286 million. The operating joint venture was accounted for under the equity method and included in other invested assets. This sale resulted in an increase in additional paid-in capital of $202 million in the first quarter of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62"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If a derivative is not designated as an accounting hedge or its use in managing risk does not qualify for hedge accounting, changes in the estimated fair value of the derivative are reported in net derivative gains (losses) except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Statement of Operations Presentation:</w:t>
            </w:r>
          </w:p>
        </w:tc>
        <w:tc>
          <w:tcPr>
            <w:tcW w:w="59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Derivative:</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Policyholder benefits and claims</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Economic hedges of variable annuity guarantees included in future policy</w:t>
            </w:r>
          </w:p>
        </w:tc>
      </w:tr>
      <w:tr>
        <w:trPr>
          <w:trHeight w:val="230"/>
        </w:trPr>
        <w:tc>
          <w:tcPr>
            <w:tcW w:w="552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benefits</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37"/>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Economic hedges of equity method investments in joint ventures</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234" w:right="219" w:bottom="1440" w:gutter="0" w:footer="0" w:header="0"/>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Hedge Accounting</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Hedge designation and financial statement presentation of changes in estimated fair value of the hedging derivatives are as follows:</w:t>
      </w:r>
    </w:p>
    <w:p>
      <w:pPr>
        <w:spacing w:after="0" w:line="73" w:lineRule="exact"/>
        <w:rPr>
          <w:sz w:val="20"/>
          <w:szCs w:val="20"/>
          <w:color w:val="auto"/>
        </w:rPr>
      </w:pPr>
    </w:p>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Fair value hedge</w:t>
      </w:r>
      <w:r>
        <w:rPr>
          <w:rFonts w:ascii="Arial" w:cs="Arial" w:eastAsia="Arial" w:hAnsi="Arial"/>
          <w:sz w:val="18"/>
          <w:szCs w:val="18"/>
          <w:color w:val="auto"/>
        </w:rPr>
        <w:t xml:space="preserve"> (a hedge of the estimated fair value of a recognized asset or liability) — in net derivative gains (losses), consistent with the change in estimated fair value of the hedged item attributable to the designated risk being hedged.</w:t>
      </w:r>
    </w:p>
    <w:p>
      <w:pPr>
        <w:spacing w:after="0" w:line="62" w:lineRule="exact"/>
        <w:rPr>
          <w:rFonts w:ascii="Arial" w:cs="Arial" w:eastAsia="Arial" w:hAnsi="Arial"/>
          <w:sz w:val="18"/>
          <w:szCs w:val="18"/>
          <w:color w:val="auto"/>
        </w:rPr>
      </w:pPr>
    </w:p>
    <w:p>
      <w:pPr>
        <w:jc w:val="both"/>
        <w:ind w:left="820" w:hanging="326"/>
        <w:spacing w:after="0" w:line="286"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Cash flow hedge</w:t>
      </w:r>
      <w:r>
        <w:rPr>
          <w:rFonts w:ascii="Arial" w:cs="Arial" w:eastAsia="Arial" w:hAnsi="Arial"/>
          <w:sz w:val="17"/>
          <w:szCs w:val="17"/>
          <w:color w:val="auto"/>
        </w:rPr>
        <w:t xml:space="preserve"> (a hedge of a forecasted transaction or of the variability of cash flows to be received or paid related to a recognized asset or liability) — effectiveness in OCI (deferred gains or losses on the derivative are reclassified into the statement of operations when the Company’s earnings are affected by the variability in cash flows of the hedged item); ineffectiveness in net derivative gains (losses).</w:t>
      </w:r>
    </w:p>
    <w:p>
      <w:pPr>
        <w:spacing w:after="0" w:line="5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changes in estimated fair values of the hedging derivatives are exclusive of any accruals that are separately reported on the statement of operations within interest income or interest expense to match the location of the hedged item.</w:t>
      </w:r>
    </w:p>
    <w:p>
      <w:pPr>
        <w:spacing w:after="0" w:line="62"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 Assessments of hedge effectiveness and measurements of ineffectiveness are also subject to interpretation and estimation and different interpretations or estimates may have a material effect on the amount reported in net income.</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81"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When hedge accounting is discontinued because it is no longer probable that the forecasted transactions will occur on the anticipated date or within two months of that date, the derivative continues to be carried on the balance sheet at its estimated fair value, with changes in estimated fair value recognized currently in net derivative gains (losses). Deferred gains and losses of a derivative recorded in OCI pursuant to the discontinued cash flow hedge of a forecasted transaction that is no longer probable are recognized immediately in net derivative gains (losses).</w:t>
      </w:r>
    </w:p>
    <w:p>
      <w:pPr>
        <w:spacing w:after="0" w:line="63"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34" w:right="239" w:bottom="1440" w:gutter="0" w:footer="0" w:header="0"/>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 If the Company is unable to properly identify and measure an embedded derivative for separation from its host contract, the entire contract is carried on the balance sheet at estimated fair value, with changes in estimated fair value recognized in the current period in net investment gains (losses) or net investment income. Additionally, the Company may elect to carry an entire contract on the balance sheet at estimated fair value, with changes in estimated fair value recognized in the current period in net investment gains (losses) or net investment income if that contract contains an embedded derivative that requires bifurcation.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 for information about the fair value hierarchy for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interest rate total return swaps, caps, floors, swaptions and futures.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London Interbank Offered Rate (“LIBOR”),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4"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46"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synthetically create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34" w:right="239" w:bottom="1440" w:gutter="0" w:footer="0" w:header="0"/>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64"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synthetically create investments. The Company utilizes equity total return swaps in nonqualifying hedging relationships.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4"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4"/>
              </w:rPr>
              <w:t>June 30, 2017</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December 31, 2016</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Gross</w:t>
            </w:r>
          </w:p>
        </w:tc>
        <w:tc>
          <w:tcPr>
            <w:tcW w:w="160" w:type="dxa"/>
            <w:vAlign w:val="bottom"/>
          </w:tcPr>
          <w:p>
            <w:pPr>
              <w:spacing w:after="0"/>
              <w:rPr>
                <w:sz w:val="19"/>
                <w:szCs w:val="19"/>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Estimated Fair Value</w:t>
            </w:r>
          </w:p>
        </w:tc>
        <w:tc>
          <w:tcPr>
            <w:tcW w:w="180" w:type="dxa"/>
            <w:vAlign w:val="bottom"/>
          </w:tcPr>
          <w:p>
            <w:pPr>
              <w:spacing w:after="0"/>
              <w:rPr>
                <w:sz w:val="19"/>
                <w:szCs w:val="19"/>
                <w:color w:val="auto"/>
              </w:rPr>
            </w:pPr>
          </w:p>
        </w:tc>
        <w:tc>
          <w:tcPr>
            <w:tcW w:w="640" w:type="dxa"/>
            <w:vAlign w:val="bottom"/>
          </w:tcPr>
          <w:p>
            <w:pPr>
              <w:jc w:val="center"/>
              <w:ind w:right="49"/>
              <w:spacing w:after="0"/>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ind w:right="228"/>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vMerge w:val="restart"/>
          </w:tcPr>
          <w:p>
            <w:pPr>
              <w:jc w:val="center"/>
              <w:ind w:right="69"/>
              <w:spacing w:after="0" w:line="135" w:lineRule="exact"/>
              <w:rPr>
                <w:sz w:val="20"/>
                <w:szCs w:val="20"/>
                <w:color w:val="auto"/>
              </w:rPr>
            </w:pPr>
            <w:r>
              <w:rPr>
                <w:rFonts w:ascii="Arial" w:cs="Arial" w:eastAsia="Arial" w:hAnsi="Arial"/>
                <w:sz w:val="13"/>
                <w:szCs w:val="13"/>
                <w:b w:val="1"/>
                <w:bCs w:val="1"/>
                <w:color w:val="auto"/>
                <w:w w:val="88"/>
              </w:rPr>
              <w:t>Notional</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7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5"/>
                <w:szCs w:val="15"/>
                <w:color w:val="auto"/>
              </w:rPr>
            </w:pPr>
          </w:p>
        </w:tc>
        <w:tc>
          <w:tcPr>
            <w:tcW w:w="64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3"/>
                <w:szCs w:val="13"/>
                <w:b w:val="1"/>
                <w:bCs w:val="1"/>
                <w:color w:val="auto"/>
                <w:w w:val="93"/>
              </w:rPr>
              <w:t>Liabilities</w:t>
            </w:r>
          </w:p>
        </w:tc>
        <w:tc>
          <w:tcPr>
            <w:tcW w:w="0" w:type="dxa"/>
            <w:vAlign w:val="bottom"/>
          </w:tcPr>
          <w:p>
            <w:pPr>
              <w:spacing w:after="0"/>
              <w:rPr>
                <w:sz w:val="1"/>
                <w:szCs w:val="1"/>
                <w:color w:val="auto"/>
              </w:rPr>
            </w:pPr>
          </w:p>
        </w:tc>
      </w:tr>
      <w:tr>
        <w:trPr>
          <w:trHeight w:val="262"/>
        </w:trPr>
        <w:tc>
          <w:tcPr>
            <w:tcW w:w="2740" w:type="dxa"/>
            <w:vAlign w:val="bottom"/>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qualifying hedges</w:t>
            </w:r>
          </w:p>
        </w:tc>
        <w:tc>
          <w:tcPr>
            <w:tcW w:w="2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Derivatives Not Designated or Not Qualifying as Hedging Instruments: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20,238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floors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8,542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12,042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options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total return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62,027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14,894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137,887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129,657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3,872</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139,693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131,505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June 30, 2017 and December 31, 2016. The Company’s use of derivatives includes (i) derivatives that serve as macro hedges of the Company’s exposure to various risks and that generally do not qualify for hedge accounting due to the criteria required under the portfolio hedging rules;</w:t>
      </w:r>
    </w:p>
    <w:p>
      <w:pPr>
        <w:jc w:val="both"/>
        <w:ind w:firstLine="8"/>
        <w:spacing w:after="0" w:line="290" w:lineRule="auto"/>
        <w:tabs>
          <w:tab w:leader="none" w:pos="2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synthetically create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4" w:right="239" w:bottom="1440" w:gutter="0" w:footer="0" w:header="0"/>
        </w:sectPr>
      </w:pPr>
    </w:p>
    <w:bookmarkStart w:id="36" w:name="page37"/>
    <w:bookmarkEnd w:id="3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Derivative Gains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derivative gains (losses)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left="384"/>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center"/>
              <w:ind w:left="324"/>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Freestanding derivatives and hedging gains (losses)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Embedded derivatives gains (losses)</w:t>
            </w:r>
          </w:p>
        </w:tc>
        <w:tc>
          <w:tcPr>
            <w:tcW w:w="260" w:type="dxa"/>
            <w:vAlign w:val="bottom"/>
          </w:tcPr>
          <w:p>
            <w:pPr>
              <w:spacing w:after="0"/>
              <w:rPr>
                <w:sz w:val="20"/>
                <w:szCs w:val="20"/>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derivative gains (losses)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5161"/>
              <w:spacing w:after="0"/>
              <w:rPr>
                <w:sz w:val="20"/>
                <w:szCs w:val="20"/>
                <w:color w:val="auto"/>
              </w:rPr>
            </w:pPr>
            <w:r>
              <w:rPr>
                <w:rFonts w:ascii="Arial" w:cs="Arial" w:eastAsia="Arial" w:hAnsi="Arial"/>
                <w:sz w:val="14"/>
                <w:szCs w:val="14"/>
                <w:color w:val="auto"/>
                <w:w w:val="91"/>
              </w:rPr>
              <w:t>__________________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foreign currency transaction gains (losses) on hedged items in cash flow and nonqualifying hedging relationships, which are not presented elsewhere in this note.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earned income on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jc w:val="center"/>
              <w:ind w:left="343"/>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3"/>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center"/>
              <w:ind w:left="323"/>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r>
      <w:tr>
        <w:trPr>
          <w:trHeight w:val="192"/>
        </w:trPr>
        <w:tc>
          <w:tcPr>
            <w:tcW w:w="6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63"/>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Qualifying hedges: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740" w:type="dxa"/>
            <w:vAlign w:val="bottom"/>
          </w:tcPr>
          <w:p>
            <w:pPr>
              <w:jc w:val="right"/>
              <w:ind w:right="56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33"/>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Nonqualifying hedges: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Net derivative gains (losses)</w:t>
            </w:r>
          </w:p>
        </w:tc>
        <w:tc>
          <w:tcPr>
            <w:tcW w:w="740" w:type="dxa"/>
            <w:vAlign w:val="bottom"/>
          </w:tcPr>
          <w:p>
            <w:pPr>
              <w:spacing w:after="0"/>
              <w:rPr>
                <w:sz w:val="20"/>
                <w:szCs w:val="20"/>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196</w:t>
            </w:r>
          </w:p>
        </w:tc>
      </w:tr>
      <w:tr>
        <w:trPr>
          <w:trHeight w:val="33"/>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benefits and claims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17"/>
        </w:trPr>
        <w:tc>
          <w:tcPr>
            <w:tcW w:w="6540" w:type="dxa"/>
            <w:vAlign w:val="bottom"/>
          </w:tcPr>
          <w:p>
            <w:pPr>
              <w:ind w:left="200"/>
              <w:spacing w:after="0"/>
              <w:rPr>
                <w:sz w:val="20"/>
                <w:szCs w:val="20"/>
                <w:color w:val="auto"/>
              </w:rPr>
            </w:pPr>
            <w:r>
              <w:rPr>
                <w:rFonts w:ascii="Arial" w:cs="Arial" w:eastAsia="Arial" w:hAnsi="Arial"/>
                <w:sz w:val="16"/>
                <w:szCs w:val="16"/>
                <w:color w:val="auto"/>
              </w:rPr>
              <w:t>Total</w:t>
            </w:r>
          </w:p>
        </w:tc>
        <w:tc>
          <w:tcPr>
            <w:tcW w:w="74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7"/>
              </w:rPr>
              <w:t>108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212</w:t>
            </w:r>
          </w:p>
        </w:tc>
      </w:tr>
      <w:tr>
        <w:trPr>
          <w:trHeight w:val="33"/>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4" w:right="239" w:bottom="1440" w:gutter="0" w:footer="0" w:header="0"/>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Nonqualifying Derivatives and Derivatives for Purposes Other Than Hedging</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amount and location of gains (losses) recognized in income for derivatives that were not designated or qualifying as hedging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3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Policyholder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13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Benefits and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Gains (Losses)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Income (1)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Claims (2)</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1,416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equity method investments in joint ventures.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designates and accounts for interest rate swaps to convert fixed rate assets and liabilities to floating rate assets and liabilities as fair value hedges when they have met the requirements of fair value hedging.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34" w:right="239" w:bottom="1440" w:gutter="0" w:footer="0" w:header="0"/>
        </w:sectPr>
      </w:pPr>
    </w:p>
    <w:bookmarkStart w:id="38" w:name="page39"/>
    <w:bookmarkEnd w:id="3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recognizes gains and losses on derivatives and the related hedged items in fair value hedges within net derivative gains (losses). The following table presents the amount of such net derivative gains (losses):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11"/>
              <w:spacing w:after="0"/>
              <w:rPr>
                <w:sz w:val="20"/>
                <w:szCs w:val="20"/>
                <w:color w:val="auto"/>
              </w:rPr>
            </w:pPr>
            <w:r>
              <w:rPr>
                <w:rFonts w:ascii="Arial" w:cs="Arial" w:eastAsia="Arial" w:hAnsi="Arial"/>
                <w:sz w:val="13"/>
                <w:szCs w:val="13"/>
                <w:b w:val="1"/>
                <w:bCs w:val="1"/>
                <w:color w:val="auto"/>
                <w:w w:val="89"/>
              </w:rPr>
              <w:t>Net Derivative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Net Derivative</w:t>
            </w:r>
          </w:p>
        </w:tc>
        <w:tc>
          <w:tcPr>
            <w:tcW w:w="200" w:type="dxa"/>
            <w:vAlign w:val="bottom"/>
          </w:tcPr>
          <w:p>
            <w:pPr>
              <w:spacing w:after="0"/>
              <w:rPr>
                <w:sz w:val="13"/>
                <w:szCs w:val="13"/>
                <w:color w:val="auto"/>
              </w:rPr>
            </w:pPr>
          </w:p>
        </w:tc>
        <w:tc>
          <w:tcPr>
            <w:tcW w:w="1160" w:type="dxa"/>
            <w:vAlign w:val="bottom"/>
          </w:tcPr>
          <w:p>
            <w:pPr>
              <w:jc w:val="center"/>
              <w:ind w:right="130"/>
              <w:spacing w:after="0"/>
              <w:rPr>
                <w:sz w:val="20"/>
                <w:szCs w:val="20"/>
                <w:color w:val="auto"/>
              </w:rPr>
            </w:pPr>
            <w:r>
              <w:rPr>
                <w:rFonts w:ascii="Arial" w:cs="Arial" w:eastAsia="Arial" w:hAnsi="Arial"/>
                <w:sz w:val="13"/>
                <w:szCs w:val="13"/>
                <w:b w:val="1"/>
                <w:bCs w:val="1"/>
                <w:color w:val="auto"/>
                <w:w w:val="85"/>
              </w:rPr>
              <w:t>Ineffectiveness</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211"/>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200" w:type="dxa"/>
            <w:vAlign w:val="bottom"/>
          </w:tcPr>
          <w:p>
            <w:pPr>
              <w:spacing w:after="0"/>
              <w:rPr>
                <w:sz w:val="11"/>
                <w:szCs w:val="11"/>
                <w:color w:val="auto"/>
              </w:rPr>
            </w:pPr>
          </w:p>
        </w:tc>
        <w:tc>
          <w:tcPr>
            <w:tcW w:w="11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6"/>
              </w:rPr>
              <w:t>Recognized in</w:t>
            </w:r>
          </w:p>
        </w:tc>
        <w:tc>
          <w:tcPr>
            <w:tcW w:w="0" w:type="dxa"/>
            <w:vAlign w:val="bottom"/>
          </w:tcPr>
          <w:p>
            <w:pPr>
              <w:spacing w:after="0"/>
              <w:rPr>
                <w:sz w:val="1"/>
                <w:szCs w:val="1"/>
                <w:color w:val="auto"/>
              </w:rPr>
            </w:pPr>
          </w:p>
        </w:tc>
      </w:tr>
      <w:tr>
        <w:trPr>
          <w:trHeight w:val="135"/>
        </w:trPr>
        <w:tc>
          <w:tcPr>
            <w:tcW w:w="30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Derivatives in Fair Value</w:t>
            </w:r>
          </w:p>
        </w:tc>
        <w:tc>
          <w:tcPr>
            <w:tcW w:w="4120" w:type="dxa"/>
            <w:vAlign w:val="bottom"/>
            <w:gridSpan w:val="2"/>
          </w:tcPr>
          <w:p>
            <w:pPr>
              <w:ind w:left="1260"/>
              <w:spacing w:after="0" w:line="135" w:lineRule="exact"/>
              <w:rPr>
                <w:sz w:val="20"/>
                <w:szCs w:val="20"/>
                <w:color w:val="auto"/>
              </w:rPr>
            </w:pPr>
            <w:r>
              <w:rPr>
                <w:rFonts w:ascii="Arial" w:cs="Arial" w:eastAsia="Arial" w:hAnsi="Arial"/>
                <w:sz w:val="13"/>
                <w:szCs w:val="13"/>
                <w:b w:val="1"/>
                <w:bCs w:val="1"/>
                <w:color w:val="auto"/>
              </w:rPr>
              <w:t>Hedged Items in Fair Value</w:t>
            </w:r>
          </w:p>
        </w:tc>
        <w:tc>
          <w:tcPr>
            <w:tcW w:w="1100" w:type="dxa"/>
            <w:vAlign w:val="bottom"/>
          </w:tcPr>
          <w:p>
            <w:pPr>
              <w:jc w:val="center"/>
              <w:ind w:left="211"/>
              <w:spacing w:after="0" w:line="135" w:lineRule="exact"/>
              <w:rPr>
                <w:sz w:val="20"/>
                <w:szCs w:val="20"/>
                <w:color w:val="auto"/>
              </w:rPr>
            </w:pPr>
            <w:r>
              <w:rPr>
                <w:rFonts w:ascii="Arial" w:cs="Arial" w:eastAsia="Arial" w:hAnsi="Arial"/>
                <w:sz w:val="13"/>
                <w:szCs w:val="13"/>
                <w:b w:val="1"/>
                <w:bCs w:val="1"/>
                <w:color w:val="auto"/>
                <w:w w:val="84"/>
              </w:rPr>
              <w:t>Recognized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Recognized for</w:t>
            </w:r>
          </w:p>
        </w:tc>
        <w:tc>
          <w:tcPr>
            <w:tcW w:w="200" w:type="dxa"/>
            <w:vAlign w:val="bottom"/>
          </w:tcPr>
          <w:p>
            <w:pPr>
              <w:spacing w:after="0"/>
              <w:rPr>
                <w:sz w:val="11"/>
                <w:szCs w:val="11"/>
                <w:color w:val="auto"/>
              </w:rPr>
            </w:pPr>
          </w:p>
        </w:tc>
        <w:tc>
          <w:tcPr>
            <w:tcW w:w="116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9"/>
              </w:rPr>
              <w:t>Net Derivative</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4120" w:type="dxa"/>
            <w:vAlign w:val="bottom"/>
            <w:gridSpan w:val="2"/>
          </w:tcPr>
          <w:p>
            <w:pPr>
              <w:ind w:left="1380"/>
              <w:spacing w:after="0"/>
              <w:rPr>
                <w:sz w:val="20"/>
                <w:szCs w:val="20"/>
                <w:color w:val="auto"/>
              </w:rPr>
            </w:pPr>
            <w:r>
              <w:rPr>
                <w:rFonts w:ascii="Arial" w:cs="Arial" w:eastAsia="Arial" w:hAnsi="Arial"/>
                <w:sz w:val="13"/>
                <w:szCs w:val="13"/>
                <w:b w:val="1"/>
                <w:bCs w:val="1"/>
                <w:color w:val="auto"/>
              </w:rPr>
              <w:t>Hedging Relationships</w:t>
            </w:r>
          </w:p>
        </w:tc>
        <w:tc>
          <w:tcPr>
            <w:tcW w:w="1100" w:type="dxa"/>
            <w:vAlign w:val="bottom"/>
          </w:tcPr>
          <w:p>
            <w:pPr>
              <w:jc w:val="center"/>
              <w:ind w:left="191"/>
              <w:spacing w:after="0"/>
              <w:rPr>
                <w:sz w:val="20"/>
                <w:szCs w:val="20"/>
                <w:color w:val="auto"/>
              </w:rPr>
            </w:pPr>
            <w:r>
              <w:rPr>
                <w:rFonts w:ascii="Arial" w:cs="Arial" w:eastAsia="Arial" w:hAnsi="Arial"/>
                <w:sz w:val="13"/>
                <w:szCs w:val="13"/>
                <w:b w:val="1"/>
                <w:bCs w:val="1"/>
                <w:color w:val="auto"/>
                <w:w w:val="88"/>
              </w:rPr>
              <w:t>for 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Hedged Items</w:t>
            </w:r>
          </w:p>
        </w:tc>
        <w:tc>
          <w:tcPr>
            <w:tcW w:w="200" w:type="dxa"/>
            <w:vAlign w:val="bottom"/>
          </w:tcPr>
          <w:p>
            <w:pPr>
              <w:spacing w:after="0"/>
              <w:rPr>
                <w:sz w:val="15"/>
                <w:szCs w:val="15"/>
                <w:color w:val="auto"/>
              </w:rPr>
            </w:pPr>
          </w:p>
        </w:tc>
        <w:tc>
          <w:tcPr>
            <w:tcW w:w="1160" w:type="dxa"/>
            <w:vAlign w:val="bottom"/>
          </w:tcPr>
          <w:p>
            <w:pPr>
              <w:jc w:val="center"/>
              <w:ind w:right="110"/>
              <w:spacing w:after="0"/>
              <w:rPr>
                <w:sz w:val="20"/>
                <w:szCs w:val="20"/>
                <w:color w:val="auto"/>
              </w:rPr>
            </w:pPr>
            <w:r>
              <w:rPr>
                <w:rFonts w:ascii="Arial" w:cs="Arial" w:eastAsia="Arial" w:hAnsi="Arial"/>
                <w:sz w:val="13"/>
                <w:szCs w:val="13"/>
                <w:b w:val="1"/>
                <w:bCs w:val="1"/>
                <w:color w:val="auto"/>
                <w:w w:val="83"/>
              </w:rPr>
              <w:t>Gains (Losses)</w:t>
            </w:r>
          </w:p>
        </w:tc>
        <w:tc>
          <w:tcPr>
            <w:tcW w:w="0" w:type="dxa"/>
            <w:vAlign w:val="bottom"/>
          </w:tcPr>
          <w:p>
            <w:pPr>
              <w:spacing w:after="0"/>
              <w:rPr>
                <w:sz w:val="1"/>
                <w:szCs w:val="1"/>
                <w:color w:val="auto"/>
              </w:rPr>
            </w:pPr>
          </w:p>
        </w:tc>
      </w:tr>
      <w:tr>
        <w:trPr>
          <w:trHeight w:val="262"/>
        </w:trPr>
        <w:tc>
          <w:tcPr>
            <w:tcW w:w="2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3"/>
              </w:rPr>
              <w:t>(In millions)</w:t>
            </w: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2016</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21</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7620</wp:posOffset>
            </wp:positionV>
            <wp:extent cx="2735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-98425</wp:posOffset>
            </wp:positionV>
            <wp:extent cx="2735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rate liabilities reported in policyholder account balances or future policy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designates and accounts for the following as cash flow hedges when they have met the requirements of cash flow hedging: (i) interest rate swaps to convert floating rate assets and liabilities to fixed rate assets and liabilities; (ii) foreign currency swaps to hedge the foreign currency cash flow exposure of foreign currency denominated assets and liabilities; (iii) interest rate forwards and credit forwards to lock in the price to be paid for forward purchases of investments; and (iv) interest rate swaps and interest rate forwards to hedge the forecasted purchases of fixed-rate investments.</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For the three months and six months ended June 30, 2017, there were $0 and $12 million, respectively reclassified into net derivative gains (losses) related to such discounted cash flow hedges. For the three months and six months ended June 30, 2016, there were no amounts reclassified into net derivative gains (losses) related to such discontinued cash flow hedges.</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June 30, 2017 and December 31, 2016, the maximum length of time over which the Company was hedging its exposure to variability in future cash flows for forecasted transactions did not exceed two years and three years, respectively.</w:t>
      </w:r>
    </w:p>
    <w:p>
      <w:pPr>
        <w:spacing w:after="0" w:line="6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At June 30, 2017 and December 31, 2016, the balance in AOCI associated with cash flow hedges was $346 million and $414 million,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34" w:right="239" w:bottom="1440" w:gutter="0" w:footer="0" w:header="0"/>
        </w:sectPr>
      </w:pPr>
    </w:p>
    <w:bookmarkStart w:id="39" w:name="page40"/>
    <w:bookmarkEnd w:id="3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effects of derivatives in cash flow hedging relationships on the combined statements of operations and comprehensive income (loss) and the combined statements of shareholder’s net investment and noncontrolling interests:</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Derivatives in Cash Flow</w:t>
      </w:r>
    </w:p>
    <w:p>
      <w:pPr>
        <w:ind w:left="40"/>
        <w:spacing w:after="0"/>
        <w:rPr>
          <w:sz w:val="20"/>
          <w:szCs w:val="20"/>
          <w:color w:val="auto"/>
        </w:rPr>
      </w:pPr>
      <w:r>
        <w:rPr>
          <w:rFonts w:ascii="Arial" w:cs="Arial" w:eastAsia="Arial" w:hAnsi="Arial"/>
          <w:sz w:val="13"/>
          <w:szCs w:val="13"/>
          <w:b w:val="1"/>
          <w:bCs w:val="1"/>
          <w:color w:val="auto"/>
        </w:rPr>
        <w:t>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 June 30, 2017</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 June 30, 2016</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Amount and Location</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8"/>
              </w:rPr>
              <w:t>Amount and Location</w:t>
            </w:r>
          </w:p>
        </w:tc>
      </w:tr>
      <w:tr>
        <w:trPr>
          <w:trHeight w:val="135"/>
        </w:trPr>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Amount of Gains</w:t>
            </w:r>
          </w:p>
        </w:tc>
        <w:tc>
          <w:tcPr>
            <w:tcW w:w="2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of Gains (Losses)</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Gains (Losses)</w:t>
            </w:r>
          </w:p>
        </w:tc>
      </w:tr>
      <w:tr>
        <w:trPr>
          <w:trHeight w:val="135"/>
        </w:trPr>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(Losses) Deferred in</w:t>
            </w:r>
          </w:p>
        </w:tc>
        <w:tc>
          <w:tcPr>
            <w:tcW w:w="2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r>
      <w:tr>
        <w:trPr>
          <w:trHeight w:val="17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AOCI on Derivatives</w:t>
            </w:r>
          </w:p>
        </w:tc>
        <w:tc>
          <w:tcPr>
            <w:tcW w:w="120" w:type="dxa"/>
            <w:vAlign w:val="bottom"/>
          </w:tcPr>
          <w:p>
            <w:pPr>
              <w:spacing w:after="0"/>
              <w:rPr>
                <w:sz w:val="15"/>
                <w:szCs w:val="15"/>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AOCI into Income (Loss)</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(Loss) on Derivatives</w:t>
            </w:r>
          </w:p>
        </w:tc>
      </w:tr>
      <w:tr>
        <w:trPr>
          <w:trHeight w:val="26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22"/>
                <w:szCs w:val="22"/>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(Ineffective Portion)</w:t>
            </w:r>
          </w:p>
        </w:tc>
      </w:tr>
      <w:tr>
        <w:trPr>
          <w:trHeight w:val="144"/>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ind w:left="240"/>
              <w:spacing w:after="0" w:line="144" w:lineRule="exact"/>
              <w:rPr>
                <w:sz w:val="20"/>
                <w:szCs w:val="20"/>
                <w:color w:val="auto"/>
              </w:rPr>
            </w:pPr>
            <w:r>
              <w:rPr>
                <w:rFonts w:ascii="Arial" w:cs="Arial" w:eastAsia="Arial" w:hAnsi="Arial"/>
                <w:sz w:val="13"/>
                <w:szCs w:val="13"/>
                <w:b w:val="1"/>
                <w:bCs w:val="1"/>
                <w:color w:val="auto"/>
                <w:w w:val="89"/>
              </w:rPr>
              <w:t>Net Derivative</w:t>
            </w:r>
          </w:p>
        </w:tc>
        <w:tc>
          <w:tcPr>
            <w:tcW w:w="1800" w:type="dxa"/>
            <w:vAlign w:val="bottom"/>
            <w:gridSpan w:val="2"/>
          </w:tcPr>
          <w:p>
            <w:pPr>
              <w:jc w:val="center"/>
              <w:ind w:left="157"/>
              <w:spacing w:after="0" w:line="144" w:lineRule="exact"/>
              <w:rPr>
                <w:sz w:val="20"/>
                <w:szCs w:val="20"/>
                <w:color w:val="auto"/>
              </w:rPr>
            </w:pPr>
            <w:r>
              <w:rPr>
                <w:rFonts w:ascii="Arial" w:cs="Arial" w:eastAsia="Arial" w:hAnsi="Arial"/>
                <w:sz w:val="13"/>
                <w:szCs w:val="13"/>
                <w:b w:val="1"/>
                <w:bCs w:val="1"/>
                <w:color w:val="auto"/>
                <w:w w:val="87"/>
              </w:rPr>
              <w:t>Net Investment</w:t>
            </w:r>
          </w:p>
        </w:tc>
        <w:tc>
          <w:tcPr>
            <w:tcW w:w="1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Net Derivative</w:t>
            </w:r>
          </w:p>
        </w:tc>
      </w:tr>
      <w:tr>
        <w:trPr>
          <w:trHeight w:val="174"/>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w w:val="83"/>
              </w:rPr>
              <w:t>Gains (Losses)</w:t>
            </w:r>
          </w:p>
        </w:tc>
        <w:tc>
          <w:tcPr>
            <w:tcW w:w="168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Gains (Losses)</w:t>
            </w:r>
          </w:p>
        </w:tc>
      </w:tr>
      <w:tr>
        <w:trPr>
          <w:trHeight w:val="25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0"/>
              </w:rPr>
              <w:t>(In millions)</w:t>
            </w:r>
          </w:p>
        </w:tc>
        <w:tc>
          <w:tcPr>
            <w:tcW w:w="18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10160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7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7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7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7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7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7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-3155315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-2812415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-2451735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-2108835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-1765935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-1405890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-1062990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-702310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-359410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320" w:space="720"/>
            <w:col w:w="6380"/>
          </w:cols>
          <w:pgMar w:left="240" w:top="234"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2017, the Company expects to reclassify $26 million of deferred net gains (losses) on derivatives in AOCI to earnings within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Company’s maximum amount at risk, assuming the value of all referenced credit obligations is zero, was $1.9 billion at both June 30, 2017 and December 31, 2016. The Company can terminate these contracts at any time through cash settlement with the counterparty at an amount equal to the then current estimated fair value of the credit default swaps. At June 30, 2017 and December 31, 2016, the Company would have received $33 million and $28 million, respectively, to terminate all of these contracts.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34" w:right="239" w:bottom="1440" w:gutter="0" w:footer="0" w:header="0"/>
          <w:type w:val="continuous"/>
        </w:sectPr>
      </w:pPr>
    </w:p>
    <w:bookmarkStart w:id="40" w:name="page41"/>
    <w:bookmarkEnd w:id="4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June 30, 2017</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3"/>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2"/>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533</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433</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558</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478</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110</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180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1,188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1,235</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1,298</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1,415</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1,901</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1,913</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4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Single name credit default swaps may be referenced to the credit of corporations, foreign governments, or state and political subdivisions.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on Freestanding Derivatives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34" w:right="239" w:bottom="1440" w:gutter="0" w:footer="0" w:header="0"/>
        </w:sectPr>
      </w:pPr>
    </w:p>
    <w:bookmarkStart w:id="41" w:name="page42"/>
    <w:bookmarkEnd w:id="4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(1), (6)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gross estimated fair value of derivatives (1)</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Amounts offset on the combined balance sheets</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Estimated fair value of derivatives presented on the combined balance sheets (1), (6)</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Gross amounts not offset on the combined balance sheets: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collateral: (5)</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June 30, 2017 and December 31, 2016, derivative assets included income or expense accruals reported in accrued investment income or in other liabilities of $49 million and $104 million, respectively, and derivative liabilities included (income) or expense accruals reported in accrued investment income or in other liabilities of ($17) million and ($49)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June 30, 2017 and December 31, 2016, the Company received excess cash collateral of $141 million and $4 million, respectively, and provided excess cash collateral of $0 and $25 million, respectively, which is not included in the table above due to the foregoing limitation.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34" w:right="239" w:bottom="1440" w:gutter="0" w:footer="0" w:header="0"/>
        </w:sectPr>
      </w:pPr>
    </w:p>
    <w:bookmarkStart w:id="42" w:name="page43"/>
    <w:bookmarkEnd w:id="4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500" w:hanging="492"/>
        <w:spacing w:after="0" w:line="270"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June 30, 2017,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June 30, 2017 and December 31, 2016, the Company received excess securities collateral with an estimated fair value of $157 million and $135 million, respectively, for its OTC-bilateral derivatives, which are not included in the table above due to the foregoing limitation. At June 30, 2017 and December 31, 2016, the Company provided excess securities collateral with an estimated fair value of $161 million and $108 million, respectively, for its OTC-bilateral derivatives, and $278 million and $630 million, respectively, for its OTC-cleared derivatives, and $124 million and $453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January 3, 2017, the CME amended its rulebook, resulting in the characterization of variation margin transfers as settlement payments, as opposed to adjustments to collateral. See Note 1 for further information on the CME amendments.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320" w:type="dxa"/>
            <w:vAlign w:val="bottom"/>
            <w:tcBorders>
              <w:bottom w:val="single" w:sz="8" w:color="CCEEFF"/>
            </w:tcBorders>
            <w:shd w:val="clear" w:color="auto" w:fill="CCEEFF"/>
          </w:tcPr>
          <w:p>
            <w:pPr>
              <w:jc w:val="right"/>
              <w:ind w:right="114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7"/>
              </w:rPr>
              <w:t>839</w:t>
            </w:r>
          </w:p>
        </w:tc>
        <w:tc>
          <w:tcPr>
            <w:tcW w:w="92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Estimated Fair Value of Collateral Provided:</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1320" w:type="dxa"/>
            <w:vAlign w:val="bottom"/>
            <w:tcBorders>
              <w:bottom w:val="single" w:sz="8" w:color="CCEEFF"/>
            </w:tcBorders>
            <w:shd w:val="clear" w:color="auto" w:fill="CCEEFF"/>
          </w:tcPr>
          <w:p>
            <w:pPr>
              <w:jc w:val="right"/>
              <w:ind w:right="114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7"/>
              </w:rPr>
              <w:t>956</w:t>
            </w:r>
          </w:p>
        </w:tc>
        <w:tc>
          <w:tcPr>
            <w:tcW w:w="92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Cash</w:t>
            </w:r>
          </w:p>
        </w:tc>
        <w:tc>
          <w:tcPr>
            <w:tcW w:w="1320" w:type="dxa"/>
            <w:vAlign w:val="bottom"/>
          </w:tcPr>
          <w:p>
            <w:pPr>
              <w:jc w:val="right"/>
              <w:ind w:right="114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Fair Value of Incremental Collateral Provided Upon:</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One-notch downgrade in financial strength rating</w:t>
            </w:r>
          </w:p>
        </w:tc>
        <w:tc>
          <w:tcPr>
            <w:tcW w:w="1320" w:type="dxa"/>
            <w:vAlign w:val="bottom"/>
          </w:tcPr>
          <w:p>
            <w:pPr>
              <w:jc w:val="right"/>
              <w:ind w:right="114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tcPr>
          <w:p>
            <w:pPr>
              <w:ind w:left="180"/>
              <w:spacing w:after="0"/>
              <w:rPr>
                <w:sz w:val="20"/>
                <w:szCs w:val="20"/>
                <w:color w:val="auto"/>
              </w:rPr>
            </w:pPr>
            <w:r>
              <w:rPr>
                <w:rFonts w:ascii="Arial" w:cs="Arial" w:eastAsia="Arial" w:hAnsi="Arial"/>
                <w:sz w:val="16"/>
                <w:szCs w:val="16"/>
                <w:color w:val="auto"/>
                <w:w w:val="98"/>
              </w:rPr>
              <w:t>Downgrade in financial strength rating to a level that triggers full overnight collateralization or termination of the</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derivative position</w:t>
            </w:r>
          </w:p>
        </w:tc>
        <w:tc>
          <w:tcPr>
            <w:tcW w:w="1320" w:type="dxa"/>
            <w:vAlign w:val="bottom"/>
          </w:tcPr>
          <w:p>
            <w:pPr>
              <w:jc w:val="right"/>
              <w:ind w:right="114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affiliated ceded reinsurance of guaranteed minimum benefits related to GMWBs, GMABs and certain GMIBs; affiliated assumed reinsurance of guaranteed minimum benefits related to GMWBs and certain GMIBs; funds withheld on assumed and ceded reinsurance; fixed annuities with equity-indexed returns; and certain debt and equity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34" w:right="239" w:bottom="1440" w:gutter="0" w:footer="0" w:header="0"/>
        </w:sectPr>
      </w:pPr>
    </w:p>
    <w:bookmarkStart w:id="43" w:name="page44"/>
    <w:bookmarkEnd w:id="4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30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2016</w:t>
            </w:r>
          </w:p>
        </w:tc>
      </w:tr>
      <w:tr>
        <w:trPr>
          <w:trHeight w:val="264"/>
        </w:trPr>
        <w:tc>
          <w:tcPr>
            <w:tcW w:w="4780" w:type="dxa"/>
            <w:vAlign w:val="bottom"/>
          </w:tcPr>
          <w:p>
            <w:pPr>
              <w:spacing w:after="0"/>
              <w:rPr>
                <w:sz w:val="22"/>
                <w:szCs w:val="22"/>
                <w:color w:val="auto"/>
              </w:rPr>
            </w:pPr>
          </w:p>
        </w:tc>
        <w:tc>
          <w:tcPr>
            <w:tcW w:w="31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020" w:type="dxa"/>
            <w:vAlign w:val="bottom"/>
            <w:tcBorders>
              <w:top w:val="single" w:sz="8" w:color="auto"/>
            </w:tcBorders>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derivatives within asset host contracts:</w:t>
            </w:r>
          </w:p>
        </w:tc>
        <w:tc>
          <w:tcPr>
            <w:tcW w:w="3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Ceded guaranteed minimum benefits</w:t>
            </w: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628</w:t>
            </w:r>
          </w:p>
        </w:tc>
      </w:tr>
      <w:tr>
        <w:trPr>
          <w:trHeight w:val="33"/>
        </w:trPr>
        <w:tc>
          <w:tcPr>
            <w:tcW w:w="4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embedded in debt or equity securities</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44"/>
        </w:trPr>
        <w:tc>
          <w:tcPr>
            <w:tcW w:w="4780" w:type="dxa"/>
            <w:vAlign w:val="bottom"/>
          </w:tcPr>
          <w:p>
            <w:pPr>
              <w:ind w:left="200"/>
              <w:spacing w:after="0"/>
              <w:rPr>
                <w:sz w:val="20"/>
                <w:szCs w:val="20"/>
                <w:color w:val="auto"/>
              </w:rPr>
            </w:pPr>
            <w:r>
              <w:rPr>
                <w:rFonts w:ascii="Arial" w:cs="Arial" w:eastAsia="Arial" w:hAnsi="Arial"/>
                <w:sz w:val="16"/>
                <w:szCs w:val="16"/>
                <w:color w:val="auto"/>
              </w:rPr>
              <w:t>Embedded derivatives within asset host contracts</w:t>
            </w:r>
          </w:p>
        </w:tc>
        <w:tc>
          <w:tcPr>
            <w:tcW w:w="3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579</w:t>
            </w:r>
          </w:p>
        </w:tc>
      </w:tr>
      <w:tr>
        <w:trPr>
          <w:trHeight w:val="20"/>
        </w:trPr>
        <w:tc>
          <w:tcPr>
            <w:tcW w:w="4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47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derivatives within liability host contracts:</w:t>
            </w:r>
          </w:p>
        </w:tc>
        <w:tc>
          <w:tcPr>
            <w:tcW w:w="3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Direct guaranteed minimum benefits</w:t>
            </w: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2,359</w:t>
            </w:r>
          </w:p>
        </w:tc>
      </w:tr>
      <w:tr>
        <w:trPr>
          <w:trHeight w:val="33"/>
        </w:trPr>
        <w:tc>
          <w:tcPr>
            <w:tcW w:w="4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Assumed guaranteed minimum benefits</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Fixed annuities with equity indexed returns</w:t>
            </w:r>
          </w:p>
        </w:tc>
        <w:tc>
          <w:tcPr>
            <w:tcW w:w="330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192</w:t>
            </w:r>
          </w:p>
        </w:tc>
      </w:tr>
      <w:tr>
        <w:trPr>
          <w:trHeight w:val="33"/>
        </w:trPr>
        <w:tc>
          <w:tcPr>
            <w:tcW w:w="47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w:t>
            </w:r>
          </w:p>
        </w:tc>
        <w:tc>
          <w:tcPr>
            <w:tcW w:w="3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3,011</w:t>
            </w:r>
          </w:p>
        </w:tc>
      </w:tr>
      <w:tr>
        <w:trPr>
          <w:trHeight w:val="20"/>
        </w:trPr>
        <w:tc>
          <w:tcPr>
            <w:tcW w:w="47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93"/>
              </w:rPr>
              <w:t>Six Months</w:t>
            </w:r>
          </w:p>
        </w:tc>
        <w:tc>
          <w:tcPr>
            <w:tcW w:w="760" w:type="dxa"/>
            <w:vAlign w:val="bottom"/>
          </w:tcPr>
          <w:p>
            <w:pPr>
              <w:spacing w:after="0"/>
              <w:rPr>
                <w:sz w:val="14"/>
                <w:szCs w:val="14"/>
                <w:color w:val="auto"/>
              </w:rPr>
            </w:pPr>
          </w:p>
        </w:tc>
      </w:tr>
      <w:tr>
        <w:trPr>
          <w:trHeight w:val="149"/>
        </w:trPr>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left="325"/>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r>
      <w:tr>
        <w:trPr>
          <w:trHeight w:val="192"/>
        </w:trPr>
        <w:tc>
          <w:tcPr>
            <w:tcW w:w="6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365"/>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r>
      <w:tr>
        <w:trPr>
          <w:trHeight w:val="264"/>
        </w:trPr>
        <w:tc>
          <w:tcPr>
            <w:tcW w:w="6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 (1), (2)</w:t>
            </w:r>
          </w:p>
        </w:tc>
        <w:tc>
          <w:tcPr>
            <w:tcW w:w="88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138</w:t>
            </w:r>
          </w:p>
        </w:tc>
        <w:tc>
          <w:tcPr>
            <w:tcW w:w="5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308</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88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4"/>
              <w:spacing w:after="0"/>
              <w:rPr>
                <w:sz w:val="20"/>
                <w:szCs w:val="20"/>
                <w:color w:val="auto"/>
              </w:rPr>
            </w:pPr>
            <w:r>
              <w:rPr>
                <w:rFonts w:ascii="Arial" w:cs="Arial" w:eastAsia="Arial" w:hAnsi="Arial"/>
                <w:sz w:val="16"/>
                <w:szCs w:val="16"/>
                <w:color w:val="auto"/>
              </w:rPr>
              <w:t>14</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5"/>
              <w:spacing w:after="0"/>
              <w:rPr>
                <w:sz w:val="20"/>
                <w:szCs w:val="20"/>
                <w:color w:val="auto"/>
              </w:rPr>
            </w:pPr>
            <w:r>
              <w:rPr>
                <w:rFonts w:ascii="Arial" w:cs="Arial" w:eastAsia="Arial" w:hAnsi="Arial"/>
                <w:sz w:val="16"/>
                <w:szCs w:val="16"/>
                <w:color w:val="auto"/>
              </w:rPr>
              <w:t>(1)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105</w:t>
            </w:r>
          </w:p>
        </w:tc>
      </w:tr>
      <w:tr>
        <w:trPr>
          <w:trHeight w:val="197"/>
        </w:trPr>
        <w:tc>
          <w:tcPr>
            <w:tcW w:w="6400" w:type="dxa"/>
            <w:vAlign w:val="bottom"/>
          </w:tcPr>
          <w:p>
            <w:pPr>
              <w:jc w:val="right"/>
              <w:ind w:right="5022"/>
              <w:spacing w:after="0"/>
              <w:rPr>
                <w:sz w:val="20"/>
                <w:szCs w:val="20"/>
                <w:color w:val="auto"/>
              </w:rPr>
            </w:pPr>
            <w:r>
              <w:rPr>
                <w:rFonts w:ascii="Arial" w:cs="Arial" w:eastAsia="Arial" w:hAnsi="Arial"/>
                <w:sz w:val="14"/>
                <w:szCs w:val="14"/>
                <w:color w:val="auto"/>
                <w:w w:val="91"/>
              </w:rPr>
              <w:t>__________________</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92" w:lineRule="exact"/>
        <w:rPr>
          <w:sz w:val="20"/>
          <w:szCs w:val="20"/>
          <w:color w:val="auto"/>
        </w:rPr>
      </w:pPr>
    </w:p>
    <w:p>
      <w:pPr>
        <w:jc w:val="both"/>
        <w:ind w:left="500" w:hanging="492"/>
        <w:spacing w:after="0" w:line="255"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valuation of direct and assumed guaranteed minimum benefits includes a nonperformance risk adjustment. The amounts included in net derivative gains (losses) in connection with this adjustment were ($32) million and ($72) million for the three months and six months ended June 30, 2017, respectively, and $503 million and $641 million for the three months and six months ended June 30, 2016, respectively. In addition, the valuation of ceded guaranteed minimum benefits includes a nonperformance risk adjustment. The amounts included in net derivative gains (losses) in connection with this adjustment, were less than $1 million for both the three months and six months ended June 30, 2017, and ($48) million and ($72) million for the three months and six months ended June 30, 2016, respectively.</w:t>
      </w:r>
    </w:p>
    <w:p>
      <w:pPr>
        <w:spacing w:after="0" w:line="85"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12 for discussion of affiliated net derivative gains (losses).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3"/>
                <w:szCs w:val="13"/>
                <w:b w:val="1"/>
                <w:bCs w:val="1"/>
                <w:color w:val="auto"/>
              </w:rPr>
              <w:t>June 30, 2017</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20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center"/>
              <w:ind w:right="209"/>
              <w:spacing w:after="0" w:line="135" w:lineRule="exact"/>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Level 3</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jc w:val="right"/>
              <w:ind w:right="88"/>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21,010</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22,412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8,077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7,434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15,511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6,996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8,168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5,673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6,627</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4,043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3,146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8,077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51,585</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63,507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affiliates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assets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 (3)</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115,103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115,566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8,838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170,496</w:t>
            </w:r>
          </w:p>
        </w:tc>
        <w:tc>
          <w:tcPr>
            <w:tcW w:w="12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183,848</w:t>
            </w:r>
          </w:p>
        </w:tc>
        <w:tc>
          <w:tcPr>
            <w:tcW w:w="0" w:type="dxa"/>
            <w:vAlign w:val="bottom"/>
          </w:tcPr>
          <w:p>
            <w:pPr>
              <w:spacing w:after="0"/>
              <w:rPr>
                <w:sz w:val="1"/>
                <w:szCs w:val="1"/>
                <w:color w:val="auto"/>
              </w:rPr>
            </w:pPr>
          </w:p>
        </w:tc>
      </w:tr>
      <w:tr>
        <w:trPr>
          <w:trHeight w:val="100"/>
        </w:trPr>
        <w:tc>
          <w:tcPr>
            <w:tcW w:w="5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liabilities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3,331</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5,663</w:t>
            </w:r>
          </w:p>
        </w:tc>
        <w:tc>
          <w:tcPr>
            <w:tcW w:w="0" w:type="dxa"/>
            <w:vAlign w:val="bottom"/>
          </w:tcPr>
          <w:p>
            <w:pPr>
              <w:spacing w:after="0"/>
              <w:rPr>
                <w:sz w:val="1"/>
                <w:szCs w:val="1"/>
                <w:color w:val="auto"/>
              </w:rPr>
            </w:pPr>
          </w:p>
        </w:tc>
      </w:tr>
      <w:tr>
        <w:trPr>
          <w:trHeight w:val="65"/>
        </w:trPr>
        <w:tc>
          <w:tcPr>
            <w:tcW w:w="516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34"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20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center"/>
              <w:ind w:right="209"/>
              <w:spacing w:after="0" w:line="135" w:lineRule="exact"/>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20,828</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22,311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6,210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6,880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13,090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5,485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3,645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6,210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51,059</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affiliates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2,143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assets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3,388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3,622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 (3)</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112,313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7,734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168,678</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181,495</w:t>
            </w:r>
          </w:p>
        </w:tc>
        <w:tc>
          <w:tcPr>
            <w:tcW w:w="0" w:type="dxa"/>
            <w:vAlign w:val="bottom"/>
          </w:tcPr>
          <w:p>
            <w:pPr>
              <w:spacing w:after="0"/>
              <w:rPr>
                <w:sz w:val="1"/>
                <w:szCs w:val="1"/>
                <w:color w:val="auto"/>
              </w:rPr>
            </w:pPr>
          </w:p>
        </w:tc>
      </w:tr>
      <w:tr>
        <w:trPr>
          <w:trHeight w:val="100"/>
        </w:trPr>
        <w:tc>
          <w:tcPr>
            <w:tcW w:w="5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1,689</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liabilities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3,011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6,917</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3978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31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Derivative assets are presented within other invested assets on the combined balance sheets and derivative liabilities are presented within other liabilities on the combined balance sheets. The amounts are presented gross in the tables above to reflect the presentation on the combined balance sheets, but are presented net for purposes of the rollforward in the Fair Value Measurements Using Significant Unobservable Inputs (Level 3) tables.</w:t>
      </w:r>
    </w:p>
    <w:p>
      <w:pPr>
        <w:sectPr>
          <w:pgSz w:w="11900" w:h="16838" w:orient="portrait"/>
          <w:cols w:equalWidth="0" w:num="1">
            <w:col w:w="11420"/>
          </w:cols>
          <w:pgMar w:left="240" w:top="28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288"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500" w:hanging="492"/>
        <w:spacing w:after="0" w:line="259"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combined balance sheets. Embedded derivatives within liability host contracts are presented within policyholder account balances on the combined balance sheets. At June 30, 2017 and December 31, 2016, debt and equity securities also included embedded derivatives of ($60) million and ($49) million, respectively.</w:t>
      </w:r>
    </w:p>
    <w:p>
      <w:pPr>
        <w:spacing w:after="0" w:line="78"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Investment performance related to separate account assets is fully offset by corresponding amounts credited to contractholders whose liability is reflected within separate account liabilities. Separate account liabilities are set equal to the estimated fair value of separate account assets.</w:t>
      </w:r>
    </w:p>
    <w:p>
      <w:pPr>
        <w:spacing w:after="0" w:line="3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describes the valuation methodologies used to measure assets and liabilities at fair value. The description includes the valuation techniques and key inputs for each category of assets or liabilities that are classified within Level 2 and Level 3 of the fair value hierarchy.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Controls and Procedures</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On behalf of the Company and MetLife, Inc.’s Chief Investment Officer and Chief Financial Officer, a pricing and valuation committee that is independent of the trading and investing functions and comprised of senior management, provides oversight of control systems and valuation policies for securities, mortgage loans and derivatives. On a quarterly basis, this committee reviews and approves new transaction types and markets, ensures that observable market prices and market-based parameters are used for valuation, wherever possible, and determines that judgmental valuation adjustments, when applied, are based upon established policies and are applied consistently over time. This committee also provides oversight of the selection of independent third-party pricing providers and the controls and procedures to evaluate third party pricing. Historically, the Chief Accounting Officer periodically reported to the Audit Committee of MetLife, Inc.’s Board of Directors regarding compliance with fair value accounting standards.</w:t>
      </w:r>
    </w:p>
    <w:p>
      <w:pPr>
        <w:spacing w:after="0" w:line="59"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7"/>
          <w:szCs w:val="17"/>
          <w:color w:val="auto"/>
        </w:rPr>
        <w:t>The Company reviews its valuation methodologies on an ongoing basis and revises those methodologies when necessary based on changing market conditions. Assurance is gained on the overall reasonableness and consistent application of input assumptions, valuation methodologies and compliance with fair value accounting standards through controls designed to ensure valuations represent an exit price. Several controls are utilized, including certain monthly controls, which include, but are not limited to, analysis of portfolio returns to corresponding benchmark returns, comparing a sample of executed prices of securities sold to the fair value estimates, comparing fair value estimates to management’s knowledge of the current market,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The Company ensures that prices received from independent brokers, also referred to herein as “consensus pricing,” represent a reasonable estimate of fair value by considering such pricing relative to the Company’s knowledge of the current market dynamics and current pricing for similar financial instruments. While independent non-binding broker quotations are utilized, they are not used for a significant portion of the portfolio. For example, fixed maturity securities priced using independent non-binding broker quotations represent less than 1% of the total estimated fair value of fixed maturity securities and 6% of the total estimated fair value of Level 3 fixed maturity securities at June 30, 2017.</w:t>
      </w:r>
    </w:p>
    <w:p>
      <w:pPr>
        <w:spacing w:after="0" w:line="80"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Company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or an internally developed valuation is prepared. Internally developed valuations of current estimated fair value, which reflect internal estimates of liquidity and nonperformance risks, compared with pricing received from the independent pricing services, did not produce material differences in the estimated fair values for the majority of the portfolio; accordingly, overrides were not material. This is, in part, because internal estimates of liquidity and nonperformance risks are generally based on available market evidence and estimates used by other market participants. In the absence of such market-based evidence, management’s best estimate is used.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8"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Short-term Investments, Loans to Affiliates and Long-term Debt of CSEs — FVO</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When available, the estimated fair value of these financial instruments is based on quoted prices in active markets that are readily and regularly obtainable. Generally, these are the most liquid of the Company’s securities holdings and valuation of these securities does not involve management’s judgment.</w:t>
      </w:r>
    </w:p>
    <w:p>
      <w:pPr>
        <w:spacing w:after="0" w:line="73"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When quoted prices in active markets are not available, the determination of estimated fair value is based on market standard valuation methodologies, giving priority to observable inputs. The significant inputs to the market standard valuation methodologies for certain types of securities with reasonable levels of price transparency are inputs that are observable in the market or can be derived principally from, or corroborated by, observable market data. When observable inputs are not available, the market standard valuation methodologies rely on inputs that are significant to the estimated fair value that are not observable in the market or cannot be derived principally from, or corroborated by, observable market data. These unobservable inputs can be based in large part on management’s judgment or estimation and cannot be supported by reference to market activity. Even though these inputs are unobservable, management believes they are consistent with what other market participants would use when pricing such securities and are considered appropriate given the circumstances.</w:t>
      </w:r>
    </w:p>
    <w:p>
      <w:pPr>
        <w:spacing w:after="0" w:line="7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estimated fair value of loans to affiliates and long-term debt of CSEs — FVO is determined on a basis consistent with the methodologies described herein for securities.</w:t>
      </w:r>
    </w:p>
    <w:p>
      <w:pPr>
        <w:spacing w:after="0" w:line="62"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The valuation of most instruments listed below is determined using independent pricing sources, matrix pricing, discounted cash flow methodologies or other similar techniques that use either observable market inputs or unobservable inputs.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8"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24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Instrument</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94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3"/>
                <w:szCs w:val="13"/>
                <w:b w:val="1"/>
                <w:bCs w:val="1"/>
                <w:color w:val="auto"/>
              </w:rPr>
              <w:t>Level 2</w:t>
            </w:r>
          </w:p>
        </w:tc>
        <w:tc>
          <w:tcPr>
            <w:tcW w:w="100" w:type="dxa"/>
            <w:vAlign w:val="bottom"/>
            <w:tcBorders>
              <w:top w:val="single" w:sz="8" w:color="auto"/>
            </w:tcBorders>
          </w:tcPr>
          <w:p>
            <w:pPr>
              <w:spacing w:after="0"/>
              <w:rPr>
                <w:sz w:val="13"/>
                <w:szCs w:val="13"/>
                <w:color w:val="auto"/>
              </w:rPr>
            </w:pPr>
          </w:p>
        </w:tc>
        <w:tc>
          <w:tcPr>
            <w:tcW w:w="482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4"/>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94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3"/>
                <w:szCs w:val="13"/>
                <w:b w:val="1"/>
                <w:bCs w:val="1"/>
                <w:color w:val="auto"/>
              </w:rPr>
              <w:t>Observable Inputs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1780"/>
              <w:spacing w:after="0"/>
              <w:rPr>
                <w:sz w:val="20"/>
                <w:szCs w:val="20"/>
                <w:color w:val="auto"/>
              </w:rPr>
            </w:pPr>
            <w:r>
              <w:rPr>
                <w:rFonts w:ascii="Arial" w:cs="Arial" w:eastAsia="Arial" w:hAnsi="Arial"/>
                <w:sz w:val="13"/>
                <w:szCs w:val="13"/>
                <w:b w:val="1"/>
                <w:bCs w:val="1"/>
                <w:color w:val="auto"/>
              </w:rPr>
              <w:t>Unobservable Inputs</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8"/>
              </w:rPr>
              <w:t>Fixed Maturity Securities</w:t>
            </w:r>
          </w:p>
        </w:tc>
        <w:tc>
          <w:tcPr>
            <w:tcW w:w="4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tcBorders>
              <w:left w:val="single" w:sz="8" w:color="auto"/>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U.S. corporate and Foreign corporate securities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illiquidity premium</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benchmark yields; spreads off benchmark yields; new issuances; issuer rating</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delta spread adjustments to reflect specific credit-related issues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trades of identical or comparable securities; duration</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Privately-placed securities are valued using the additional key inputs: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auto"/>
              </w:rPr>
              <w:t>market yield curve; call provisions</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9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w w:val="93"/>
              </w:rPr>
              <w:t>observable prices and spreads for similar public or private securities that incorporate the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4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credit quality and industry sector of the issuer</w:t>
            </w:r>
          </w:p>
        </w:tc>
        <w:tc>
          <w:tcPr>
            <w:tcW w:w="100" w:type="dxa"/>
            <w:vAlign w:val="bottom"/>
          </w:tcPr>
          <w:p>
            <w:pPr>
              <w:spacing w:after="0"/>
              <w:rPr>
                <w:sz w:val="13"/>
                <w:szCs w:val="13"/>
                <w:color w:val="auto"/>
              </w:rPr>
            </w:pPr>
          </w:p>
        </w:tc>
        <w:tc>
          <w:tcPr>
            <w:tcW w:w="4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delta spread adjustments to reflect specific credit-related issues</w:t>
            </w:r>
          </w:p>
        </w:tc>
        <w:tc>
          <w:tcPr>
            <w:tcW w:w="100" w:type="dxa"/>
            <w:vAlign w:val="bottom"/>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right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520" w:type="dxa"/>
            <w:vAlign w:val="bottom"/>
            <w:tcBorders>
              <w:left w:val="single" w:sz="8" w:color="auto"/>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U.S. government and agency, State and political subdivision and Foreign government securities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benchmark U.S. Treasury yield or other yields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the spread off the U.S. Treasury yield curve for the identical security</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100" w:type="dxa"/>
            <w:vAlign w:val="bottom"/>
            <w:vMerge w:val="continue"/>
          </w:tcPr>
          <w:p>
            <w:pPr>
              <w:spacing w:after="0"/>
              <w:rPr>
                <w:sz w:val="11"/>
                <w:szCs w:val="11"/>
                <w:color w:val="auto"/>
              </w:rPr>
            </w:pPr>
          </w:p>
        </w:tc>
        <w:tc>
          <w:tcPr>
            <w:tcW w:w="518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issuer ratings and issuer spreads; broker-dealer quotes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comparable securities that are actively traded</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auto"/>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86"/>
              </w:rPr>
              <w:t>Structured Securities</w:t>
            </w:r>
          </w:p>
        </w:tc>
        <w:tc>
          <w:tcPr>
            <w:tcW w:w="24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spreads for actively traded securities; spreads off benchmark yields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52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3"/>
                <w:szCs w:val="13"/>
                <w:color w:val="auto"/>
              </w:rPr>
              <w:t>• expected prepayment speeds and volumes</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5280" w:type="dxa"/>
            <w:vAlign w:val="bottom"/>
            <w:tcBorders>
              <w:right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current and forecasted loss severity; ratings; geographic region</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weighted average coupon and weighted average maturity</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average delinquency rates; debt-service coverage ratios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issuance-specific information, including, but not limited to:</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collateral type; structure of the security; vintage of the loans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payment terms of the underlying assets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payment priority within the tranche; deal performance</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288" w:right="2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326390</wp:posOffset>
            </wp:positionV>
            <wp:extent cx="7237730" cy="4004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400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0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Instrument</w:t>
            </w:r>
          </w:p>
        </w:tc>
        <w:tc>
          <w:tcPr>
            <w:tcW w:w="160" w:type="dxa"/>
            <w:vAlign w:val="bottom"/>
            <w:tcBorders>
              <w:top w:val="single" w:sz="8" w:color="auto"/>
            </w:tcBorders>
          </w:tcPr>
          <w:p>
            <w:pPr>
              <w:spacing w:after="0"/>
              <w:rPr>
                <w:sz w:val="13"/>
                <w:szCs w:val="13"/>
                <w:color w:val="auto"/>
              </w:rPr>
            </w:pPr>
          </w:p>
        </w:tc>
        <w:tc>
          <w:tcPr>
            <w:tcW w:w="5080" w:type="dxa"/>
            <w:vAlign w:val="bottom"/>
            <w:tcBorders>
              <w:top w:val="single" w:sz="8" w:color="auto"/>
              <w:right w:val="single" w:sz="8" w:color="auto"/>
            </w:tcBorders>
          </w:tcPr>
          <w:p>
            <w:pPr>
              <w:ind w:left="2260"/>
              <w:spacing w:after="0"/>
              <w:rPr>
                <w:sz w:val="20"/>
                <w:szCs w:val="20"/>
                <w:color w:val="auto"/>
              </w:rPr>
            </w:pPr>
            <w:r>
              <w:rPr>
                <w:rFonts w:ascii="Arial" w:cs="Arial" w:eastAsia="Arial" w:hAnsi="Arial"/>
                <w:sz w:val="13"/>
                <w:szCs w:val="13"/>
                <w:b w:val="1"/>
                <w:bCs w:val="1"/>
                <w:color w:val="auto"/>
              </w:rPr>
              <w:t>Level 2</w:t>
            </w:r>
          </w:p>
        </w:tc>
        <w:tc>
          <w:tcPr>
            <w:tcW w:w="5120" w:type="dxa"/>
            <w:vAlign w:val="bottom"/>
            <w:tcBorders>
              <w:top w:val="single" w:sz="8" w:color="auto"/>
            </w:tcBorders>
          </w:tcPr>
          <w:p>
            <w:pPr>
              <w:ind w:left="2360"/>
              <w:spacing w:after="0"/>
              <w:rPr>
                <w:sz w:val="20"/>
                <w:szCs w:val="20"/>
                <w:color w:val="auto"/>
              </w:rPr>
            </w:pPr>
            <w:r>
              <w:rPr>
                <w:rFonts w:ascii="Arial" w:cs="Arial" w:eastAsia="Arial" w:hAnsi="Arial"/>
                <w:sz w:val="13"/>
                <w:szCs w:val="13"/>
                <w:b w:val="1"/>
                <w:bCs w:val="1"/>
                <w:color w:val="auto"/>
              </w:rPr>
              <w:t>Level 3</w:t>
            </w:r>
          </w:p>
        </w:tc>
      </w:tr>
      <w:tr>
        <w:trPr>
          <w:trHeight w:val="174"/>
        </w:trPr>
        <w:tc>
          <w:tcPr>
            <w:tcW w:w="10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3"/>
                <w:szCs w:val="13"/>
                <w:b w:val="1"/>
                <w:bCs w:val="1"/>
                <w:color w:val="auto"/>
              </w:rPr>
              <w:t>Observable Inputs</w:t>
            </w:r>
          </w:p>
        </w:tc>
        <w:tc>
          <w:tcPr>
            <w:tcW w:w="5120" w:type="dxa"/>
            <w:vAlign w:val="bottom"/>
            <w:tcBorders>
              <w:bottom w:val="single" w:sz="8" w:color="auto"/>
            </w:tcBorders>
          </w:tcPr>
          <w:p>
            <w:pPr>
              <w:ind w:left="2000"/>
              <w:spacing w:after="0"/>
              <w:rPr>
                <w:sz w:val="20"/>
                <w:szCs w:val="20"/>
                <w:color w:val="auto"/>
              </w:rPr>
            </w:pPr>
            <w:r>
              <w:rPr>
                <w:rFonts w:ascii="Arial" w:cs="Arial" w:eastAsia="Arial" w:hAnsi="Arial"/>
                <w:sz w:val="13"/>
                <w:szCs w:val="13"/>
                <w:b w:val="1"/>
                <w:bCs w:val="1"/>
                <w:color w:val="auto"/>
              </w:rPr>
              <w:t>Unobservable Inputs</w:t>
            </w:r>
          </w:p>
        </w:tc>
      </w:tr>
      <w:tr>
        <w:trPr>
          <w:trHeight w:val="183"/>
        </w:trPr>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Equity Securities</w:t>
            </w:r>
          </w:p>
        </w:tc>
        <w:tc>
          <w:tcPr>
            <w:tcW w:w="508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5120" w:type="dxa"/>
            <w:vAlign w:val="bottom"/>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r>
      <w:tr>
        <w:trPr>
          <w:trHeight w:val="270"/>
        </w:trPr>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w:t>
            </w:r>
          </w:p>
        </w:tc>
        <w:tc>
          <w:tcPr>
            <w:tcW w:w="5120" w:type="dxa"/>
            <w:vAlign w:val="bottom"/>
          </w:tcPr>
          <w:p>
            <w:pPr>
              <w:ind w:left="20"/>
              <w:spacing w:after="0"/>
              <w:rPr>
                <w:sz w:val="20"/>
                <w:szCs w:val="20"/>
                <w:color w:val="auto"/>
              </w:rPr>
            </w:pPr>
            <w:r>
              <w:rPr>
                <w:rFonts w:ascii="Arial" w:cs="Arial" w:eastAsia="Arial" w:hAnsi="Arial"/>
                <w:sz w:val="13"/>
                <w:szCs w:val="13"/>
                <w:color w:val="auto"/>
              </w:rPr>
              <w:t>Key Inputs:</w:t>
            </w:r>
          </w:p>
        </w:tc>
      </w:tr>
      <w:tr>
        <w:trPr>
          <w:trHeight w:val="270"/>
        </w:trPr>
        <w:tc>
          <w:tcPr>
            <w:tcW w:w="1040" w:type="dxa"/>
            <w:vAlign w:val="bottom"/>
            <w:tcBorders>
              <w:right w:val="single" w:sz="8" w:color="auto"/>
            </w:tcBorders>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quoted prices in markets that are not considered active</w:t>
            </w:r>
          </w:p>
        </w:tc>
        <w:tc>
          <w:tcPr>
            <w:tcW w:w="5120" w:type="dxa"/>
            <w:vAlign w:val="bottom"/>
          </w:tcPr>
          <w:p>
            <w:pPr>
              <w:ind w:left="20"/>
              <w:spacing w:after="0"/>
              <w:rPr>
                <w:sz w:val="20"/>
                <w:szCs w:val="20"/>
                <w:color w:val="auto"/>
              </w:rPr>
            </w:pPr>
            <w:r>
              <w:rPr>
                <w:rFonts w:ascii="Arial" w:cs="Arial" w:eastAsia="Arial" w:hAnsi="Arial"/>
                <w:sz w:val="13"/>
                <w:szCs w:val="13"/>
                <w:color w:val="auto"/>
              </w:rPr>
              <w:t>•   credit ratings; issuance structures</w:t>
            </w:r>
          </w:p>
        </w:tc>
      </w:tr>
      <w:tr>
        <w:trPr>
          <w:trHeight w:val="245"/>
        </w:trPr>
        <w:tc>
          <w:tcPr>
            <w:tcW w:w="10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80" w:type="dxa"/>
            <w:vAlign w:val="bottom"/>
            <w:tcBorders>
              <w:right w:val="single" w:sz="8" w:color="auto"/>
            </w:tcBorders>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w w:val="91"/>
              </w:rPr>
              <w:t>•   quoted prices in markets that are not active for identical or similar securities that are less liquid</w:t>
            </w:r>
          </w:p>
        </w:tc>
      </w:tr>
      <w:tr>
        <w:trPr>
          <w:trHeight w:val="160"/>
        </w:trPr>
        <w:tc>
          <w:tcPr>
            <w:tcW w:w="10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80" w:type="dxa"/>
            <w:vAlign w:val="bottom"/>
            <w:tcBorders>
              <w:right w:val="single" w:sz="8" w:color="auto"/>
            </w:tcBorders>
          </w:tcPr>
          <w:p>
            <w:pPr>
              <w:spacing w:after="0"/>
              <w:rPr>
                <w:sz w:val="13"/>
                <w:szCs w:val="13"/>
                <w:color w:val="auto"/>
              </w:rPr>
            </w:pPr>
          </w:p>
        </w:tc>
        <w:tc>
          <w:tcPr>
            <w:tcW w:w="5120" w:type="dxa"/>
            <w:vAlign w:val="bottom"/>
          </w:tcPr>
          <w:p>
            <w:pPr>
              <w:ind w:left="400"/>
              <w:spacing w:after="0"/>
              <w:rPr>
                <w:sz w:val="20"/>
                <w:szCs w:val="20"/>
                <w:color w:val="auto"/>
              </w:rPr>
            </w:pPr>
            <w:r>
              <w:rPr>
                <w:rFonts w:ascii="Arial" w:cs="Arial" w:eastAsia="Arial" w:hAnsi="Arial"/>
                <w:sz w:val="13"/>
                <w:szCs w:val="13"/>
                <w:color w:val="auto"/>
              </w:rPr>
              <w:t>and based on lower levels of trading activity than securities classified in Level 2</w:t>
            </w:r>
          </w:p>
        </w:tc>
      </w:tr>
      <w:tr>
        <w:trPr>
          <w:trHeight w:val="189"/>
        </w:trPr>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   independent non-binding broker quotations</w:t>
            </w:r>
          </w:p>
        </w:tc>
      </w:tr>
      <w:tr>
        <w:trPr>
          <w:trHeight w:val="97"/>
        </w:trPr>
        <w:tc>
          <w:tcPr>
            <w:tcW w:w="10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gridSpan w:val="2"/>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r>
      <w:tr>
        <w:trPr>
          <w:trHeight w:val="176"/>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Short-term investments and Loans to Affiliates</w:t>
            </w:r>
          </w:p>
        </w:tc>
        <w:tc>
          <w:tcPr>
            <w:tcW w:w="5120" w:type="dxa"/>
            <w:vAlign w:val="bottom"/>
            <w:tcBorders>
              <w:bottom w:val="single" w:sz="8" w:color="auto"/>
            </w:tcBorders>
          </w:tcPr>
          <w:p>
            <w:pPr>
              <w:spacing w:after="0"/>
              <w:rPr>
                <w:sz w:val="15"/>
                <w:szCs w:val="15"/>
                <w:color w:val="auto"/>
              </w:rPr>
            </w:pPr>
          </w:p>
        </w:tc>
      </w:tr>
      <w:tr>
        <w:trPr>
          <w:trHeight w:val="148"/>
        </w:trPr>
        <w:tc>
          <w:tcPr>
            <w:tcW w:w="1040" w:type="dxa"/>
            <w:vAlign w:val="bottom"/>
            <w:tcBorders>
              <w:right w:val="single" w:sz="8" w:color="auto"/>
            </w:tcBorders>
          </w:tcPr>
          <w:p>
            <w:pPr>
              <w:spacing w:after="0"/>
              <w:rPr>
                <w:sz w:val="12"/>
                <w:szCs w:val="12"/>
                <w:color w:val="auto"/>
              </w:rPr>
            </w:pPr>
          </w:p>
        </w:tc>
        <w:tc>
          <w:tcPr>
            <w:tcW w:w="16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5080" w:type="dxa"/>
            <w:vAlign w:val="bottom"/>
            <w:tcBorders>
              <w:right w:val="single" w:sz="8" w:color="auto"/>
            </w:tcBorders>
          </w:tcPr>
          <w:p>
            <w:pPr>
              <w:ind w:left="100"/>
              <w:spacing w:after="0" w:line="148" w:lineRule="exact"/>
              <w:rPr>
                <w:sz w:val="20"/>
                <w:szCs w:val="20"/>
                <w:color w:val="auto"/>
              </w:rPr>
            </w:pPr>
            <w:r>
              <w:rPr>
                <w:rFonts w:ascii="Arial" w:cs="Arial" w:eastAsia="Arial" w:hAnsi="Arial"/>
                <w:sz w:val="13"/>
                <w:szCs w:val="13"/>
                <w:color w:val="auto"/>
                <w:w w:val="95"/>
              </w:rPr>
              <w:t>Short-term investments and loans to affiliates are of a similar nature and class to the fixed</w:t>
            </w:r>
          </w:p>
        </w:tc>
        <w:tc>
          <w:tcPr>
            <w:tcW w:w="5120" w:type="dxa"/>
            <w:vAlign w:val="bottom"/>
          </w:tcPr>
          <w:p>
            <w:pPr>
              <w:ind w:left="20"/>
              <w:spacing w:after="0" w:line="148" w:lineRule="exact"/>
              <w:rPr>
                <w:sz w:val="20"/>
                <w:szCs w:val="20"/>
                <w:color w:val="auto"/>
              </w:rPr>
            </w:pPr>
            <w:r>
              <w:rPr>
                <w:rFonts w:ascii="Arial" w:cs="Arial" w:eastAsia="Arial" w:hAnsi="Arial"/>
                <w:sz w:val="13"/>
                <w:szCs w:val="13"/>
                <w:color w:val="auto"/>
                <w:w w:val="98"/>
              </w:rPr>
              <w:t>•   Short-term investments are of a similar nature and class to the fixed maturity and equity</w:t>
            </w:r>
          </w:p>
        </w:tc>
      </w:tr>
      <w:tr>
        <w:trPr>
          <w:trHeight w:val="135"/>
        </w:trPr>
        <w:tc>
          <w:tcPr>
            <w:tcW w:w="10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8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3"/>
                <w:szCs w:val="13"/>
                <w:color w:val="auto"/>
                <w:w w:val="92"/>
              </w:rPr>
              <w:t>maturity and equity securities described above; accordingly, the valuation approaches and</w:t>
            </w:r>
          </w:p>
        </w:tc>
        <w:tc>
          <w:tcPr>
            <w:tcW w:w="5120" w:type="dxa"/>
            <w:vAlign w:val="bottom"/>
          </w:tcPr>
          <w:p>
            <w:pPr>
              <w:ind w:left="400"/>
              <w:spacing w:after="0" w:line="135" w:lineRule="exact"/>
              <w:rPr>
                <w:sz w:val="20"/>
                <w:szCs w:val="20"/>
                <w:color w:val="auto"/>
              </w:rPr>
            </w:pPr>
            <w:r>
              <w:rPr>
                <w:rFonts w:ascii="Arial" w:cs="Arial" w:eastAsia="Arial" w:hAnsi="Arial"/>
                <w:sz w:val="13"/>
                <w:szCs w:val="13"/>
                <w:color w:val="auto"/>
                <w:w w:val="89"/>
              </w:rPr>
              <w:t>securities described above; accordingly, the valuation approaches and unobservable inputs</w:t>
            </w:r>
          </w:p>
        </w:tc>
      </w:tr>
      <w:tr>
        <w:trPr>
          <w:trHeight w:val="170"/>
        </w:trPr>
        <w:tc>
          <w:tcPr>
            <w:tcW w:w="10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observable inputs used in their valuation are also similar to those described above.</w:t>
            </w:r>
          </w:p>
        </w:tc>
        <w:tc>
          <w:tcPr>
            <w:tcW w:w="512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used in their valuation are also similar to those described above.</w:t>
            </w:r>
          </w:p>
        </w:tc>
      </w:tr>
      <w:tr>
        <w:trPr>
          <w:trHeight w:val="183"/>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Commercial mortgage loans held by CSEs — FVO</w:t>
            </w:r>
          </w:p>
        </w:tc>
        <w:tc>
          <w:tcPr>
            <w:tcW w:w="5120" w:type="dxa"/>
            <w:vAlign w:val="bottom"/>
            <w:tcBorders>
              <w:bottom w:val="single" w:sz="8" w:color="auto"/>
            </w:tcBorders>
          </w:tcPr>
          <w:p>
            <w:pPr>
              <w:spacing w:after="0"/>
              <w:rPr>
                <w:sz w:val="15"/>
                <w:szCs w:val="15"/>
                <w:color w:val="auto"/>
              </w:rPr>
            </w:pPr>
          </w:p>
        </w:tc>
      </w:tr>
      <w:tr>
        <w:trPr>
          <w:trHeight w:val="173"/>
        </w:trPr>
        <w:tc>
          <w:tcPr>
            <w:tcW w:w="1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5120" w:type="dxa"/>
            <w:vAlign w:val="bottom"/>
          </w:tcPr>
          <w:p>
            <w:pPr>
              <w:ind w:left="20"/>
              <w:spacing w:after="0"/>
              <w:rPr>
                <w:sz w:val="20"/>
                <w:szCs w:val="20"/>
                <w:color w:val="auto"/>
              </w:rPr>
            </w:pPr>
            <w:r>
              <w:rPr>
                <w:rFonts w:ascii="Arial" w:cs="Arial" w:eastAsia="Arial" w:hAnsi="Arial"/>
                <w:sz w:val="13"/>
                <w:szCs w:val="13"/>
                <w:color w:val="auto"/>
              </w:rPr>
              <w:t>•   N/A</w:t>
            </w:r>
          </w:p>
        </w:tc>
      </w:tr>
      <w:tr>
        <w:trPr>
          <w:trHeight w:val="270"/>
        </w:trPr>
        <w:tc>
          <w:tcPr>
            <w:tcW w:w="1040" w:type="dxa"/>
            <w:vAlign w:val="bottom"/>
          </w:tcPr>
          <w:p>
            <w:pPr>
              <w:spacing w:after="0"/>
              <w:rPr>
                <w:sz w:val="23"/>
                <w:szCs w:val="23"/>
                <w:color w:val="auto"/>
              </w:rPr>
            </w:pPr>
          </w:p>
        </w:tc>
        <w:tc>
          <w:tcPr>
            <w:tcW w:w="5240" w:type="dxa"/>
            <w:vAlign w:val="bottom"/>
            <w:gridSpan w:val="2"/>
          </w:tcPr>
          <w:p>
            <w:pPr>
              <w:ind w:left="20"/>
              <w:spacing w:after="0"/>
              <w:rPr>
                <w:sz w:val="20"/>
                <w:szCs w:val="20"/>
                <w:color w:val="auto"/>
              </w:rPr>
            </w:pPr>
            <w:r>
              <w:rPr>
                <w:rFonts w:ascii="Arial" w:cs="Arial" w:eastAsia="Arial" w:hAnsi="Arial"/>
                <w:sz w:val="13"/>
                <w:szCs w:val="13"/>
                <w:color w:val="auto"/>
              </w:rPr>
              <w:t>Key Input:</w:t>
            </w:r>
          </w:p>
        </w:tc>
        <w:tc>
          <w:tcPr>
            <w:tcW w:w="5120" w:type="dxa"/>
            <w:vAlign w:val="bottom"/>
          </w:tcPr>
          <w:p>
            <w:pPr>
              <w:spacing w:after="0"/>
              <w:rPr>
                <w:sz w:val="23"/>
                <w:szCs w:val="23"/>
                <w:color w:val="auto"/>
              </w:rPr>
            </w:pPr>
          </w:p>
        </w:tc>
      </w:tr>
    </w:tbl>
    <w:p>
      <w:pPr>
        <w:spacing w:after="0" w:line="110" w:lineRule="exact"/>
        <w:rPr>
          <w:sz w:val="20"/>
          <w:szCs w:val="20"/>
          <w:color w:val="auto"/>
        </w:rPr>
      </w:pPr>
    </w:p>
    <w:p>
      <w:pPr>
        <w:ind w:left="1480" w:right="5280" w:hanging="392"/>
        <w:spacing w:after="0" w:line="237" w:lineRule="auto"/>
        <w:tabs>
          <w:tab w:leader="none" w:pos="1318" w:val="left"/>
        </w:tabs>
        <w:numPr>
          <w:ilvl w:val="0"/>
          <w:numId w:val="32"/>
        </w:numPr>
        <w:rPr>
          <w:rFonts w:ascii="Arial" w:cs="Arial" w:eastAsia="Arial" w:hAnsi="Arial"/>
          <w:sz w:val="13"/>
          <w:szCs w:val="13"/>
          <w:color w:val="auto"/>
        </w:rPr>
      </w:pPr>
      <w:r>
        <w:rPr>
          <w:rFonts w:ascii="Arial" w:cs="Arial" w:eastAsia="Arial" w:hAnsi="Arial"/>
          <w:sz w:val="13"/>
          <w:szCs w:val="13"/>
          <w:color w:val="auto"/>
        </w:rPr>
        <w:t>quoted securitization market price determined principally by independent pricing services using observable inputs</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Separate Account Assets (1)</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Mutual funds without readily determinable fair values as prices are not published publicly</w:t>
      </w:r>
    </w:p>
    <w:p>
      <w:pPr>
        <w:spacing w:after="0" w:line="57" w:lineRule="exact"/>
        <w:rPr>
          <w:sz w:val="20"/>
          <w:szCs w:val="20"/>
          <w:color w:val="auto"/>
        </w:rPr>
      </w:pPr>
    </w:p>
    <w:tbl>
      <w:tblPr>
        <w:tblLayout w:type="fixed"/>
        <w:tblInd w:w="1080" w:type="dxa"/>
        <w:tblCellMar>
          <w:top w:w="0" w:type="dxa"/>
          <w:left w:w="0" w:type="dxa"/>
          <w:bottom w:w="0" w:type="dxa"/>
          <w:right w:w="0" w:type="dxa"/>
        </w:tblCellMar>
      </w:tblPr>
      <w:tr>
        <w:trPr>
          <w:trHeight w:val="160"/>
        </w:trPr>
        <w:tc>
          <w:tcPr>
            <w:tcW w:w="2900" w:type="dxa"/>
            <w:vAlign w:val="bottom"/>
          </w:tcPr>
          <w:p>
            <w:pPr>
              <w:spacing w:after="0"/>
              <w:rPr>
                <w:sz w:val="20"/>
                <w:szCs w:val="20"/>
                <w:color w:val="auto"/>
              </w:rPr>
            </w:pPr>
            <w:r>
              <w:rPr>
                <w:rFonts w:ascii="Arial" w:cs="Arial" w:eastAsia="Arial" w:hAnsi="Arial"/>
                <w:sz w:val="13"/>
                <w:szCs w:val="13"/>
                <w:color w:val="auto"/>
              </w:rPr>
              <w:t>Key Input:</w:t>
            </w:r>
          </w:p>
        </w:tc>
        <w:tc>
          <w:tcPr>
            <w:tcW w:w="2780" w:type="dxa"/>
            <w:vAlign w:val="bottom"/>
          </w:tcPr>
          <w:p>
            <w:pPr>
              <w:ind w:left="2340"/>
              <w:spacing w:after="0"/>
              <w:rPr>
                <w:sz w:val="20"/>
                <w:szCs w:val="20"/>
                <w:color w:val="auto"/>
              </w:rPr>
            </w:pPr>
            <w:r>
              <w:rPr>
                <w:rFonts w:ascii="Arial" w:cs="Arial" w:eastAsia="Arial" w:hAnsi="Arial"/>
                <w:sz w:val="13"/>
                <w:szCs w:val="13"/>
                <w:color w:val="auto"/>
              </w:rPr>
              <w:t>•   N/A</w:t>
            </w:r>
          </w:p>
        </w:tc>
      </w:tr>
    </w:tbl>
    <w:p>
      <w:pPr>
        <w:spacing w:after="0" w:line="110" w:lineRule="exact"/>
        <w:rPr>
          <w:sz w:val="20"/>
          <w:szCs w:val="20"/>
          <w:color w:val="auto"/>
        </w:rPr>
      </w:pPr>
    </w:p>
    <w:p>
      <w:pPr>
        <w:ind w:left="1320" w:hanging="232"/>
        <w:spacing w:after="0"/>
        <w:tabs>
          <w:tab w:leader="none" w:pos="1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quoted prices or reported net asset value (“NAV”) provided by the fund managers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Borders>
              <w:bottom w:val="single" w:sz="8" w:color="auto"/>
            </w:tcBorders>
            <w:gridSpan w:val="2"/>
          </w:tcPr>
          <w:p>
            <w:pPr>
              <w:jc w:val="right"/>
              <w:ind w:right="4157"/>
              <w:spacing w:after="0"/>
              <w:rPr>
                <w:sz w:val="20"/>
                <w:szCs w:val="20"/>
                <w:color w:val="auto"/>
              </w:rPr>
            </w:pPr>
            <w:r>
              <w:rPr>
                <w:rFonts w:ascii="Arial" w:cs="Arial" w:eastAsia="Arial" w:hAnsi="Arial"/>
                <w:sz w:val="13"/>
                <w:szCs w:val="13"/>
                <w:b w:val="1"/>
                <w:bCs w:val="1"/>
                <w:color w:val="auto"/>
                <w:w w:val="95"/>
              </w:rPr>
              <w:t>Other limited partnership interests</w:t>
            </w:r>
          </w:p>
        </w:tc>
        <w:tc>
          <w:tcPr>
            <w:tcW w:w="5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tcPr>
          <w:p>
            <w:pPr>
              <w:jc w:val="right"/>
              <w:ind w:right="4697"/>
              <w:spacing w:after="0" w:line="148" w:lineRule="exact"/>
              <w:rPr>
                <w:sz w:val="20"/>
                <w:szCs w:val="20"/>
                <w:color w:val="auto"/>
              </w:rPr>
            </w:pPr>
            <w:r>
              <w:rPr>
                <w:rFonts w:ascii="Arial" w:cs="Arial" w:eastAsia="Arial" w:hAnsi="Arial"/>
                <w:sz w:val="13"/>
                <w:szCs w:val="13"/>
                <w:color w:val="auto"/>
              </w:rPr>
              <w:t>•   N/A</w:t>
            </w:r>
          </w:p>
        </w:tc>
        <w:tc>
          <w:tcPr>
            <w:tcW w:w="5120" w:type="dxa"/>
            <w:vAlign w:val="bottom"/>
          </w:tcPr>
          <w:p>
            <w:pPr>
              <w:ind w:left="20"/>
              <w:spacing w:after="0" w:line="148" w:lineRule="exact"/>
              <w:rPr>
                <w:sz w:val="20"/>
                <w:szCs w:val="20"/>
                <w:color w:val="auto"/>
              </w:rPr>
            </w:pPr>
            <w:r>
              <w:rPr>
                <w:rFonts w:ascii="Arial" w:cs="Arial" w:eastAsia="Arial" w:hAnsi="Arial"/>
                <w:sz w:val="13"/>
                <w:szCs w:val="13"/>
                <w:color w:val="auto"/>
                <w:w w:val="96"/>
              </w:rPr>
              <w:t>Valued giving consideration to the underlying holdings of the partnerships and by applying 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premium or discount, if appropriate.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   liquidity; bid/ask spreads; performance record of the fund manager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w w:val="95"/>
              </w:rPr>
              <w:t>•   other relevant variables that may impact the exit value of the particular partnership interest</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80" w:type="dxa"/>
            <w:vAlign w:val="bottom"/>
            <w:gridSpan w:val="2"/>
          </w:tcPr>
          <w:p>
            <w:pPr>
              <w:jc w:val="right"/>
              <w:ind w:right="4937"/>
              <w:spacing w:after="0"/>
              <w:rPr>
                <w:sz w:val="20"/>
                <w:szCs w:val="20"/>
                <w:color w:val="auto"/>
              </w:rPr>
            </w:pPr>
            <w:r>
              <w:rPr>
                <w:rFonts w:ascii="Arial" w:cs="Arial" w:eastAsia="Arial" w:hAnsi="Arial"/>
                <w:sz w:val="14"/>
                <w:szCs w:val="14"/>
                <w:color w:val="auto"/>
                <w:w w:val="89"/>
              </w:rPr>
              <w:t>__________________</w:t>
            </w:r>
          </w:p>
        </w:tc>
        <w:tc>
          <w:tcPr>
            <w:tcW w:w="5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500" w:hanging="492"/>
        <w:spacing w:after="0" w:line="279"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Estimated fair value equals carrying value, based on the value of the underlying assets, including: mutual fund interests, fixed maturity securities, equity securities, derivatives, other limited partnership interests, short-term investments and cash and cash equivalents. Fixed maturity securities, equity securities, derivatives, short-term investments and cash and cash equivalents are similar in nature to the instruments described under “— Securities, Short-term Investments, Loans to Affiliates, and Long-term Debt of CSEs — FVO” and “— Derivatives — Freestanding Derivatives.”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estimated fair value of derivatives is determined through the use of quoted market prices for exchange-traded derivatives, or through the use of pricing models for OTC-bilateral and OTC-cleared derivatives. The determination of estimated fair value,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The valuation controls and procedures for derivatives are described in “— Investments.”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8"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180" w:right="20" w:firstLine="324"/>
        <w:spacing w:after="0" w:line="290" w:lineRule="auto"/>
        <w:rPr>
          <w:sz w:val="20"/>
          <w:szCs w:val="20"/>
          <w:color w:val="auto"/>
        </w:rPr>
      </w:pPr>
      <w:r>
        <w:rPr>
          <w:rFonts w:ascii="Arial" w:cs="Arial" w:eastAsia="Arial" w:hAnsi="Arial"/>
          <w:sz w:val="16"/>
          <w:szCs w:val="16"/>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2 Valuation Approaches and Key Inputs:</w:t>
      </w:r>
    </w:p>
    <w:p>
      <w:pPr>
        <w:spacing w:after="0" w:line="117" w:lineRule="exact"/>
        <w:rPr>
          <w:sz w:val="20"/>
          <w:szCs w:val="20"/>
          <w:color w:val="auto"/>
        </w:rPr>
      </w:pPr>
    </w:p>
    <w:p>
      <w:pPr>
        <w:jc w:val="both"/>
        <w:ind w:left="500" w:right="40" w:firstLine="324"/>
        <w:spacing w:after="0" w:line="277" w:lineRule="auto"/>
        <w:rPr>
          <w:sz w:val="20"/>
          <w:szCs w:val="20"/>
          <w:color w:val="auto"/>
        </w:rPr>
      </w:pPr>
      <w:r>
        <w:rPr>
          <w:rFonts w:ascii="Arial" w:cs="Arial" w:eastAsia="Arial" w:hAnsi="Arial"/>
          <w:sz w:val="18"/>
          <w:szCs w:val="18"/>
          <w:color w:val="auto"/>
        </w:rPr>
        <w:t>This level includes all types of derivatives utilized by the Company with the exception of exchange-traded derivatives included within Level 1 and those derivatives with unobservable inputs as described in Level 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3 Valuation Approaches and Key Inputs:</w:t>
      </w:r>
    </w:p>
    <w:p>
      <w:pPr>
        <w:spacing w:after="0" w:line="117" w:lineRule="exact"/>
        <w:rPr>
          <w:sz w:val="20"/>
          <w:szCs w:val="20"/>
          <w:color w:val="auto"/>
        </w:rPr>
      </w:pPr>
    </w:p>
    <w:p>
      <w:pPr>
        <w:jc w:val="both"/>
        <w:ind w:left="500" w:right="20" w:firstLine="324"/>
        <w:spacing w:after="0" w:line="264" w:lineRule="auto"/>
        <w:rPr>
          <w:sz w:val="20"/>
          <w:szCs w:val="20"/>
          <w:color w:val="auto"/>
        </w:rPr>
      </w:pPr>
      <w:r>
        <w:rPr>
          <w:rFonts w:ascii="Arial" w:cs="Arial" w:eastAsia="Arial" w:hAnsi="Arial"/>
          <w:sz w:val="18"/>
          <w:szCs w:val="18"/>
          <w:color w:val="auto"/>
        </w:rPr>
        <w:t>These valuation methodologies generally use the same inputs as described in the corresponding sections for Level 2 measurements of derivatives. However, these derivatives result in Level 3 classification because one or more of the significant inputs are not observable in the market or cannot be derived principally from, or corroborated by, observable market data.</w:t>
      </w:r>
    </w:p>
    <w:p>
      <w:pPr>
        <w:spacing w:after="0" w:line="73"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Freestanding derivatives are principally valued using the income approach. Valuations of non-option-based derivatives utilize present value techniques, whereas valuations of option-based derivatives utilize option pricing models. Key inputs are as follows: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86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13"/>
                <w:szCs w:val="13"/>
                <w:b w:val="1"/>
                <w:bCs w:val="1"/>
                <w:color w:val="auto"/>
              </w:rPr>
              <w:t>Instrument</w:t>
            </w:r>
          </w:p>
        </w:tc>
        <w:tc>
          <w:tcPr>
            <w:tcW w:w="160" w:type="dxa"/>
            <w:vAlign w:val="bottom"/>
            <w:tcBorders>
              <w:top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Borders>
              <w:top w:val="single" w:sz="8" w:color="auto"/>
            </w:tcBorders>
          </w:tcPr>
          <w:p>
            <w:pPr>
              <w:spacing w:after="0"/>
              <w:rPr>
                <w:sz w:val="13"/>
                <w:szCs w:val="13"/>
                <w:color w:val="auto"/>
              </w:rPr>
            </w:pPr>
          </w:p>
        </w:tc>
        <w:tc>
          <w:tcPr>
            <w:tcW w:w="22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3"/>
                <w:szCs w:val="13"/>
                <w:b w:val="1"/>
                <w:bCs w:val="1"/>
                <w:color w:val="auto"/>
              </w:rPr>
              <w:t>Foreign Currency</w:t>
            </w:r>
          </w:p>
        </w:tc>
        <w:tc>
          <w:tcPr>
            <w:tcW w:w="140" w:type="dxa"/>
            <w:vAlign w:val="bottom"/>
            <w:tcBorders>
              <w:top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3"/>
                <w:szCs w:val="13"/>
                <w:b w:val="1"/>
                <w:bCs w:val="1"/>
                <w:color w:val="auto"/>
              </w:rPr>
              <w:t>Credit</w:t>
            </w:r>
          </w:p>
        </w:tc>
        <w:tc>
          <w:tcPr>
            <w:tcW w:w="160" w:type="dxa"/>
            <w:vAlign w:val="bottom"/>
            <w:tcBorders>
              <w:top w:val="single" w:sz="8" w:color="auto"/>
            </w:tcBorders>
          </w:tcPr>
          <w:p>
            <w:pPr>
              <w:spacing w:after="0"/>
              <w:rPr>
                <w:sz w:val="13"/>
                <w:szCs w:val="13"/>
                <w:color w:val="auto"/>
              </w:rPr>
            </w:pPr>
          </w:p>
        </w:tc>
        <w:tc>
          <w:tcPr>
            <w:tcW w:w="22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b w:val="1"/>
                <w:bCs w:val="1"/>
                <w:color w:val="auto"/>
              </w:rPr>
              <w:t>Equity Market</w:t>
            </w:r>
          </w:p>
        </w:tc>
      </w:tr>
      <w:tr>
        <w:trPr>
          <w:trHeight w:val="174"/>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3"/>
                <w:szCs w:val="13"/>
                <w:b w:val="1"/>
                <w:bCs w:val="1"/>
                <w:color w:val="auto"/>
              </w:rPr>
              <w:t>Exchange Rate</w:t>
            </w: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r>
      <w:tr>
        <w:trPr>
          <w:trHeight w:val="157"/>
        </w:trPr>
        <w:tc>
          <w:tcPr>
            <w:tcW w:w="186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w w:val="94"/>
              </w:rPr>
              <w:t>Inputs common to Level 2 and</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4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rPr>
              <w:t>swap yield curves</w:t>
            </w:r>
          </w:p>
        </w:tc>
      </w:tr>
      <w:tr>
        <w:trPr>
          <w:trHeight w:val="236"/>
        </w:trPr>
        <w:tc>
          <w:tcPr>
            <w:tcW w:w="1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w w:val="97"/>
              </w:rPr>
              <w:t>Level 3 by instrument type</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curves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spot equity index levels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interest rate volatility (1)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currency spot rates</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recovery rates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dividend yield curves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cross currency basis curves</w:t>
            </w:r>
          </w:p>
        </w:tc>
        <w:tc>
          <w:tcPr>
            <w:tcW w:w="1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equity volatility (1)</w:t>
            </w:r>
          </w:p>
        </w:tc>
      </w:tr>
      <w:tr>
        <w:trPr>
          <w:trHeight w:val="16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r>
      <w:tr>
        <w:trPr>
          <w:trHeight w:val="184"/>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Level 3</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swap yield curves (2)</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N/A</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swap yield curves (2)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dividend yield curves (2)</w:t>
            </w: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 (2)</w:t>
            </w: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curves (2)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equity volatility (1), (2)</w:t>
            </w:r>
          </w:p>
        </w:tc>
      </w:tr>
      <w:tr>
        <w:trPr>
          <w:trHeight w:val="317"/>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repurchase rates</w:t>
            </w: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spreads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correlation between model inputs</w:t>
            </w:r>
          </w:p>
        </w:tc>
      </w:tr>
      <w:tr>
        <w:trPr>
          <w:trHeight w:val="182"/>
        </w:trPr>
        <w:tc>
          <w:tcPr>
            <w:tcW w:w="1860" w:type="dxa"/>
            <w:vAlign w:val="bottom"/>
            <w:tcBorders>
              <w:left w:val="single" w:sz="8" w:color="auto"/>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(1)</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repurchase rates</w:t>
            </w:r>
          </w:p>
        </w:tc>
        <w:tc>
          <w:tcPr>
            <w:tcW w:w="16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r>
      <w:tr>
        <w:trPr>
          <w:trHeight w:val="317"/>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independent non-binding broker</w:t>
            </w:r>
          </w:p>
        </w:tc>
        <w:tc>
          <w:tcPr>
            <w:tcW w:w="1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r>
      <w:tr>
        <w:trPr>
          <w:trHeight w:val="188"/>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quotations</w:t>
            </w: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spacing w:after="0"/>
              <w:rPr>
                <w:sz w:val="16"/>
                <w:szCs w:val="16"/>
                <w:color w:val="auto"/>
              </w:rPr>
            </w:pPr>
          </w:p>
        </w:tc>
      </w:tr>
      <w:tr>
        <w:trPr>
          <w:trHeight w:val="190"/>
        </w:trPr>
        <w:tc>
          <w:tcPr>
            <w:tcW w:w="1860" w:type="dxa"/>
            <w:vAlign w:val="bottom"/>
          </w:tcPr>
          <w:p>
            <w:pPr>
              <w:spacing w:after="0"/>
              <w:rPr>
                <w:sz w:val="20"/>
                <w:szCs w:val="20"/>
                <w:color w:val="auto"/>
              </w:rPr>
            </w:pPr>
            <w:r>
              <w:rPr>
                <w:rFonts w:ascii="Arial" w:cs="Arial" w:eastAsia="Arial" w:hAnsi="Arial"/>
                <w:sz w:val="14"/>
                <w:szCs w:val="14"/>
                <w:color w:val="auto"/>
              </w:rPr>
              <w:t>______________</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11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Option-based only.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Extrapolation beyond the observable limits of the curve(s).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288" w:right="21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combined balance sheets.</w:t>
      </w:r>
    </w:p>
    <w:p>
      <w:pPr>
        <w:spacing w:after="0" w:line="3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MetLife, Inc.’s debt, including related credit default swaps. These observable spreads are then adjusted, as necessary, to reflect the priority of these liabilities and the claims paying ability of the issuing insurance subsidiaries as compared to MetLife, Inc.</w:t>
      </w:r>
    </w:p>
    <w:p>
      <w:pPr>
        <w:spacing w:after="0" w:line="63"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7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assumed from an affiliated insurance company the risk associated with certain GMIBs. These embedded derivatives are included in policyholder account balances on the combined balance sheets with changes in estimated fair value reported in net derivative gains (losses). The value of the embedded derivatives on these assumed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ceded to an affiliate the risk associated with certain of the GMIBs, GMABs and GMWBs described above that are also accounted for as embedded derivatives. In addition to ceding risks associated with guarantees that are accounted for as embedded derivatives, the Company also cedes, to an affiliated company, certain directly written GMIBs that are accounted for as insurance (i.e., not as embedded derivatives), but where the reinsurance agreement contains an embedded derivative. These embedded derivatives are included within premiums, reinsurance and other receivables on the combined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Securities, Short-term Investments, Loans to Affiliates, and Long-term Debt of CSEs — FVO.” The estimated fair value of these embedded derivatives is included, along with their funds withheld hosts, in other liabilities on the combined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8"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combined balance sheets.</w:t>
      </w:r>
    </w:p>
    <w:p>
      <w:pPr>
        <w:spacing w:after="0" w:line="39"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 Within Asset and Liability Host Contracts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Level 3 Valuation Approaches and Key Inputs: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Direct and assumed guaranteed minimum benefits</w:t>
      </w:r>
    </w:p>
    <w:p>
      <w:pPr>
        <w:spacing w:after="0" w:line="117" w:lineRule="exact"/>
        <w:rPr>
          <w:sz w:val="20"/>
          <w:szCs w:val="20"/>
          <w:color w:val="auto"/>
        </w:rPr>
      </w:pPr>
    </w:p>
    <w:p>
      <w:pPr>
        <w:jc w:val="both"/>
        <w:ind w:left="500" w:firstLine="324"/>
        <w:spacing w:after="0" w:line="273" w:lineRule="auto"/>
        <w:rPr>
          <w:sz w:val="20"/>
          <w:szCs w:val="20"/>
          <w:color w:val="auto"/>
        </w:rPr>
      </w:pPr>
      <w:r>
        <w:rPr>
          <w:rFonts w:ascii="Arial" w:cs="Arial" w:eastAsia="Arial" w:hAnsi="Arial"/>
          <w:sz w:val="17"/>
          <w:szCs w:val="17"/>
          <w:color w:val="auto"/>
        </w:rPr>
        <w:t>These embedded derivatives are principally valued using the income approach. Valuations are based on option pricing techniques, which utilize significant inputs that may include swap yield curves, currency exchange rates and implied volatilities. These embedded derivatives result in Level 3 classification because one or more of the significant inputs are not observable in the market or cannot be derived principally from, or corroborated by, observable market data. Significant unobservable inputs generally include: the extrapolation beyond observable limits of the swap yield curves and implied volatilities, actuarial assumptions for policyholder behavior and mortality and the potential variability in policyholder behavior and mortality, nonperformance risk and cost of capital for purposes of calculating the risk margin.</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Reinsurance ceded on certain guaranteed minimum benefits</w:t>
      </w:r>
    </w:p>
    <w:p>
      <w:pPr>
        <w:spacing w:after="0" w:line="117" w:lineRule="exact"/>
        <w:rPr>
          <w:sz w:val="20"/>
          <w:szCs w:val="20"/>
          <w:color w:val="auto"/>
        </w:rPr>
      </w:pPr>
    </w:p>
    <w:p>
      <w:pPr>
        <w:jc w:val="both"/>
        <w:ind w:left="500" w:firstLine="324"/>
        <w:spacing w:after="0" w:line="264" w:lineRule="auto"/>
        <w:rPr>
          <w:sz w:val="20"/>
          <w:szCs w:val="20"/>
          <w:color w:val="auto"/>
        </w:rPr>
      </w:pPr>
      <w:r>
        <w:rPr>
          <w:rFonts w:ascii="Arial" w:cs="Arial" w:eastAsia="Arial" w:hAnsi="Arial"/>
          <w:sz w:val="18"/>
          <w:szCs w:val="18"/>
          <w:color w:val="auto"/>
        </w:rPr>
        <w:t>These embedded derivatives are principally valued using the income approach. The valuation techniques and significant market standard unobservable inputs used in their valuation are similar to those described above in “— Direct and assumed guaranteed minimum benefits” and also include counterparty credit spreads.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For assets and liabilities measured at estimated fair value and still held at June 30, 2017, there were no transfers between Levels 1 and 2. For assets and liabilities measured at estimated fair value and still held at December 31, 2016, transfers between Levels 1 and 2 were not significant.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8"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2"/>
              </w:rPr>
              <w:t>June 30, 2017</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4"/>
            <w:vMerge w:val="restart"/>
          </w:tcPr>
          <w:p>
            <w:pPr>
              <w:ind w:left="260"/>
              <w:spacing w:after="0"/>
              <w:rPr>
                <w:sz w:val="20"/>
                <w:szCs w:val="20"/>
                <w:color w:val="auto"/>
              </w:rPr>
            </w:pPr>
            <w:r>
              <w:rPr>
                <w:rFonts w:ascii="Arial" w:cs="Arial" w:eastAsia="Arial" w:hAnsi="Arial"/>
                <w:sz w:val="10"/>
                <w:szCs w:val="10"/>
                <w:b w:val="1"/>
                <w:bCs w:val="1"/>
                <w:color w:val="auto"/>
                <w:w w:val="91"/>
              </w:rPr>
              <w:t>December 31, 2016</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ind w:left="440"/>
              <w:spacing w:after="0"/>
              <w:rPr>
                <w:sz w:val="20"/>
                <w:szCs w:val="20"/>
                <w:color w:val="auto"/>
              </w:rPr>
            </w:pPr>
            <w:r>
              <w:rPr>
                <w:rFonts w:ascii="Arial" w:cs="Arial" w:eastAsia="Arial" w:hAnsi="Arial"/>
                <w:sz w:val="10"/>
                <w:szCs w:val="10"/>
                <w:b w:val="1"/>
                <w:bCs w:val="1"/>
                <w:color w:val="auto"/>
              </w:rPr>
              <w:t>Valuation</w:t>
            </w:r>
          </w:p>
        </w:tc>
        <w:tc>
          <w:tcPr>
            <w:tcW w:w="180" w:type="dxa"/>
            <w:vAlign w:val="bottom"/>
          </w:tcPr>
          <w:p>
            <w:pPr>
              <w:spacing w:after="0"/>
              <w:rPr>
                <w:sz w:val="12"/>
                <w:szCs w:val="12"/>
                <w:color w:val="auto"/>
              </w:rPr>
            </w:pP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Significant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Weighted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Weighted</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ind w:left="400"/>
              <w:spacing w:after="0"/>
              <w:rPr>
                <w:sz w:val="20"/>
                <w:szCs w:val="20"/>
                <w:color w:val="auto"/>
              </w:rPr>
            </w:pPr>
            <w:r>
              <w:rPr>
                <w:rFonts w:ascii="Arial" w:cs="Arial" w:eastAsia="Arial" w:hAnsi="Arial"/>
                <w:sz w:val="10"/>
                <w:szCs w:val="10"/>
                <w:b w:val="1"/>
                <w:bCs w:val="1"/>
                <w:color w:val="auto"/>
              </w:rPr>
              <w:t>Techniques</w:t>
            </w:r>
          </w:p>
        </w:tc>
        <w:tc>
          <w:tcPr>
            <w:tcW w:w="18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Unobservable Inputs</w:t>
            </w:r>
          </w:p>
        </w:tc>
        <w:tc>
          <w:tcPr>
            <w:tcW w:w="4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Range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Average (1)</w:t>
            </w:r>
          </w:p>
        </w:tc>
        <w:tc>
          <w:tcPr>
            <w:tcW w:w="460" w:type="dxa"/>
            <w:vAlign w:val="bottom"/>
          </w:tcPr>
          <w:p>
            <w:pPr>
              <w:spacing w:after="0"/>
              <w:rPr>
                <w:sz w:val="10"/>
                <w:szCs w:val="10"/>
                <w:color w:val="auto"/>
              </w:rPr>
            </w:pPr>
          </w:p>
        </w:tc>
        <w:tc>
          <w:tcPr>
            <w:tcW w:w="420" w:type="dxa"/>
            <w:vAlign w:val="bottom"/>
          </w:tcPr>
          <w:p>
            <w:pPr>
              <w:jc w:val="right"/>
              <w:ind w:right="24"/>
              <w:spacing w:after="0"/>
              <w:rPr>
                <w:sz w:val="20"/>
                <w:szCs w:val="20"/>
                <w:color w:val="auto"/>
              </w:rPr>
            </w:pPr>
            <w:r>
              <w:rPr>
                <w:rFonts w:ascii="Arial" w:cs="Arial" w:eastAsia="Arial" w:hAnsi="Arial"/>
                <w:sz w:val="10"/>
                <w:szCs w:val="10"/>
                <w:b w:val="1"/>
                <w:bCs w:val="1"/>
                <w:color w:val="auto"/>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Average (1)</w:t>
            </w: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4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Matrix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22</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3"/>
              <w:spacing w:after="0"/>
              <w:rPr>
                <w:sz w:val="20"/>
                <w:szCs w:val="20"/>
                <w:color w:val="auto"/>
              </w:rPr>
            </w:pPr>
            <w:r>
              <w:rPr>
                <w:rFonts w:ascii="Arial" w:cs="Arial" w:eastAsia="Arial" w:hAnsi="Arial"/>
                <w:sz w:val="12"/>
                <w:szCs w:val="12"/>
                <w:color w:val="auto"/>
                <w:w w:val="89"/>
              </w:rPr>
              <w:t>142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107</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104</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3"/>
              <w:spacing w:after="0"/>
              <w:rPr>
                <w:sz w:val="20"/>
                <w:szCs w:val="20"/>
                <w:color w:val="auto"/>
              </w:rPr>
            </w:pPr>
            <w:r>
              <w:rPr>
                <w:rFonts w:ascii="Arial" w:cs="Arial" w:eastAsia="Arial" w:hAnsi="Arial"/>
                <w:sz w:val="12"/>
                <w:szCs w:val="12"/>
                <w:color w:val="auto"/>
                <w:w w:val="89"/>
              </w:rPr>
              <w:t>559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89</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89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89</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37</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85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49</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3"/>
              <w:spacing w:after="0"/>
              <w:rPr>
                <w:sz w:val="20"/>
                <w:szCs w:val="20"/>
                <w:color w:val="auto"/>
              </w:rPr>
            </w:pPr>
            <w:r>
              <w:rPr>
                <w:rFonts w:ascii="Arial" w:cs="Arial" w:eastAsia="Arial" w:hAnsi="Arial"/>
                <w:sz w:val="12"/>
                <w:szCs w:val="12"/>
                <w:color w:val="auto"/>
                <w:w w:val="89"/>
              </w:rPr>
              <w:t>113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93</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ABS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97</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3"/>
              <w:spacing w:after="0"/>
              <w:rPr>
                <w:sz w:val="20"/>
                <w:szCs w:val="20"/>
                <w:color w:val="auto"/>
              </w:rPr>
            </w:pPr>
            <w:r>
              <w:rPr>
                <w:rFonts w:ascii="Arial" w:cs="Arial" w:eastAsia="Arial" w:hAnsi="Arial"/>
                <w:sz w:val="12"/>
                <w:szCs w:val="12"/>
                <w:color w:val="auto"/>
                <w:w w:val="89"/>
              </w:rPr>
              <w:t>104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101</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94</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99</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center"/>
              <w:ind w:right="3"/>
              <w:spacing w:after="0"/>
              <w:rPr>
                <w:sz w:val="20"/>
                <w:szCs w:val="20"/>
                <w:color w:val="auto"/>
              </w:rPr>
            </w:pPr>
            <w:r>
              <w:rPr>
                <w:rFonts w:ascii="Arial" w:cs="Arial" w:eastAsia="Arial" w:hAnsi="Arial"/>
                <w:sz w:val="12"/>
                <w:szCs w:val="12"/>
                <w:color w:val="auto"/>
                <w:w w:val="89"/>
              </w:rPr>
              <w:t>101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CMBS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40</w:t>
            </w:r>
          </w:p>
        </w:tc>
        <w:tc>
          <w:tcPr>
            <w:tcW w:w="36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right="3"/>
              <w:spacing w:after="0"/>
              <w:rPr>
                <w:sz w:val="20"/>
                <w:szCs w:val="20"/>
                <w:color w:val="auto"/>
              </w:rPr>
            </w:pPr>
            <w:r>
              <w:rPr>
                <w:rFonts w:ascii="Arial" w:cs="Arial" w:eastAsia="Arial" w:hAnsi="Arial"/>
                <w:sz w:val="12"/>
                <w:szCs w:val="12"/>
                <w:color w:val="auto"/>
                <w:w w:val="89"/>
              </w:rPr>
              <w:t>101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90</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104</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Derivatives</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420"/>
          </w:cols>
          <w:pgMar w:left="240" w:top="288" w:right="239" w:bottom="1440" w:gutter="0" w:footer="0" w:header="0"/>
        </w:sectPr>
      </w:pPr>
    </w:p>
    <w:p>
      <w:pPr>
        <w:ind w:left="40"/>
        <w:spacing w:after="0"/>
        <w:rPr>
          <w:sz w:val="20"/>
          <w:szCs w:val="20"/>
          <w:color w:val="auto"/>
        </w:rPr>
      </w:pPr>
      <w:r>
        <w:rPr>
          <w:rFonts w:ascii="Arial" w:cs="Arial" w:eastAsia="Arial" w:hAnsi="Arial"/>
          <w:sz w:val="12"/>
          <w:szCs w:val="12"/>
          <w:color w:val="auto"/>
        </w:rPr>
        <w:t>Interest rate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Credit</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2"/>
          <w:szCs w:val="12"/>
          <w:color w:val="auto"/>
        </w:rPr>
        <w:t>Equity market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Embedded 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40" w:type="dxa"/>
            <w:vAlign w:val="bottom"/>
          </w:tcPr>
          <w:p>
            <w:pPr>
              <w:spacing w:after="0"/>
              <w:rPr>
                <w:sz w:val="12"/>
                <w:szCs w:val="12"/>
                <w:color w:val="auto"/>
              </w:rPr>
            </w:pPr>
          </w:p>
        </w:tc>
        <w:tc>
          <w:tcPr>
            <w:tcW w:w="1540" w:type="dxa"/>
            <w:vAlign w:val="bottom"/>
          </w:tcPr>
          <w:p>
            <w:pPr>
              <w:jc w:val="right"/>
              <w:ind w:right="222"/>
              <w:spacing w:after="0"/>
              <w:rPr>
                <w:sz w:val="20"/>
                <w:szCs w:val="20"/>
                <w:color w:val="auto"/>
              </w:rPr>
            </w:pPr>
            <w:r>
              <w:rPr>
                <w:rFonts w:ascii="Arial" w:cs="Arial" w:eastAsia="Arial" w:hAnsi="Arial"/>
                <w:sz w:val="12"/>
                <w:szCs w:val="12"/>
                <w:color w:val="auto"/>
                <w:w w:val="87"/>
              </w:rPr>
              <w:t>• Present value techniques</w:t>
            </w:r>
          </w:p>
        </w:tc>
        <w:tc>
          <w:tcPr>
            <w:tcW w:w="220" w:type="dxa"/>
            <w:vAlign w:val="bottom"/>
          </w:tcPr>
          <w:p>
            <w:pPr>
              <w:spacing w:after="0"/>
              <w:rPr>
                <w:sz w:val="12"/>
                <w:szCs w:val="12"/>
                <w:color w:val="auto"/>
              </w:rPr>
            </w:pPr>
          </w:p>
        </w:tc>
        <w:tc>
          <w:tcPr>
            <w:tcW w:w="1480" w:type="dxa"/>
            <w:vAlign w:val="bottom"/>
          </w:tcPr>
          <w:p>
            <w:pPr>
              <w:ind w:left="20"/>
              <w:spacing w:after="0"/>
              <w:rPr>
                <w:sz w:val="20"/>
                <w:szCs w:val="20"/>
                <w:color w:val="auto"/>
              </w:rPr>
            </w:pPr>
            <w:r>
              <w:rPr>
                <w:rFonts w:ascii="Arial" w:cs="Arial" w:eastAsia="Arial" w:hAnsi="Arial"/>
                <w:sz w:val="12"/>
                <w:szCs w:val="12"/>
                <w:color w:val="auto"/>
              </w:rPr>
              <w:t>• Repurchase rates (7)</w:t>
            </w:r>
          </w:p>
        </w:tc>
        <w:tc>
          <w:tcPr>
            <w:tcW w:w="740" w:type="dxa"/>
            <w:vAlign w:val="bottom"/>
          </w:tcPr>
          <w:p>
            <w:pPr>
              <w:jc w:val="center"/>
              <w:ind w:left="202"/>
              <w:spacing w:after="0"/>
              <w:rPr>
                <w:sz w:val="20"/>
                <w:szCs w:val="20"/>
                <w:color w:val="auto"/>
              </w:rPr>
            </w:pPr>
            <w:r>
              <w:rPr>
                <w:rFonts w:ascii="Arial" w:cs="Arial" w:eastAsia="Arial" w:hAnsi="Arial"/>
                <w:sz w:val="12"/>
                <w:szCs w:val="12"/>
                <w:color w:val="auto"/>
                <w:w w:val="99"/>
              </w:rPr>
              <w:t>—</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89"/>
              </w:rPr>
              <w:t>13</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84"/>
              </w:rPr>
              <w:t>(44)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89"/>
              </w:rPr>
              <w:t>18</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101"/>
        </w:trPr>
        <w:tc>
          <w:tcPr>
            <w:tcW w:w="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63"/>
        </w:trPr>
        <w:tc>
          <w:tcPr>
            <w:tcW w:w="140" w:type="dxa"/>
            <w:vAlign w:val="bottom"/>
          </w:tcPr>
          <w:p>
            <w:pPr>
              <w:ind w:left="80"/>
              <w:spacing w:after="0"/>
              <w:rPr>
                <w:sz w:val="20"/>
                <w:szCs w:val="20"/>
                <w:color w:val="auto"/>
              </w:rPr>
            </w:pPr>
            <w:r>
              <w:rPr>
                <w:rFonts w:ascii="Arial" w:cs="Arial" w:eastAsia="Arial" w:hAnsi="Arial"/>
                <w:sz w:val="12"/>
                <w:szCs w:val="12"/>
                <w:b w:val="1"/>
                <w:bCs w:val="1"/>
                <w:color w:val="auto"/>
                <w:w w:val="94"/>
              </w:rPr>
              <w:t>•</w:t>
            </w:r>
          </w:p>
        </w:tc>
        <w:tc>
          <w:tcPr>
            <w:tcW w:w="1540" w:type="dxa"/>
            <w:vAlign w:val="bottom"/>
          </w:tcPr>
          <w:p>
            <w:pPr>
              <w:jc w:val="right"/>
              <w:ind w:right="222"/>
              <w:spacing w:after="0"/>
              <w:rPr>
                <w:sz w:val="20"/>
                <w:szCs w:val="20"/>
                <w:color w:val="auto"/>
              </w:rPr>
            </w:pPr>
            <w:r>
              <w:rPr>
                <w:rFonts w:ascii="Arial" w:cs="Arial" w:eastAsia="Arial" w:hAnsi="Arial"/>
                <w:sz w:val="12"/>
                <w:szCs w:val="12"/>
                <w:color w:val="auto"/>
                <w:w w:val="91"/>
              </w:rPr>
              <w:t>Present value techniques</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Credit spreads (8)</w:t>
            </w:r>
          </w:p>
        </w:tc>
        <w:tc>
          <w:tcPr>
            <w:tcW w:w="740" w:type="dxa"/>
            <w:vAlign w:val="bottom"/>
          </w:tcPr>
          <w:p>
            <w:pPr>
              <w:jc w:val="center"/>
              <w:ind w:left="202"/>
              <w:spacing w:after="0"/>
              <w:rPr>
                <w:sz w:val="20"/>
                <w:szCs w:val="20"/>
                <w:color w:val="auto"/>
              </w:rPr>
            </w:pPr>
            <w:r>
              <w:rPr>
                <w:rFonts w:ascii="Arial" w:cs="Arial" w:eastAsia="Arial" w:hAnsi="Arial"/>
                <w:sz w:val="12"/>
                <w:szCs w:val="12"/>
                <w:color w:val="auto"/>
                <w:w w:val="89"/>
              </w:rPr>
              <w:t>96</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89"/>
              </w:rPr>
              <w:t>98</w:t>
            </w:r>
          </w:p>
        </w:tc>
        <w:tc>
          <w:tcPr>
            <w:tcW w:w="1040" w:type="dxa"/>
            <w:vAlign w:val="bottom"/>
          </w:tcPr>
          <w:p>
            <w:pPr>
              <w:jc w:val="center"/>
              <w:ind w:left="502"/>
              <w:spacing w:after="0"/>
              <w:rPr>
                <w:sz w:val="20"/>
                <w:szCs w:val="20"/>
                <w:color w:val="auto"/>
              </w:rPr>
            </w:pPr>
            <w:r>
              <w:rPr>
                <w:rFonts w:ascii="Arial" w:cs="Arial" w:eastAsia="Arial" w:hAnsi="Arial"/>
                <w:sz w:val="12"/>
                <w:szCs w:val="12"/>
                <w:color w:val="auto"/>
                <w:w w:val="89"/>
              </w:rPr>
              <w:t>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89"/>
              </w:rPr>
              <w:t>98</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270"/>
        </w:trPr>
        <w:tc>
          <w:tcPr>
            <w:tcW w:w="140" w:type="dxa"/>
            <w:vAlign w:val="bottom"/>
          </w:tcPr>
          <w:p>
            <w:pPr>
              <w:ind w:left="80"/>
              <w:spacing w:after="0"/>
              <w:rPr>
                <w:sz w:val="20"/>
                <w:szCs w:val="20"/>
                <w:color w:val="auto"/>
              </w:rPr>
            </w:pPr>
            <w:r>
              <w:rPr>
                <w:rFonts w:ascii="Arial" w:cs="Arial" w:eastAsia="Arial" w:hAnsi="Arial"/>
                <w:sz w:val="12"/>
                <w:szCs w:val="12"/>
                <w:b w:val="1"/>
                <w:bCs w:val="1"/>
                <w:color w:val="auto"/>
                <w:w w:val="94"/>
              </w:rPr>
              <w:t>•</w:t>
            </w:r>
          </w:p>
        </w:tc>
        <w:tc>
          <w:tcPr>
            <w:tcW w:w="1540" w:type="dxa"/>
            <w:vAlign w:val="bottom"/>
          </w:tcPr>
          <w:p>
            <w:pPr>
              <w:jc w:val="right"/>
              <w:ind w:right="522"/>
              <w:spacing w:after="0"/>
              <w:rPr>
                <w:sz w:val="20"/>
                <w:szCs w:val="20"/>
                <w:color w:val="auto"/>
              </w:rPr>
            </w:pPr>
            <w:r>
              <w:rPr>
                <w:rFonts w:ascii="Arial" w:cs="Arial" w:eastAsia="Arial" w:hAnsi="Arial"/>
                <w:sz w:val="12"/>
                <w:szCs w:val="12"/>
                <w:color w:val="auto"/>
                <w:w w:val="95"/>
              </w:rPr>
              <w:t>Consensus pricing</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Offered quotes (9)</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01"/>
        </w:trPr>
        <w:tc>
          <w:tcPr>
            <w:tcW w:w="16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49"/>
        </w:trPr>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Present value techniques or</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Volatility (10)</w:t>
            </w:r>
          </w:p>
        </w:tc>
        <w:tc>
          <w:tcPr>
            <w:tcW w:w="740" w:type="dxa"/>
            <w:vAlign w:val="bottom"/>
          </w:tcPr>
          <w:p>
            <w:pPr>
              <w:jc w:val="center"/>
              <w:ind w:left="22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34%</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32%</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7"/>
              </w:rPr>
              <w:t>Increase (6)</w:t>
            </w:r>
          </w:p>
        </w:tc>
      </w:tr>
      <w:tr>
        <w:trPr>
          <w:trHeight w:val="148"/>
        </w:trPr>
        <w:tc>
          <w:tcPr>
            <w:tcW w:w="140" w:type="dxa"/>
            <w:vAlign w:val="bottom"/>
          </w:tcPr>
          <w:p>
            <w:pPr>
              <w:spacing w:after="0"/>
              <w:rPr>
                <w:sz w:val="12"/>
                <w:szCs w:val="12"/>
                <w:color w:val="auto"/>
              </w:rPr>
            </w:pPr>
          </w:p>
        </w:tc>
        <w:tc>
          <w:tcPr>
            <w:tcW w:w="1540" w:type="dxa"/>
            <w:vAlign w:val="bottom"/>
          </w:tcPr>
          <w:p>
            <w:pPr>
              <w:jc w:val="right"/>
              <w:ind w:right="202"/>
              <w:spacing w:after="0"/>
              <w:rPr>
                <w:sz w:val="20"/>
                <w:szCs w:val="20"/>
                <w:color w:val="auto"/>
              </w:rPr>
            </w:pPr>
            <w:r>
              <w:rPr>
                <w:rFonts w:ascii="Arial" w:cs="Arial" w:eastAsia="Arial" w:hAnsi="Arial"/>
                <w:sz w:val="12"/>
                <w:szCs w:val="12"/>
                <w:color w:val="auto"/>
              </w:rPr>
              <w:t>option pricing models</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9"/>
        </w:trPr>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Correlation (11)</w:t>
            </w:r>
          </w:p>
        </w:tc>
        <w:tc>
          <w:tcPr>
            <w:tcW w:w="740" w:type="dxa"/>
            <w:vAlign w:val="bottom"/>
          </w:tcPr>
          <w:p>
            <w:pPr>
              <w:jc w:val="center"/>
              <w:ind w:left="222"/>
              <w:spacing w:after="0"/>
              <w:rPr>
                <w:sz w:val="20"/>
                <w:szCs w:val="20"/>
                <w:color w:val="auto"/>
              </w:rPr>
            </w:pPr>
            <w:r>
              <w:rPr>
                <w:rFonts w:ascii="Arial" w:cs="Arial" w:eastAsia="Arial" w:hAnsi="Arial"/>
                <w:sz w:val="12"/>
                <w:szCs w:val="12"/>
                <w:color w:val="auto"/>
                <w:w w:val="91"/>
              </w:rPr>
              <w:t>70%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70%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40%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40%</w:t>
            </w:r>
          </w:p>
        </w:tc>
        <w:tc>
          <w:tcPr>
            <w:tcW w:w="1520" w:type="dxa"/>
            <w:vAlign w:val="bottom"/>
          </w:tcPr>
          <w:p>
            <w:pPr>
              <w:spacing w:after="0"/>
              <w:rPr>
                <w:sz w:val="16"/>
                <w:szCs w:val="16"/>
                <w:color w:val="auto"/>
              </w:rPr>
            </w:pPr>
          </w:p>
        </w:tc>
      </w:tr>
      <w:tr>
        <w:trPr>
          <w:trHeight w:val="101"/>
        </w:trPr>
        <w:tc>
          <w:tcPr>
            <w:tcW w:w="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-745490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-393700</wp:posOffset>
            </wp:positionV>
            <wp:extent cx="72466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-8255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1400" w:space="720"/>
            <w:col w:w="930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20" w:type="dxa"/>
            <w:vAlign w:val="bottom"/>
          </w:tcPr>
          <w:p>
            <w:pPr>
              <w:ind w:left="40"/>
              <w:spacing w:after="0"/>
              <w:rPr>
                <w:sz w:val="20"/>
                <w:szCs w:val="20"/>
                <w:color w:val="auto"/>
              </w:rPr>
            </w:pPr>
            <w:r>
              <w:rPr>
                <w:rFonts w:ascii="Arial" w:cs="Arial" w:eastAsia="Arial" w:hAnsi="Arial"/>
                <w:sz w:val="12"/>
                <w:szCs w:val="12"/>
                <w:color w:val="auto"/>
                <w:w w:val="93"/>
              </w:rPr>
              <w:t>Direct, assumed and ceded guaranteed</w:t>
            </w:r>
          </w:p>
        </w:tc>
        <w:tc>
          <w:tcPr>
            <w:tcW w:w="1760" w:type="dxa"/>
            <w:vAlign w:val="bottom"/>
          </w:tcPr>
          <w:p>
            <w:pPr>
              <w:ind w:left="18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Option pricing techniques</w:t>
            </w:r>
          </w:p>
        </w:tc>
        <w:tc>
          <w:tcPr>
            <w:tcW w:w="1600" w:type="dxa"/>
            <w:vAlign w:val="bottom"/>
            <w:gridSpan w:val="2"/>
          </w:tcPr>
          <w:p>
            <w:pPr>
              <w:ind w:left="20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Mortality rates: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2020" w:type="dxa"/>
            <w:vAlign w:val="bottom"/>
          </w:tcPr>
          <w:p>
            <w:pPr>
              <w:ind w:left="200"/>
              <w:spacing w:after="0"/>
              <w:rPr>
                <w:sz w:val="20"/>
                <w:szCs w:val="20"/>
                <w:color w:val="auto"/>
              </w:rPr>
            </w:pPr>
            <w:r>
              <w:rPr>
                <w:rFonts w:ascii="Arial" w:cs="Arial" w:eastAsia="Arial" w:hAnsi="Arial"/>
                <w:sz w:val="12"/>
                <w:szCs w:val="12"/>
                <w:color w:val="auto"/>
              </w:rPr>
              <w:t>minimum benefits</w:t>
            </w:r>
          </w:p>
        </w:tc>
        <w:tc>
          <w:tcPr>
            <w:tcW w:w="1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Ages 0 - 40</w:t>
            </w:r>
          </w:p>
        </w:tc>
        <w:tc>
          <w:tcPr>
            <w:tcW w:w="8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1"/>
              </w:rPr>
              <w:t>0%</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0.09%</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0%</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0.09%</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480"/>
              <w:spacing w:after="0"/>
              <w:rPr>
                <w:sz w:val="20"/>
                <w:szCs w:val="20"/>
                <w:color w:val="auto"/>
              </w:rPr>
            </w:pPr>
            <w:r>
              <w:rPr>
                <w:rFonts w:ascii="Arial" w:cs="Arial" w:eastAsia="Arial" w:hAnsi="Arial"/>
                <w:sz w:val="12"/>
                <w:szCs w:val="12"/>
                <w:color w:val="auto"/>
                <w:w w:val="86"/>
              </w:rPr>
              <w:t>Ages 41</w:t>
            </w:r>
          </w:p>
        </w:tc>
        <w:tc>
          <w:tcPr>
            <w:tcW w:w="720" w:type="dxa"/>
            <w:vAlign w:val="bottom"/>
          </w:tcPr>
          <w:p>
            <w:pPr>
              <w:ind w:left="20"/>
              <w:spacing w:after="0"/>
              <w:rPr>
                <w:sz w:val="20"/>
                <w:szCs w:val="20"/>
                <w:color w:val="auto"/>
              </w:rPr>
            </w:pPr>
            <w:r>
              <w:rPr>
                <w:rFonts w:ascii="Arial" w:cs="Arial" w:eastAsia="Arial" w:hAnsi="Arial"/>
                <w:sz w:val="12"/>
                <w:szCs w:val="12"/>
                <w:color w:val="auto"/>
              </w:rPr>
              <w:t>- 60</w:t>
            </w:r>
          </w:p>
        </w:tc>
        <w:tc>
          <w:tcPr>
            <w:tcW w:w="880" w:type="dxa"/>
            <w:vAlign w:val="bottom"/>
          </w:tcPr>
          <w:p>
            <w:pPr>
              <w:jc w:val="center"/>
              <w:ind w:left="322"/>
              <w:spacing w:after="0"/>
              <w:rPr>
                <w:sz w:val="20"/>
                <w:szCs w:val="20"/>
                <w:color w:val="auto"/>
              </w:rPr>
            </w:pPr>
            <w:r>
              <w:rPr>
                <w:rFonts w:ascii="Arial" w:cs="Arial" w:eastAsia="Arial" w:hAnsi="Arial"/>
                <w:sz w:val="12"/>
                <w:szCs w:val="12"/>
                <w:color w:val="auto"/>
                <w:w w:val="88"/>
              </w:rPr>
              <w:t>0.04%</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0.65%</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8"/>
              </w:rPr>
              <w:t>0.04%</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0.65%</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6"/>
              </w:rPr>
              <w:t>Ages 61</w:t>
            </w:r>
          </w:p>
        </w:tc>
        <w:tc>
          <w:tcPr>
            <w:tcW w:w="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- 115</w:t>
            </w:r>
          </w:p>
        </w:tc>
        <w:tc>
          <w:tcPr>
            <w:tcW w:w="880" w:type="dxa"/>
            <w:vAlign w:val="bottom"/>
            <w:shd w:val="clear" w:color="auto" w:fill="CCEEFF"/>
          </w:tcPr>
          <w:p>
            <w:pPr>
              <w:jc w:val="center"/>
              <w:ind w:left="322"/>
              <w:spacing w:after="0"/>
              <w:rPr>
                <w:sz w:val="20"/>
                <w:szCs w:val="20"/>
                <w:color w:val="auto"/>
              </w:rPr>
            </w:pPr>
            <w:r>
              <w:rPr>
                <w:rFonts w:ascii="Arial" w:cs="Arial" w:eastAsia="Arial" w:hAnsi="Arial"/>
                <w:sz w:val="12"/>
                <w:szCs w:val="12"/>
                <w:color w:val="auto"/>
                <w:w w:val="88"/>
              </w:rPr>
              <w:t>0.26%</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0.26%</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bl>
    <w:p>
      <w:pPr>
        <w:spacing w:after="0" w:line="21" w:lineRule="exact"/>
        <w:rPr>
          <w:sz w:val="20"/>
          <w:szCs w:val="20"/>
          <w:color w:val="auto"/>
        </w:rPr>
      </w:pPr>
    </w:p>
    <w:p>
      <w:pPr>
        <w:ind w:left="4120" w:hanging="148"/>
        <w:spacing w:after="0"/>
        <w:tabs>
          <w:tab w:leader="none" w:pos="4120" w:val="left"/>
        </w:tabs>
        <w:numPr>
          <w:ilvl w:val="0"/>
          <w:numId w:val="36"/>
        </w:numPr>
        <w:rPr>
          <w:rFonts w:ascii="Arial" w:cs="Arial" w:eastAsia="Arial" w:hAnsi="Arial"/>
          <w:sz w:val="12"/>
          <w:szCs w:val="12"/>
          <w:b w:val="1"/>
          <w:bCs w:val="1"/>
          <w:color w:val="auto"/>
        </w:rPr>
      </w:pPr>
      <w:r>
        <w:rPr>
          <w:rFonts w:ascii="Arial" w:cs="Arial" w:eastAsia="Arial" w:hAnsi="Arial"/>
          <w:sz w:val="12"/>
          <w:szCs w:val="12"/>
          <w:color w:val="auto"/>
        </w:rPr>
        <w:t>Lapse rates: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1 - 10</w:t>
            </w: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spacing w:after="0"/>
              <w:rPr>
                <w:sz w:val="14"/>
                <w:szCs w:val="14"/>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11 - 20</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21 - 116</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7"/>
              </w:rPr>
              <w:t>Increase (14)</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10%</w:t>
            </w:r>
          </w:p>
        </w:tc>
        <w:tc>
          <w:tcPr>
            <w:tcW w:w="1500" w:type="dxa"/>
            <w:vAlign w:val="bottom"/>
            <w:shd w:val="clear" w:color="auto" w:fill="CCEEFF"/>
          </w:tcPr>
          <w:p>
            <w:pPr>
              <w:jc w:val="center"/>
              <w:ind w:left="402"/>
              <w:spacing w:after="0"/>
              <w:rPr>
                <w:sz w:val="20"/>
                <w:szCs w:val="20"/>
                <w:color w:val="auto"/>
              </w:rPr>
            </w:pPr>
            <w:r>
              <w:rPr>
                <w:rFonts w:ascii="Arial" w:cs="Arial" w:eastAsia="Arial" w:hAnsi="Arial"/>
                <w:sz w:val="12"/>
                <w:szCs w:val="12"/>
                <w:color w:val="auto"/>
                <w:w w:val="93"/>
              </w:rPr>
              <w:t>(15)</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Long-term equity volatilities</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88"/>
              </w:rPr>
              <w:t>17.40%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tcPr>
          <w:p>
            <w:pPr>
              <w:jc w:val="center"/>
              <w:ind w:left="482"/>
              <w:spacing w:after="0"/>
              <w:rPr>
                <w:sz w:val="20"/>
                <w:szCs w:val="20"/>
                <w:color w:val="auto"/>
              </w:rPr>
            </w:pPr>
            <w:r>
              <w:rPr>
                <w:rFonts w:ascii="Arial" w:cs="Arial" w:eastAsia="Arial" w:hAnsi="Arial"/>
                <w:sz w:val="12"/>
                <w:szCs w:val="12"/>
                <w:color w:val="auto"/>
                <w:w w:val="88"/>
              </w:rPr>
              <w:t>17.40%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7"/>
              </w:rPr>
              <w:t>Increase (16)</w:t>
            </w:r>
          </w:p>
        </w:tc>
      </w:tr>
      <w:tr>
        <w:trPr>
          <w:trHeight w:val="270"/>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w w:val="99"/>
              </w:rPr>
              <w:t>Nonperformance risk spread</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0.03%</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88"/>
              </w:rPr>
              <w:t>0.47%</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0.04%</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0.57%</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1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ectPr>
          <w:pgSz w:w="11900" w:h="16838" w:orient="portrait"/>
          <w:cols w:equalWidth="0" w:num="1">
            <w:col w:w="11420"/>
          </w:cols>
          <w:pgMar w:left="240" w:top="288"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88" w:right="2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Ranges represent different repurchase rates utilized as components within the valuation methodology and are presented in basis points.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June 30, 2017 and December 31, 2016, independent non-binding broker quotations were used in the determination of 2% and 3%, respectively, of the total net derivative estimated fair value.</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8"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2016 (9)</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State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U.S. Government and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Political</w:t>
            </w:r>
          </w:p>
        </w:tc>
        <w:tc>
          <w:tcPr>
            <w:tcW w:w="180" w:type="dxa"/>
            <w:vAlign w:val="bottom"/>
          </w:tcPr>
          <w:p>
            <w:pPr>
              <w:spacing w:after="0"/>
              <w:rPr>
                <w:sz w:val="11"/>
                <w:szCs w:val="11"/>
                <w:color w:val="auto"/>
              </w:rPr>
            </w:pPr>
          </w:p>
        </w:tc>
        <w:tc>
          <w:tcPr>
            <w:tcW w:w="106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Foreign</w:t>
            </w:r>
          </w:p>
        </w:tc>
      </w:tr>
      <w:tr>
        <w:trPr>
          <w:trHeight w:val="174"/>
        </w:trPr>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Corporate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Agency</w:t>
            </w: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Structured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4"/>
              </w:rPr>
              <w:t>Subdivision</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99"/>
              </w:rPr>
              <w:t>Government</w:t>
            </w: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2,463</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88" w:right="2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jc w:val="right"/>
        <w:ind w:right="134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19685</wp:posOffset>
            </wp:positionV>
            <wp:extent cx="42621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4700" w:type="dxa"/>
        <w:tblCellMar>
          <w:top w:w="0" w:type="dxa"/>
          <w:left w:w="0" w:type="dxa"/>
          <w:bottom w:w="0" w:type="dxa"/>
          <w:right w:w="0" w:type="dxa"/>
        </w:tblCellMar>
      </w:tblPr>
      <w:tr>
        <w:trPr>
          <w:trHeight w:val="149"/>
        </w:trPr>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360" w:type="dxa"/>
            <w:vAlign w:val="bottom"/>
          </w:tcPr>
          <w:p>
            <w:pPr>
              <w:jc w:val="center"/>
              <w:ind w:left="17"/>
              <w:spacing w:after="0"/>
              <w:rPr>
                <w:sz w:val="20"/>
                <w:szCs w:val="20"/>
                <w:color w:val="auto"/>
              </w:rPr>
            </w:pPr>
            <w:r>
              <w:rPr>
                <w:rFonts w:ascii="Arial" w:cs="Arial" w:eastAsia="Arial" w:hAnsi="Arial"/>
                <w:sz w:val="13"/>
                <w:szCs w:val="13"/>
                <w:b w:val="1"/>
                <w:bCs w:val="1"/>
                <w:color w:val="auto"/>
                <w:w w:val="90"/>
              </w:rPr>
              <w:t>Short-term</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1320" w:type="dxa"/>
            <w:vAlign w:val="bottom"/>
          </w:tcPr>
          <w:p>
            <w:pPr>
              <w:ind w:left="280"/>
              <w:spacing w:after="0"/>
              <w:rPr>
                <w:sz w:val="20"/>
                <w:szCs w:val="20"/>
                <w:color w:val="auto"/>
              </w:rPr>
            </w:pPr>
            <w:r>
              <w:rPr>
                <w:rFonts w:ascii="Arial" w:cs="Arial" w:eastAsia="Arial" w:hAnsi="Arial"/>
                <w:sz w:val="13"/>
                <w:szCs w:val="13"/>
                <w:b w:val="1"/>
                <w:bCs w:val="1"/>
                <w:color w:val="auto"/>
              </w:rPr>
              <w:t>Net Embedded</w:t>
            </w:r>
          </w:p>
        </w:tc>
        <w:tc>
          <w:tcPr>
            <w:tcW w:w="1340" w:type="dxa"/>
            <w:vAlign w:val="bottom"/>
          </w:tcPr>
          <w:p>
            <w:pPr>
              <w:jc w:val="center"/>
              <w:ind w:left="37"/>
              <w:spacing w:after="0"/>
              <w:rPr>
                <w:sz w:val="20"/>
                <w:szCs w:val="20"/>
                <w:color w:val="auto"/>
              </w:rPr>
            </w:pPr>
            <w:r>
              <w:rPr>
                <w:rFonts w:ascii="Arial" w:cs="Arial" w:eastAsia="Arial" w:hAnsi="Arial"/>
                <w:sz w:val="13"/>
                <w:szCs w:val="13"/>
                <w:b w:val="1"/>
                <w:bCs w:val="1"/>
                <w:color w:val="auto"/>
                <w:w w:val="87"/>
              </w:rPr>
              <w:t>Separate</w:t>
            </w:r>
          </w:p>
        </w:tc>
      </w:tr>
      <w:tr>
        <w:trPr>
          <w:trHeight w:val="174"/>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w:t>
            </w:r>
          </w:p>
        </w:tc>
        <w:tc>
          <w:tcPr>
            <w:tcW w:w="13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4"/>
              </w:rPr>
              <w:t>Investments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Derivatives (2)</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Derivatives (3)</w:t>
            </w:r>
          </w:p>
        </w:tc>
        <w:tc>
          <w:tcPr>
            <w:tcW w:w="13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4"/>
              </w:rPr>
              <w:t>Account Assets (4)</w:t>
            </w:r>
          </w:p>
        </w:tc>
      </w:tr>
      <w:tr>
        <w:trPr>
          <w:trHeight w:val="241"/>
        </w:trPr>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Arial" w:cs="Arial" w:eastAsia="Arial" w:hAnsi="Arial"/>
                <w:sz w:val="13"/>
                <w:szCs w:val="13"/>
                <w:b w:val="1"/>
                <w:bCs w:val="1"/>
                <w:color w:val="auto"/>
              </w:rPr>
              <w:t>(In millions)</w:t>
            </w: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2017</w:t>
      </w:r>
    </w:p>
    <w:p>
      <w:pPr>
        <w:sectPr>
          <w:pgSz w:w="11900" w:h="16838" w:orient="portrait"/>
          <w:cols w:equalWidth="0" w:num="1">
            <w:col w:w="11420"/>
          </w:cols>
          <w:pgMar w:left="240" w:top="288" w:right="23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June 30,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2016 (9)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15"/>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4"/>
                <w:szCs w:val="24"/>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351"/>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(3,409)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(3,417)</w:t>
            </w:r>
          </w:p>
        </w:tc>
        <w:tc>
          <w:tcPr>
            <w:tcW w:w="120" w:type="dxa"/>
            <w:vAlign w:val="bottom"/>
          </w:tcPr>
          <w:p>
            <w:pPr>
              <w:spacing w:after="0"/>
              <w:rPr>
                <w:sz w:val="24"/>
                <w:szCs w:val="24"/>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88" w:right="2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Condensed Combined Financial Statements (Unaudited) — (continued)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2016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State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U.S. Government and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Political</w:t>
            </w:r>
          </w:p>
        </w:tc>
        <w:tc>
          <w:tcPr>
            <w:tcW w:w="180" w:type="dxa"/>
            <w:vAlign w:val="bottom"/>
          </w:tcPr>
          <w:p>
            <w:pPr>
              <w:spacing w:after="0"/>
              <w:rPr>
                <w:sz w:val="11"/>
                <w:szCs w:val="11"/>
                <w:color w:val="auto"/>
              </w:rPr>
            </w:pPr>
          </w:p>
        </w:tc>
        <w:tc>
          <w:tcPr>
            <w:tcW w:w="106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Foreign</w:t>
            </w:r>
          </w:p>
        </w:tc>
      </w:tr>
      <w:tr>
        <w:trPr>
          <w:trHeight w:val="174"/>
        </w:trPr>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Corporate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Agency</w:t>
            </w: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Structured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4"/>
              </w:rPr>
              <w:t>Subdivision</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99"/>
              </w:rPr>
              <w:t>Government</w:t>
            </w: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1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2,485</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26</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7"/>
        </w:trPr>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88" w:right="2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3"/>
                <w:szCs w:val="13"/>
                <w:b w:val="1"/>
                <w:bCs w:val="1"/>
                <w:color w:val="auto"/>
                <w:w w:val="87"/>
              </w:rPr>
              <w:t>Fair Value Measurements Using Significant Unobservable Inputs (Level 3)</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90"/>
              <w:spacing w:after="0" w:line="144"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Short-term</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12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Net Embedded</w:t>
            </w:r>
          </w:p>
        </w:tc>
        <w:tc>
          <w:tcPr>
            <w:tcW w:w="100" w:type="dxa"/>
            <w:vAlign w:val="bottom"/>
          </w:tcPr>
          <w:p>
            <w:pPr>
              <w:spacing w:after="0"/>
              <w:rPr>
                <w:sz w:val="12"/>
                <w:szCs w:val="12"/>
                <w:color w:val="auto"/>
              </w:rPr>
            </w:pPr>
          </w:p>
        </w:tc>
        <w:tc>
          <w:tcPr>
            <w:tcW w:w="1140" w:type="dxa"/>
            <w:vAlign w:val="bottom"/>
          </w:tcPr>
          <w:p>
            <w:pPr>
              <w:jc w:val="right"/>
              <w:ind w:right="310"/>
              <w:spacing w:after="0" w:line="144" w:lineRule="exact"/>
              <w:rPr>
                <w:sz w:val="20"/>
                <w:szCs w:val="20"/>
                <w:color w:val="auto"/>
              </w:rPr>
            </w:pPr>
            <w:r>
              <w:rPr>
                <w:rFonts w:ascii="Arial" w:cs="Arial" w:eastAsia="Arial" w:hAnsi="Arial"/>
                <w:sz w:val="13"/>
                <w:szCs w:val="13"/>
                <w:b w:val="1"/>
                <w:bCs w:val="1"/>
                <w:color w:val="auto"/>
              </w:rPr>
              <w:t>Separate</w:t>
            </w: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Derivatives (2)</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Derivatives (3)</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4"/>
              </w:rPr>
              <w:t>Account Assets (4)</w:t>
            </w: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(5) (6)</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00" w:type="dxa"/>
            <w:vAlign w:val="bottom"/>
          </w:tcPr>
          <w:p>
            <w:pPr>
              <w:ind w:left="200"/>
              <w:spacing w:after="0" w:line="157" w:lineRule="exact"/>
              <w:rPr>
                <w:sz w:val="20"/>
                <w:szCs w:val="20"/>
                <w:color w:val="auto"/>
              </w:rPr>
            </w:pPr>
            <w:r>
              <w:rPr>
                <w:rFonts w:ascii="Arial" w:cs="Arial" w:eastAsia="Arial" w:hAnsi="Arial"/>
                <w:sz w:val="14"/>
                <w:szCs w:val="14"/>
                <w:color w:val="auto"/>
              </w:rPr>
              <w:t>Total realized/unrealized gains (losses)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(7)</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Sales (7)</w:t>
            </w:r>
          </w:p>
        </w:tc>
        <w:tc>
          <w:tcPr>
            <w:tcW w:w="24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(7)</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Settlements (7)</w:t>
            </w:r>
          </w:p>
        </w:tc>
        <w:tc>
          <w:tcPr>
            <w:tcW w:w="2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(8)</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Transfers out of Level 3 (8)</w:t>
            </w:r>
          </w:p>
        </w:tc>
        <w:tc>
          <w:tcPr>
            <w:tcW w:w="2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134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700"/>
        <w:spacing w:after="0"/>
        <w:rPr>
          <w:sz w:val="20"/>
          <w:szCs w:val="20"/>
          <w:color w:val="auto"/>
        </w:rPr>
      </w:pPr>
      <w:r>
        <w:rPr>
          <w:rFonts w:ascii="Arial" w:cs="Arial" w:eastAsia="Arial" w:hAnsi="Arial"/>
          <w:sz w:val="13"/>
          <w:szCs w:val="13"/>
          <w:color w:val="auto"/>
        </w:rPr>
        <w:t>Total realized/unrealized gains (losses)</w:t>
      </w:r>
    </w:p>
    <w:p>
      <w:pPr>
        <w:spacing w:after="0" w:line="11"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June 30, 2016 (9)</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146</w:t>
            </w:r>
          </w:p>
        </w:tc>
      </w:tr>
      <w:tr>
        <w:trPr>
          <w:trHeight w:val="351"/>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24"/>
                <w:szCs w:val="24"/>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derivatives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ectPr>
          <w:pgSz w:w="11900" w:h="16838" w:orient="portrait"/>
          <w:cols w:equalWidth="0" w:num="1">
            <w:col w:w="11420"/>
          </w:cols>
          <w:pgMar w:left="240" w:top="288"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88" w:right="2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June 30, 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17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1760" w:type="dxa"/>
            <w:vAlign w:val="bottom"/>
          </w:tcPr>
          <w:p>
            <w:pPr>
              <w:jc w:val="right"/>
              <w:ind w:right="15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760" w:type="dxa"/>
            <w:vAlign w:val="bottom"/>
            <w:tcBorders>
              <w:top w:val="single" w:sz="8" w:color="auto"/>
            </w:tcBorders>
          </w:tcPr>
          <w:p>
            <w:pPr>
              <w:jc w:val="right"/>
              <w:ind w:right="15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(1)</w:t>
            </w:r>
          </w:p>
        </w:tc>
        <w:tc>
          <w:tcPr>
            <w:tcW w:w="1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1760" w:type="dxa"/>
            <w:vAlign w:val="bottom"/>
          </w:tcPr>
          <w:p>
            <w:pPr>
              <w:jc w:val="right"/>
              <w:ind w:right="15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760" w:type="dxa"/>
            <w:vAlign w:val="bottom"/>
            <w:tcBorders>
              <w:top w:val="single" w:sz="8" w:color="auto"/>
            </w:tcBorders>
          </w:tcPr>
          <w:p>
            <w:pPr>
              <w:jc w:val="right"/>
              <w:ind w:right="1561"/>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8"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June 30, 2017</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10,140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10,405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10,405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1,513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1,862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2,220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15,913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17,316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17,316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3,000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3,006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Collateral financial arrangement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573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361</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1,167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1,167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9,242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9,387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9,387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1,517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2,789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834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2,449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16,226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17,457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1,887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Collateral financing arrangement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2,797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1,114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financial instruments are summarized as follows: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estimated fair value of mortgage loans is primarily determined by estimating expected future cash flows and discounting them using current interest rates for similar mortgage loans with similar credit risk, or is determined from pricing for similar loans.</w:t>
      </w:r>
    </w:p>
    <w:p>
      <w:pPr>
        <w:sectPr>
          <w:pgSz w:w="11900" w:h="16838" w:orient="portrait"/>
          <w:cols w:equalWidth="0" w:num="1">
            <w:col w:w="11420"/>
          </w:cols>
          <w:pgMar w:left="240" w:top="2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88" w:right="2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 Loans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Policy loans with fixed interest rates are classified within Level 3. The estimated fair values for these loans are determined using a discounted cash flow model applied to groups of similar policy loans determined by the nature of the underlying insurance liabilities. Cash flow estimates are developed by applying a weighted-average interest rate to the outstanding principal balance of the respective group of policy loans and an estimated average maturity determined through experience studies of the past performance of policyholder repayment behavior for similar loans. These cash flows are discounted using current risk-free interest rates with no adjustment for borrower credit risk, as these loans are fully collateralized by the cash surrender value of the underlying insurance policy. Policy loans with variable interest rates are classified within Level 2 and the estimated fair value approximates carrying value due to the absence of borrower credit risk and the short time period between interest rate resets, which presents minimal risk of a material change in estimated fair value due to changes in market interest rates.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Real Estate Joint Ventures and Other Limited Partnership Interests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estimated fair values of these cost method investments are generally based on the Company’s share of the NAV as provided on the financial statements of the investees. In certain circumstances, management may adjust the NAV by a premium or discount when it has sufficient evidence to support applying such adjustments.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Premiums, Reinsurance and Other Receivables</w:t>
      </w:r>
    </w:p>
    <w:p>
      <w:pPr>
        <w:spacing w:after="0" w:line="117" w:lineRule="exact"/>
        <w:rPr>
          <w:sz w:val="20"/>
          <w:szCs w:val="20"/>
          <w:color w:val="auto"/>
        </w:rPr>
      </w:pPr>
    </w:p>
    <w:p>
      <w:pPr>
        <w:jc w:val="both"/>
        <w:ind w:left="180" w:right="20" w:firstLine="324"/>
        <w:spacing w:after="0" w:line="342" w:lineRule="auto"/>
        <w:rPr>
          <w:sz w:val="20"/>
          <w:szCs w:val="20"/>
          <w:color w:val="auto"/>
        </w:rPr>
      </w:pPr>
      <w:r>
        <w:rPr>
          <w:rFonts w:ascii="Arial" w:cs="Arial" w:eastAsia="Arial" w:hAnsi="Arial"/>
          <w:sz w:val="16"/>
          <w:szCs w:val="16"/>
          <w:color w:val="auto"/>
        </w:rPr>
        <w:t>Premiums, reinsurance and other receivables are principally comprised of certain amounts recoverable under reinsurance agreements, amounts on deposit with financial institutions to facilitate daily settlements related to certain derivatives and amounts receivable for securities sold but not yet settled.</w:t>
      </w:r>
    </w:p>
    <w:p>
      <w:pPr>
        <w:spacing w:after="0" w:line="16"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Amounts recoverable under ceded reinsurance agreements, which the Company has determined do not transfer significant risk such that they are accounted for using the deposit method of accounting, have been classified as Level 3. The valuation is based on discounted cash flow methodologies using significant unobservable inputs. The estimated fair value is determined using interest rates determined to reflect the appropriate credit standing of the assuming counterparty.</w:t>
      </w:r>
    </w:p>
    <w:p>
      <w:pPr>
        <w:spacing w:after="0" w:line="79"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amounts on deposit for derivative settlements, classified within Level 2, essentially represent the equivalent of demand deposit balances and amounts due for securities sold are generally received over short periods such that the estimated fair value approximates carrying value.</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Policyholder Account Balances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These policyholder account balances include investment contracts which primarily include certain funding agreements, fixed deferred annuities, modified guaranteed annuities, fixed term payout annuities and total control accounts. The valuation of these investment contracts is based on discounted cash flow methodologies using significant unobservable inputs. The estimated fair value is determined using current market risk-free interest rates adding a spread to reflect the nonperformance risk in the liability.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 and Collateral Financing Arrangement</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estimated fair values of long-term debt and the collateral financing arrangement are principally determined using market standard valuation methodologies. Valuations of instruments classified as Level 2 are based primarily on quoted prices in markets that are not active or using matrix pricing that use standard market observable inputs such as quoted prices in markets that are not active and observable yields and spreads in the market. Instruments valued using discounted cash flow methodologies use standard market observable inputs including market yield curve, duration, observable prices and spreads for similar publicly traded or privately traded issues.</w:t>
      </w:r>
    </w:p>
    <w:p>
      <w:pPr>
        <w:spacing w:after="0" w:line="80" w:lineRule="exact"/>
        <w:rPr>
          <w:sz w:val="20"/>
          <w:szCs w:val="20"/>
          <w:color w:val="auto"/>
        </w:rPr>
      </w:pPr>
    </w:p>
    <w:p>
      <w:pPr>
        <w:jc w:val="both"/>
        <w:ind w:left="180" w:right="20" w:firstLine="324"/>
        <w:spacing w:after="0" w:line="312" w:lineRule="auto"/>
        <w:rPr>
          <w:sz w:val="20"/>
          <w:szCs w:val="20"/>
          <w:color w:val="auto"/>
        </w:rPr>
      </w:pPr>
      <w:r>
        <w:rPr>
          <w:rFonts w:ascii="Arial" w:cs="Arial" w:eastAsia="Arial" w:hAnsi="Arial"/>
          <w:sz w:val="16"/>
          <w:szCs w:val="16"/>
          <w:color w:val="auto"/>
        </w:rPr>
        <w:t>Valuations of instruments classified as Level 3 are based primarily on discounted cash flow methodologies that utilize unobservable discount rates that can vary significantly based upon the specific terms of each individual arrangement. The determination of estimated fair value of the collateral financing arrangement incorporates valuations obtained from the counterparties to the arrangement, as part of the collateral management process.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Liabilities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Other liabilities consist primarily of interest payable, amounts due for securities purchased but not yet settled, funds withheld amounts payable, which are contractually withheld by the Company in accordance with the terms of the reinsurance agreements, and derivatives payable. The Company evaluates the specific terms, facts and circumstances of each instrument to determine the appropriate estimated fair values, which are not materially different from the carrying values.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8"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180" w:right="9140" w:hanging="172"/>
        <w:spacing w:after="0" w:line="622" w:lineRule="auto"/>
        <w:tabs>
          <w:tab w:leader="none" w:pos="198"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(continued) </w:t>
      </w:r>
      <w:r>
        <w:rPr>
          <w:rFonts w:ascii="Arial" w:cs="Arial" w:eastAsia="Arial" w:hAnsi="Arial"/>
          <w:sz w:val="15"/>
          <w:szCs w:val="15"/>
          <w:b w:val="1"/>
          <w:bCs w:val="1"/>
          <w:i w:val="1"/>
          <w:iCs w:val="1"/>
          <w:u w:val="single" w:color="auto"/>
          <w:color w:val="auto"/>
        </w:rPr>
        <w:t>Separate Account Liabilities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Separate account liabilities represent those balances due to policyholders under contracts that are classified as investment contracts.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Separate account liabilities classified as investment contracts primarily represent variable annuities with no significant mortality risk to the Company such that the death benefit is equal to the account balance and certain contracts that provide for benefit funding.</w:t>
      </w:r>
    </w:p>
    <w:p>
      <w:pPr>
        <w:spacing w:after="0" w:line="62"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Since separate account liabilities are fully funded by cash flows from the separate account assets which are recognized at estimated fair value as described in the section “— Recurring Fair Value Measurements,” the value of those assets approximates the estimated fair value of the related separate account liabilities. The valuation techniques and inputs for separate account liabilities are similar to those described for separate account assets.</w:t>
      </w:r>
    </w:p>
    <w:p>
      <w:pPr>
        <w:spacing w:after="0" w:line="89" w:lineRule="exact"/>
        <w:rPr>
          <w:sz w:val="20"/>
          <w:szCs w:val="20"/>
          <w:color w:val="auto"/>
        </w:rPr>
      </w:pPr>
    </w:p>
    <w:p>
      <w:pPr>
        <w:ind w:left="340" w:right="7820" w:hanging="332"/>
        <w:spacing w:after="0" w:line="559" w:lineRule="auto"/>
        <w:tabs>
          <w:tab w:leader="none" w:pos="19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and Collateral Financing Arrangement </w:t>
      </w:r>
      <w:r>
        <w:rPr>
          <w:rFonts w:ascii="Arial" w:cs="Arial" w:eastAsia="Arial" w:hAnsi="Arial"/>
          <w:sz w:val="16"/>
          <w:szCs w:val="16"/>
          <w:color w:val="auto"/>
        </w:rPr>
        <w:t>Long-term debt outstanding was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980" w:type="dxa"/>
            <w:vAlign w:val="bottom"/>
          </w:tcPr>
          <w:p>
            <w:pPr>
              <w:jc w:val="center"/>
              <w:ind w:right="61"/>
              <w:spacing w:after="0" w:line="151" w:lineRule="exact"/>
              <w:rPr>
                <w:sz w:val="20"/>
                <w:szCs w:val="20"/>
                <w:color w:val="auto"/>
              </w:rPr>
            </w:pPr>
            <w:r>
              <w:rPr>
                <w:rFonts w:ascii="Arial" w:cs="Arial" w:eastAsia="Arial" w:hAnsi="Arial"/>
                <w:sz w:val="14"/>
                <w:szCs w:val="14"/>
                <w:b w:val="1"/>
                <w:bCs w:val="1"/>
                <w:color w:val="auto"/>
                <w:w w:val="94"/>
              </w:rPr>
              <w:t>Interest</w:t>
            </w:r>
          </w:p>
        </w:tc>
        <w:tc>
          <w:tcPr>
            <w:tcW w:w="14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3"/>
                <w:szCs w:val="13"/>
                <w:color w:val="auto"/>
              </w:rPr>
            </w:pPr>
          </w:p>
        </w:tc>
        <w:tc>
          <w:tcPr>
            <w:tcW w:w="110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160" w:type="dxa"/>
            <w:vAlign w:val="bottom"/>
          </w:tcPr>
          <w:p>
            <w:pPr>
              <w:jc w:val="right"/>
              <w:ind w:right="181"/>
              <w:spacing w:after="0" w:line="151"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Rate</w:t>
            </w:r>
          </w:p>
        </w:tc>
        <w:tc>
          <w:tcPr>
            <w:tcW w:w="14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60" w:type="dxa"/>
            <w:vAlign w:val="bottom"/>
          </w:tcPr>
          <w:p>
            <w:pPr>
              <w:ind w:left="40"/>
              <w:spacing w:after="0"/>
              <w:rPr>
                <w:sz w:val="20"/>
                <w:szCs w:val="20"/>
                <w:color w:val="auto"/>
              </w:rPr>
            </w:pPr>
            <w:r>
              <w:rPr>
                <w:rFonts w:ascii="Arial" w:cs="Arial" w:eastAsia="Arial" w:hAnsi="Arial"/>
                <w:sz w:val="16"/>
                <w:szCs w:val="16"/>
                <w:color w:val="auto"/>
              </w:rPr>
              <w:t>Senior notes — unaffiliated</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3.700%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2027</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 unaffiliated</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4.700%</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2047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Surplus notes — affiliated with MetLife, Inc.</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8.595%</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2038</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note — affiliated with MetLife, Inc.</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5.130%</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2032</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Surplus note — affiliated with MetLife, Inc.</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6.000%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2033</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 unaffiliated (1), (2)</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7.028%</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2030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long-term debt</w:t>
            </w:r>
          </w:p>
        </w:tc>
        <w:tc>
          <w:tcPr>
            <w:tcW w:w="19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5"/>
              </w:rPr>
              <w:t>3-month LIBOR plus</w:t>
            </w:r>
          </w:p>
        </w:tc>
        <w:tc>
          <w:tcPr>
            <w:tcW w:w="1480" w:type="dxa"/>
            <w:vAlign w:val="bottom"/>
          </w:tcPr>
          <w:p>
            <w:pPr>
              <w:spacing w:after="0"/>
              <w:rPr>
                <w:sz w:val="19"/>
                <w:szCs w:val="19"/>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06"/>
        </w:trPr>
        <w:tc>
          <w:tcPr>
            <w:tcW w:w="5160" w:type="dxa"/>
            <w:vAlign w:val="bottom"/>
          </w:tcPr>
          <w:p>
            <w:pPr>
              <w:ind w:left="40"/>
              <w:spacing w:after="0"/>
              <w:rPr>
                <w:sz w:val="20"/>
                <w:szCs w:val="20"/>
                <w:color w:val="auto"/>
              </w:rPr>
            </w:pPr>
            <w:r>
              <w:rPr>
                <w:rFonts w:ascii="Arial" w:cs="Arial" w:eastAsia="Arial" w:hAnsi="Arial"/>
                <w:sz w:val="16"/>
                <w:szCs w:val="16"/>
                <w:color w:val="auto"/>
              </w:rPr>
              <w:t>Collateral financing arrangement</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0.70%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2037</w:t>
            </w:r>
          </w:p>
        </w:tc>
        <w:tc>
          <w:tcPr>
            <w:tcW w:w="3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12700</wp:posOffset>
            </wp:positionV>
            <wp:extent cx="17837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-98425</wp:posOffset>
            </wp:positionV>
            <wp:extent cx="17837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$16 million and $23 million at June 30, 2017 and December 31, 2016, respectively, of long-term debt relating to CSEs — FVO.</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17"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On June 22, 2017, Brighthouse Financial, Inc. issued $1.5 billion of senior notes due in June 2027, which bear interest at a fixed rate of 3.70%, payable semi-annually, and $1.5 billion of senior notes due in June 2047, which bear interest at a fixed rate of 4.70%, payable semi-annually.</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Surplus Notes — Affiliated</w:t>
      </w:r>
    </w:p>
    <w:p>
      <w:pPr>
        <w:spacing w:after="0" w:line="117" w:lineRule="exact"/>
        <w:rPr>
          <w:sz w:val="20"/>
          <w:szCs w:val="20"/>
          <w:color w:val="auto"/>
        </w:rPr>
      </w:pPr>
    </w:p>
    <w:p>
      <w:pPr>
        <w:ind w:left="340" w:firstLine="324"/>
        <w:spacing w:after="0" w:line="342" w:lineRule="auto"/>
        <w:rPr>
          <w:sz w:val="20"/>
          <w:szCs w:val="20"/>
          <w:color w:val="auto"/>
        </w:rPr>
      </w:pPr>
      <w:r>
        <w:rPr>
          <w:rFonts w:ascii="Arial" w:cs="Arial" w:eastAsia="Arial" w:hAnsi="Arial"/>
          <w:sz w:val="16"/>
          <w:szCs w:val="16"/>
          <w:color w:val="auto"/>
        </w:rPr>
        <w:t>On June 16, 2017, MetLife, Inc. forgave the Company’s obligation to pay the principal under the $750 million aggregate principal amount, 8.595% surplus notes. The forgiveness of the surplus notes was treated as a capital transaction and recorded as an increase to additional paid-in-capital.</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Reserve Financing Surplus Notes — Affiliated</w:t>
      </w:r>
    </w:p>
    <w:p>
      <w:pPr>
        <w:spacing w:after="0" w:line="117"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On April 28, 2017, surplus note obligations with MetLife, Inc. totaling $1.1 billion, which were due on September 30, 2032 and December 31, 2033 and bore interest at 5.13% and 6.00%, respectively, were satisfied in a noncash exchange for $1.1 billion of loans outstanding from MetLife.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8" w:right="239" w:bottom="1440" w:gutter="0" w:footer="0" w:header="0"/>
        </w:sectPr>
      </w:pPr>
    </w:p>
    <w:bookmarkStart w:id="63" w:name="page64"/>
    <w:bookmarkEnd w:id="6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Collateral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On April 28, 2017, MetLife, Inc. and MRSC terminated the collateral financing arrangement associated with secondary guarantees. As a result, the $2.8 billion collateral financing arrangement liability outstanding was extinguished utilizing $2.8 billion of assets held in trust, which had been repositioned into short-term investments and cash equivalents, with the remaining assets held in trust returned to MetLife, Inc. See Note 4.</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Committed Facilities and Reinsurance Financing Arrangement</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On April 28, 2017, MetLife, Inc. and MetLife Reinsurance of Vermont terminated the $4.3 billion committed facility, and MetLife, Inc. and MRSC terminated the $3.5 billion committed facility.</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new financing arrangement with a pool of highly rated third party reinsurers and a total capacity of $10.0 billion. This financing arrangement consists of credit-linked notes that each have a term of 20 years. At June 30, 2017, there were no drawdowns on such notes and there was $8.1 billion of funding available under this arrangement.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Term Loan Facility</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Effective with the issuances of the senior notes, total commitments under the $3.0 billion term loan facility (the “2016 Term Loan Facility”) were reduced by approximately $2.5 billion. See Note 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Net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16, 2017, MetLife, Inc. made a non-cash capital contribution of $750 million in the form of forgiveness of debt to the Company. See Note 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20, 2017, Brighthouse Holdings, LLC issued $50 million aggregate liquidation preference of fixed rate cumulative preferred units to MetLife, Inc. These preferred units are reported as noncontrolling interests on the interim condensed combined balance sheet. See Note 13 for further information regarding Brighthouse Holdings, LLC.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1"/>
              </w:rPr>
              <w:t>Three Months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85"/>
              </w:rPr>
              <w:t>Ended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2017</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Related Offsets (1)</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Adjustments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1,310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80" w:type="dxa"/>
            <w:vAlign w:val="bottom"/>
          </w:tcPr>
          <w:p>
            <w:pPr>
              <w:spacing w:after="0"/>
              <w:rPr>
                <w:sz w:val="22"/>
                <w:szCs w:val="22"/>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71"/>
        </w:trPr>
        <w:tc>
          <w:tcPr>
            <w:tcW w:w="412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8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29"/>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8" w:right="239" w:bottom="1440" w:gutter="0" w:footer="0" w:header="0"/>
        </w:sectPr>
      </w:pPr>
    </w:p>
    <w:bookmarkStart w:id="64" w:name="page65"/>
    <w:bookmarkEnd w:id="6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Net Investment (continued)</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Three Months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0"/>
              </w:rPr>
              <w:t>Ended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w w:val="96"/>
              </w:rPr>
              <w:t>June 30, 2016</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1"/>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55"/>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020" w:type="dxa"/>
            <w:vAlign w:val="bottom"/>
          </w:tcPr>
          <w:p>
            <w:pPr>
              <w:jc w:val="center"/>
              <w:ind w:left="255"/>
              <w:spacing w:after="0" w:line="135" w:lineRule="exact"/>
              <w:rPr>
                <w:sz w:val="20"/>
                <w:szCs w:val="20"/>
                <w:color w:val="auto"/>
              </w:rPr>
            </w:pPr>
            <w:r>
              <w:rPr>
                <w:rFonts w:ascii="Arial" w:cs="Arial" w:eastAsia="Arial" w:hAnsi="Arial"/>
                <w:sz w:val="13"/>
                <w:szCs w:val="13"/>
                <w:b w:val="1"/>
                <w:bCs w:val="1"/>
                <w:color w:val="auto"/>
                <w:w w:val="87"/>
              </w:rPr>
              <w:t>Currency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020" w:type="dxa"/>
            <w:vAlign w:val="bottom"/>
          </w:tcPr>
          <w:p>
            <w:pPr>
              <w:jc w:val="center"/>
              <w:ind w:left="255"/>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on Derivatives</w:t>
            </w:r>
          </w:p>
        </w:tc>
        <w:tc>
          <w:tcPr>
            <w:tcW w:w="1020" w:type="dxa"/>
            <w:vAlign w:val="bottom"/>
            <w:tcBorders>
              <w:bottom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Adjustments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15"/>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5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418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22"/>
                <w:szCs w:val="22"/>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41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Pr>
          <w:p>
            <w:pPr>
              <w:spacing w:after="0"/>
              <w:rPr>
                <w:sz w:val="14"/>
                <w:szCs w:val="14"/>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74"/>
        </w:trPr>
        <w:tc>
          <w:tcPr>
            <w:tcW w:w="41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41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2,368</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855"/>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(21)</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65"/>
        </w:trPr>
        <w:tc>
          <w:tcPr>
            <w:tcW w:w="418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7460"/>
        <w:spacing w:after="0"/>
        <w:rPr>
          <w:sz w:val="20"/>
          <w:szCs w:val="20"/>
          <w:color w:val="auto"/>
        </w:rPr>
      </w:pPr>
      <w:r>
        <w:rPr>
          <w:rFonts w:ascii="Arial" w:cs="Arial" w:eastAsia="Arial" w:hAnsi="Arial"/>
          <w:sz w:val="13"/>
          <w:szCs w:val="13"/>
          <w:b w:val="1"/>
          <w:bCs w:val="1"/>
          <w:color w:val="auto"/>
        </w:rPr>
        <w:t>Six Months</w:t>
      </w:r>
    </w:p>
    <w:p>
      <w:pPr>
        <w:ind w:left="762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3"/>
          <w:szCs w:val="13"/>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10795</wp:posOffset>
            </wp:positionV>
            <wp:extent cx="46310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Amounts reclassified from AOCI, net of income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4"/>
        </w:trPr>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3"/>
                <w:szCs w:val="13"/>
                <w:b w:val="1"/>
                <w:bCs w:val="1"/>
                <w:color w:val="auto"/>
                <w:w w:val="87"/>
              </w:rPr>
              <w:t>Related Offsets (1)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3"/>
                <w:szCs w:val="13"/>
                <w:b w:val="1"/>
                <w:bCs w:val="1"/>
                <w:color w:val="auto"/>
                <w:w w:val="87"/>
              </w:rPr>
              <w:t>on Derivatives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2"/>
              </w:rPr>
              <w:t>Plans Adjustment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r>
      <w:tr>
        <w:trPr>
          <w:trHeight w:val="241"/>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3"/>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4"/>
        </w:trPr>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7"/>
              <w:spacing w:after="0"/>
              <w:rPr>
                <w:sz w:val="20"/>
                <w:szCs w:val="20"/>
                <w:color w:val="auto"/>
              </w:rPr>
            </w:pPr>
            <w:r>
              <w:rPr>
                <w:rFonts w:ascii="Arial" w:cs="Arial" w:eastAsia="Arial" w:hAnsi="Arial"/>
                <w:sz w:val="16"/>
                <w:szCs w:val="16"/>
                <w:color w:val="auto"/>
              </w:rPr>
              <w:t>1,044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6"/>
              <w:spacing w:after="0"/>
              <w:rPr>
                <w:sz w:val="20"/>
                <w:szCs w:val="20"/>
                <w:color w:val="auto"/>
              </w:rPr>
            </w:pPr>
            <w:r>
              <w:rPr>
                <w:rFonts w:ascii="Arial" w:cs="Arial" w:eastAsia="Arial" w:hAnsi="Arial"/>
                <w:sz w:val="16"/>
                <w:szCs w:val="16"/>
                <w:color w:val="auto"/>
              </w:rPr>
              <w:t>268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1,265</w:t>
            </w:r>
          </w:p>
        </w:tc>
      </w:tr>
      <w:tr>
        <w:trPr>
          <w:trHeight w:val="270"/>
        </w:trPr>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47"/>
              <w:spacing w:after="0"/>
              <w:rPr>
                <w:sz w:val="20"/>
                <w:szCs w:val="20"/>
                <w:color w:val="auto"/>
              </w:rPr>
            </w:pPr>
            <w:r>
              <w:rPr>
                <w:rFonts w:ascii="Arial" w:cs="Arial" w:eastAsia="Arial" w:hAnsi="Arial"/>
                <w:sz w:val="16"/>
                <w:szCs w:val="16"/>
                <w:color w:val="auto"/>
              </w:rPr>
              <w:t>962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892</w:t>
            </w:r>
          </w:p>
        </w:tc>
      </w:tr>
      <w:tr>
        <w:trPr>
          <w:trHeight w:val="276"/>
        </w:trPr>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(310)</w:t>
            </w:r>
          </w:p>
        </w:tc>
      </w:tr>
      <w:tr>
        <w:trPr>
          <w:trHeight w:val="250"/>
        </w:trPr>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1,663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1,847</w:t>
            </w:r>
          </w:p>
        </w:tc>
      </w:tr>
      <w:tr>
        <w:trPr>
          <w:trHeight w:val="244"/>
        </w:trPr>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7"/>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r>
      <w:tr>
        <w:trPr>
          <w:trHeight w:val="276"/>
        </w:trPr>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(27)</w:t>
            </w:r>
          </w:p>
        </w:tc>
      </w:tr>
      <w:tr>
        <w:trPr>
          <w:trHeight w:val="250"/>
        </w:trPr>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47</w:t>
            </w:r>
          </w:p>
        </w:tc>
      </w:tr>
      <w:tr>
        <w:trPr>
          <w:trHeight w:val="237"/>
        </w:trPr>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7"/>
              <w:spacing w:after="0"/>
              <w:rPr>
                <w:sz w:val="20"/>
                <w:szCs w:val="20"/>
                <w:color w:val="auto"/>
              </w:rPr>
            </w:pPr>
            <w:r>
              <w:rPr>
                <w:rFonts w:ascii="Arial" w:cs="Arial" w:eastAsia="Arial" w:hAnsi="Arial"/>
                <w:sz w:val="14"/>
                <w:szCs w:val="14"/>
                <w:color w:val="auto"/>
              </w:rPr>
              <w:t>1,721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6"/>
              <w:spacing w:after="0"/>
              <w:rPr>
                <w:sz w:val="20"/>
                <w:szCs w:val="20"/>
                <w:color w:val="auto"/>
              </w:rPr>
            </w:pPr>
            <w:r>
              <w:rPr>
                <w:rFonts w:ascii="Arial" w:cs="Arial" w:eastAsia="Arial" w:hAnsi="Arial"/>
                <w:sz w:val="14"/>
                <w:szCs w:val="14"/>
                <w:color w:val="auto"/>
              </w:rPr>
              <w:t>223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1,894</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86"/>
              </w:rPr>
              <w:t>Six Months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35"/>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4"/>
        </w:trPr>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3"/>
                <w:szCs w:val="13"/>
                <w:b w:val="1"/>
                <w:bCs w:val="1"/>
                <w:color w:val="auto"/>
                <w:w w:val="85"/>
              </w:rPr>
              <w:t>June 30, 2016</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Foreign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00" w:type="dxa"/>
            <w:vAlign w:val="bottom"/>
          </w:tcPr>
          <w:p>
            <w:pPr>
              <w:spacing w:after="0"/>
              <w:rPr>
                <w:sz w:val="11"/>
                <w:szCs w:val="11"/>
                <w:color w:val="auto"/>
              </w:rPr>
            </w:pPr>
          </w:p>
        </w:tc>
        <w:tc>
          <w:tcPr>
            <w:tcW w:w="112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90"/>
              </w:rPr>
              <w:t>Defined Benefit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4"/>
        </w:trPr>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Related Offsets (1)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on Derivatives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Plans Adjustment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Total</w:t>
            </w:r>
          </w:p>
        </w:tc>
      </w:tr>
      <w:tr>
        <w:trPr>
          <w:trHeight w:val="241"/>
        </w:trPr>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3"/>
                <w:szCs w:val="13"/>
                <w:b w:val="1"/>
                <w:bCs w:val="1"/>
                <w:color w:val="auto"/>
                <w:w w:val="93"/>
              </w:rPr>
              <w:t>(In millions)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74"/>
        </w:trPr>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1,322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251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3"/>
                <w:szCs w:val="23"/>
                <w:color w:val="auto"/>
              </w:rPr>
            </w:pPr>
          </w:p>
        </w:tc>
      </w:tr>
      <w:tr>
        <w:trPr>
          <w:trHeight w:val="270"/>
        </w:trPr>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4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23"/>
                <w:szCs w:val="23"/>
                <w:color w:val="auto"/>
              </w:rPr>
            </w:pPr>
          </w:p>
        </w:tc>
      </w:tr>
      <w:tr>
        <w:trPr>
          <w:trHeight w:val="276"/>
        </w:trPr>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310</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21"/>
                <w:szCs w:val="21"/>
                <w:color w:val="auto"/>
              </w:rPr>
            </w:pPr>
          </w:p>
        </w:tc>
      </w:tr>
      <w:tr>
        <w:trPr>
          <w:trHeight w:val="244"/>
        </w:trPr>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r>
      <w:tr>
        <w:trPr>
          <w:trHeight w:val="276"/>
        </w:trPr>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r>
      <w:tr>
        <w:trPr>
          <w:trHeight w:val="237"/>
        </w:trPr>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2,368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2,632</w:t>
            </w:r>
          </w:p>
        </w:tc>
        <w:tc>
          <w:tcPr>
            <w:tcW w:w="12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-3712845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-3369945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-3026410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-2683510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-1388745</wp:posOffset>
            </wp:positionV>
            <wp:extent cx="71691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-1045845</wp:posOffset>
            </wp:positionV>
            <wp:extent cx="71691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-702310</wp:posOffset>
            </wp:positionV>
            <wp:extent cx="71691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-359410</wp:posOffset>
            </wp:positionV>
            <wp:extent cx="71691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3400" w:space="720"/>
            <w:col w:w="7300"/>
          </w:cols>
          <w:pgMar w:left="240" w:top="288" w:right="239" w:bottom="1440" w:gutter="0" w:footer="0" w:header="0"/>
          <w:type w:val="continuous"/>
        </w:sect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See Note 4 for information on offsets to investments related to future policy benefits, DAC, VOBA and DSI.</w:t>
      </w:r>
    </w:p>
    <w:p>
      <w:pPr>
        <w:sectPr>
          <w:pgSz w:w="11900" w:h="16838" w:orient="portrait"/>
          <w:cols w:equalWidth="0" w:num="1">
            <w:col w:w="11420"/>
          </w:cols>
          <w:pgMar w:left="240" w:top="288"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88" w:right="239" w:bottom="1440" w:gutter="0" w:footer="0" w:header="0"/>
          <w:type w:val="continuous"/>
        </w:sectPr>
      </w:pPr>
    </w:p>
    <w:bookmarkStart w:id="65" w:name="page66"/>
    <w:bookmarkEnd w:id="6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right"/>
        <w:ind w:right="200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Net Investment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ind w:left="40"/>
              <w:spacing w:after="0"/>
              <w:rPr>
                <w:sz w:val="20"/>
                <w:szCs w:val="20"/>
                <w:color w:val="auto"/>
              </w:rPr>
            </w:pPr>
            <w:r>
              <w:rPr>
                <w:rFonts w:ascii="Arial" w:cs="Arial" w:eastAsia="Arial" w:hAnsi="Arial"/>
                <w:sz w:val="13"/>
                <w:szCs w:val="13"/>
                <w:b w:val="1"/>
                <w:bCs w:val="1"/>
                <w:color w:val="auto"/>
                <w:w w:val="88"/>
              </w:rPr>
              <w:t>Combined Statements of Operations and</w:t>
            </w:r>
          </w:p>
        </w:tc>
      </w:tr>
      <w:tr>
        <w:trPr>
          <w:trHeight w:val="17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AOCI Components</w:t>
            </w:r>
          </w:p>
        </w:tc>
        <w:tc>
          <w:tcPr>
            <w:tcW w:w="1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Amounts Reclassified from AOCI</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7"/>
              </w:rPr>
              <w:t>Comprehensive Income (Loss) Locations</w:t>
            </w: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Three Months Ended June 30,</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3"/>
                <w:szCs w:val="13"/>
                <w:b w:val="1"/>
                <w:bCs w:val="1"/>
                <w:color w:val="auto"/>
              </w:rPr>
              <w:t>Six Months Ended June 30,</w:t>
            </w:r>
          </w:p>
        </w:tc>
        <w:tc>
          <w:tcPr>
            <w:tcW w:w="2400" w:type="dxa"/>
            <w:vAlign w:val="bottom"/>
            <w:gridSpan w:val="2"/>
          </w:tcPr>
          <w:p>
            <w:pPr>
              <w:spacing w:after="0"/>
              <w:rPr>
                <w:sz w:val="22"/>
                <w:szCs w:val="22"/>
                <w:color w:val="auto"/>
              </w:rPr>
            </w:pPr>
          </w:p>
        </w:tc>
      </w:tr>
      <w:tr>
        <w:trPr>
          <w:trHeight w:val="264"/>
        </w:trPr>
        <w:tc>
          <w:tcPr>
            <w:tcW w:w="494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2017</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2016</w:t>
            </w:r>
          </w:p>
        </w:tc>
        <w:tc>
          <w:tcPr>
            <w:tcW w:w="1860" w:type="dxa"/>
            <w:vAlign w:val="bottom"/>
            <w:gridSpan w:val="3"/>
          </w:tcPr>
          <w:p>
            <w:pPr>
              <w:jc w:val="right"/>
              <w:ind w:right="537"/>
              <w:spacing w:after="0"/>
              <w:rPr>
                <w:sz w:val="20"/>
                <w:szCs w:val="20"/>
                <w:color w:val="auto"/>
              </w:rPr>
            </w:pPr>
            <w:r>
              <w:rPr>
                <w:rFonts w:ascii="Arial" w:cs="Arial" w:eastAsia="Arial" w:hAnsi="Arial"/>
                <w:sz w:val="13"/>
                <w:szCs w:val="13"/>
                <w:b w:val="1"/>
                <w:bCs w:val="1"/>
                <w:color w:val="auto"/>
              </w:rPr>
              <w:t>2017</w:t>
            </w:r>
          </w:p>
        </w:tc>
        <w:tc>
          <w:tcPr>
            <w:tcW w:w="1240" w:type="dxa"/>
            <w:vAlign w:val="bottom"/>
          </w:tcPr>
          <w:p>
            <w:pPr>
              <w:jc w:val="right"/>
              <w:ind w:right="41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9"/>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3"/>
          </w:tcPr>
          <w:p>
            <w:pPr>
              <w:jc w:val="center"/>
              <w:ind w:right="897"/>
              <w:spacing w:after="0"/>
              <w:rPr>
                <w:sz w:val="20"/>
                <w:szCs w:val="20"/>
                <w:color w:val="auto"/>
              </w:rPr>
            </w:pPr>
            <w:r>
              <w:rPr>
                <w:rFonts w:ascii="Arial" w:cs="Arial" w:eastAsia="Arial" w:hAnsi="Arial"/>
                <w:sz w:val="13"/>
                <w:szCs w:val="13"/>
                <w:b w:val="1"/>
                <w:bCs w:val="1"/>
                <w:color w:val="auto"/>
                <w:w w:val="90"/>
              </w:rPr>
              <w:t>(In millions)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99"/>
        </w:trPr>
        <w:tc>
          <w:tcPr>
            <w:tcW w:w="4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unrealized investment gains (losses):</w:t>
            </w: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80"/>
        </w:trPr>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80" w:type="dxa"/>
            <w:vAlign w:val="bottom"/>
            <w:shd w:val="clear" w:color="auto" w:fill="CCEEFF"/>
          </w:tcPr>
          <w:p>
            <w:pPr>
              <w:spacing w:after="0"/>
              <w:rPr>
                <w:sz w:val="6"/>
                <w:szCs w:val="6"/>
                <w:color w:val="auto"/>
              </w:rPr>
            </w:pPr>
          </w:p>
        </w:tc>
      </w:tr>
    </w:tbl>
    <w:p>
      <w:pPr>
        <w:spacing w:after="0" w:line="8" w:lineRule="exact"/>
        <w:rPr>
          <w:sz w:val="20"/>
          <w:szCs w:val="20"/>
          <w:color w:val="auto"/>
        </w:rPr>
      </w:pPr>
    </w:p>
    <w:p>
      <w:pPr>
        <w:sectPr>
          <w:pgSz w:w="11900" w:h="16838" w:orient="portrait"/>
          <w:cols w:equalWidth="0" w:num="1">
            <w:col w:w="11420"/>
          </w:cols>
          <w:pgMar w:left="240" w:top="288" w:right="239" w:bottom="1440" w:gutter="0" w:footer="0" w:header="0"/>
        </w:sectPr>
      </w:pPr>
    </w:p>
    <w:tbl>
      <w:tblPr>
        <w:tblLayout w:type="fixed"/>
        <w:tblInd w:w="40" w:type="dxa"/>
        <w:tblCellMar>
          <w:top w:w="0" w:type="dxa"/>
          <w:left w:w="0" w:type="dxa"/>
          <w:bottom w:w="0" w:type="dxa"/>
          <w:right w:w="0" w:type="dxa"/>
        </w:tblCellMar>
      </w:tblPr>
      <w:tr>
        <w:trPr>
          <w:trHeight w:val="182"/>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480"/>
              <w:spacing w:after="0"/>
              <w:rPr>
                <w:sz w:val="20"/>
                <w:szCs w:val="20"/>
                <w:color w:val="auto"/>
              </w:rPr>
            </w:pPr>
            <w:r>
              <w:rPr>
                <w:rFonts w:ascii="Arial" w:cs="Arial" w:eastAsia="Arial" w:hAnsi="Arial"/>
                <w:sz w:val="14"/>
                <w:szCs w:val="14"/>
                <w:color w:val="auto"/>
              </w:rPr>
              <w:t>Net unrealized investment gains (losses), before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640"/>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80"/>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680"/>
              <w:spacing w:after="0"/>
              <w:rPr>
                <w:sz w:val="20"/>
                <w:szCs w:val="20"/>
                <w:color w:val="auto"/>
              </w:rPr>
            </w:pPr>
            <w:r>
              <w:rPr>
                <w:rFonts w:ascii="Arial" w:cs="Arial" w:eastAsia="Arial" w:hAnsi="Arial"/>
                <w:sz w:val="14"/>
                <w:szCs w:val="14"/>
                <w:color w:val="auto"/>
                <w:w w:val="96"/>
              </w:rPr>
              <w:t>Net unrealized investment gains (losses), net of</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800"/>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4"/>
                <w:szCs w:val="14"/>
                <w:color w:val="auto"/>
                <w:w w:val="94"/>
              </w:rPr>
              <w:t>Unrealized gains (losses) on derivatives - cash flow hedges: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840" w:type="dxa"/>
            <w:vAlign w:val="bottom"/>
          </w:tcPr>
          <w:p>
            <w:pPr>
              <w:ind w:left="140"/>
              <w:spacing w:after="0"/>
              <w:rPr>
                <w:sz w:val="20"/>
                <w:szCs w:val="20"/>
                <w:color w:val="auto"/>
              </w:rPr>
            </w:pPr>
            <w:r>
              <w:rPr>
                <w:rFonts w:ascii="Arial" w:cs="Arial" w:eastAsia="Arial" w:hAnsi="Arial"/>
                <w:sz w:val="14"/>
                <w:szCs w:val="14"/>
                <w:color w:val="auto"/>
                <w:w w:val="91"/>
              </w:rPr>
              <w:t>Net investment gains (losses)</w:t>
            </w:r>
          </w:p>
        </w:tc>
      </w:tr>
      <w:tr>
        <w:trPr>
          <w:trHeight w:val="270"/>
        </w:trPr>
        <w:tc>
          <w:tcPr>
            <w:tcW w:w="3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380" w:type="dxa"/>
            <w:vAlign w:val="bottom"/>
          </w:tcPr>
          <w:p>
            <w:pPr>
              <w:jc w:val="right"/>
              <w:ind w:right="128"/>
              <w:spacing w:after="0"/>
              <w:rPr>
                <w:sz w:val="20"/>
                <w:szCs w:val="20"/>
                <w:color w:val="auto"/>
              </w:rPr>
            </w:pPr>
            <w:r>
              <w:rPr>
                <w:rFonts w:ascii="Arial" w:cs="Arial" w:eastAsia="Arial" w:hAnsi="Arial"/>
                <w:sz w:val="14"/>
                <w:szCs w:val="14"/>
                <w:color w:val="auto"/>
                <w:w w:val="93"/>
              </w:rPr>
              <w:t>(1)</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325"/>
        </w:trPr>
        <w:tc>
          <w:tcPr>
            <w:tcW w:w="3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5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840" w:type="dxa"/>
            <w:vAlign w:val="bottom"/>
          </w:tcPr>
          <w:p>
            <w:pPr>
              <w:spacing w:after="0"/>
              <w:rPr>
                <w:sz w:val="24"/>
                <w:szCs w:val="24"/>
                <w:color w:val="auto"/>
              </w:rPr>
            </w:pPr>
          </w:p>
        </w:tc>
      </w:tr>
      <w:tr>
        <w:trPr>
          <w:trHeight w:val="276"/>
        </w:trPr>
        <w:tc>
          <w:tcPr>
            <w:tcW w:w="3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840" w:type="dxa"/>
            <w:vAlign w:val="bottom"/>
          </w:tcPr>
          <w:p>
            <w:pPr>
              <w:spacing w:after="0"/>
              <w:rPr>
                <w:sz w:val="24"/>
                <w:szCs w:val="24"/>
                <w:color w:val="auto"/>
              </w:rPr>
            </w:pPr>
          </w:p>
        </w:tc>
      </w:tr>
      <w:tr>
        <w:trPr>
          <w:trHeight w:val="331"/>
        </w:trPr>
        <w:tc>
          <w:tcPr>
            <w:tcW w:w="3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-968375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-231140</wp:posOffset>
            </wp:positionV>
            <wp:extent cx="7246620"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-625475</wp:posOffset>
            </wp:positionV>
            <wp:extent cx="72466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swaps</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68"/>
        </w:trPr>
        <w:tc>
          <w:tcPr>
            <w:tcW w:w="36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Interest rate swaps</w:t>
            </w:r>
          </w:p>
        </w:tc>
        <w:tc>
          <w:tcPr>
            <w:tcW w:w="5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2400" w:type="dxa"/>
            <w:vAlign w:val="bottom"/>
            <w:vMerge w:val="restart"/>
          </w:tcPr>
          <w:p>
            <w:pPr>
              <w:ind w:left="14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forwards</w:t>
            </w:r>
          </w:p>
        </w:tc>
        <w:tc>
          <w:tcPr>
            <w:tcW w:w="5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Interest rate forwards</w:t>
            </w:r>
          </w:p>
        </w:tc>
        <w:tc>
          <w:tcPr>
            <w:tcW w:w="560" w:type="dxa"/>
            <w:vAlign w:val="bottom"/>
          </w:tcPr>
          <w:p>
            <w:pPr>
              <w:spacing w:after="0"/>
              <w:rPr>
                <w:sz w:val="16"/>
                <w:szCs w:val="16"/>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2400" w:type="dxa"/>
            <w:vAlign w:val="bottom"/>
            <w:vMerge w:val="restart"/>
          </w:tcPr>
          <w:p>
            <w:pPr>
              <w:ind w:left="14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swaps</w:t>
            </w:r>
          </w:p>
        </w:tc>
        <w:tc>
          <w:tcPr>
            <w:tcW w:w="5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520"/>
              <w:spacing w:after="0" w:line="137" w:lineRule="exact"/>
              <w:rPr>
                <w:sz w:val="20"/>
                <w:szCs w:val="20"/>
                <w:color w:val="auto"/>
              </w:rPr>
            </w:pPr>
            <w:r>
              <w:rPr>
                <w:rFonts w:ascii="Arial" w:cs="Arial" w:eastAsia="Arial" w:hAnsi="Arial"/>
                <w:sz w:val="14"/>
                <w:szCs w:val="14"/>
                <w:color w:val="auto"/>
                <w:w w:val="98"/>
              </w:rPr>
              <w:t>Gains (losses) on cash flow hedges, before income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68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Income tax (expense) benefit</w:t>
            </w:r>
          </w:p>
        </w:tc>
        <w:tc>
          <w:tcPr>
            <w:tcW w:w="5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680"/>
              <w:spacing w:after="0" w:line="137" w:lineRule="exact"/>
              <w:rPr>
                <w:sz w:val="20"/>
                <w:szCs w:val="20"/>
                <w:color w:val="auto"/>
              </w:rPr>
            </w:pPr>
            <w:r>
              <w:rPr>
                <w:rFonts w:ascii="Arial" w:cs="Arial" w:eastAsia="Arial" w:hAnsi="Arial"/>
                <w:sz w:val="14"/>
                <w:szCs w:val="14"/>
                <w:color w:val="auto"/>
              </w:rPr>
              <w:t>Gains (losses) on cash flow hedges, net of</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income tax</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2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Defined benefit plans adjustment:</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Amortization of net actuarial gains (losses)</w:t>
            </w:r>
          </w:p>
        </w:tc>
        <w:tc>
          <w:tcPr>
            <w:tcW w:w="560" w:type="dxa"/>
            <w:vAlign w:val="bottom"/>
          </w:tcPr>
          <w:p>
            <w:pPr>
              <w:spacing w:after="0"/>
              <w:rPr>
                <w:sz w:val="16"/>
                <w:szCs w:val="16"/>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prior service (costs) credit</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360"/>
              <w:spacing w:after="0" w:line="137" w:lineRule="exact"/>
              <w:rPr>
                <w:sz w:val="20"/>
                <w:szCs w:val="20"/>
                <w:color w:val="auto"/>
              </w:rPr>
            </w:pPr>
            <w:r>
              <w:rPr>
                <w:rFonts w:ascii="Arial" w:cs="Arial" w:eastAsia="Arial" w:hAnsi="Arial"/>
                <w:sz w:val="14"/>
                <w:szCs w:val="14"/>
                <w:color w:val="auto"/>
              </w:rPr>
              <w:t>Amortization of defined benefit plans, before income</w:t>
            </w: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52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60" w:type="dxa"/>
            <w:vAlign w:val="bottom"/>
            <w:tcBorders>
              <w:top w:val="single" w:sz="8" w:color="CCEEFF"/>
            </w:tcBorders>
            <w:shd w:val="clear" w:color="auto" w:fill="CCEEFF"/>
          </w:tcPr>
          <w:p>
            <w:pPr>
              <w:ind w:left="680"/>
              <w:spacing w:after="0" w:line="143" w:lineRule="exact"/>
              <w:rPr>
                <w:sz w:val="20"/>
                <w:szCs w:val="20"/>
                <w:color w:val="auto"/>
              </w:rPr>
            </w:pPr>
            <w:r>
              <w:rPr>
                <w:rFonts w:ascii="Arial" w:cs="Arial" w:eastAsia="Arial" w:hAnsi="Arial"/>
                <w:sz w:val="14"/>
                <w:szCs w:val="14"/>
                <w:color w:val="auto"/>
              </w:rPr>
              <w:t>Amortization of defined benefit plans, net of</w:t>
            </w:r>
          </w:p>
        </w:tc>
        <w:tc>
          <w:tcPr>
            <w:tcW w:w="5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income tax</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140"/>
              <w:spacing w:after="0"/>
              <w:rPr>
                <w:sz w:val="20"/>
                <w:szCs w:val="20"/>
                <w:color w:val="auto"/>
              </w:rPr>
            </w:pPr>
            <w:r>
              <w:rPr>
                <w:rFonts w:ascii="Arial" w:cs="Arial" w:eastAsia="Arial" w:hAnsi="Arial"/>
                <w:sz w:val="14"/>
                <w:szCs w:val="14"/>
                <w:color w:val="auto"/>
              </w:rPr>
              <w:t>Total reclassifications, net of income tax</w:t>
            </w:r>
          </w:p>
        </w:tc>
        <w:tc>
          <w:tcPr>
            <w:tcW w:w="56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8" w:right="2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center"/>
              <w:ind w:left="503"/>
              <w:spacing w:after="0"/>
              <w:rPr>
                <w:sz w:val="20"/>
                <w:szCs w:val="20"/>
                <w:color w:val="auto"/>
              </w:rPr>
            </w:pPr>
            <w:r>
              <w:rPr>
                <w:rFonts w:ascii="Arial" w:cs="Arial" w:eastAsia="Arial" w:hAnsi="Arial"/>
                <w:sz w:val="13"/>
                <w:szCs w:val="13"/>
                <w:b w:val="1"/>
                <w:bCs w:val="1"/>
                <w:color w:val="auto"/>
                <w:w w:val="89"/>
              </w:rPr>
              <w:t>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gridSpan w:val="3"/>
          </w:tcPr>
          <w:p>
            <w:pPr>
              <w:jc w:val="center"/>
              <w:ind w:left="443"/>
              <w:spacing w:after="0"/>
              <w:rPr>
                <w:sz w:val="20"/>
                <w:szCs w:val="20"/>
                <w:color w:val="auto"/>
              </w:rPr>
            </w:pPr>
            <w:r>
              <w:rPr>
                <w:rFonts w:ascii="Arial" w:cs="Arial" w:eastAsia="Arial" w:hAnsi="Arial"/>
                <w:sz w:val="13"/>
                <w:szCs w:val="13"/>
                <w:b w:val="1"/>
                <w:bCs w:val="1"/>
                <w:color w:val="auto"/>
                <w:w w:val="86"/>
              </w:rPr>
              <w:t>Six Months</w:t>
            </w:r>
          </w:p>
        </w:tc>
        <w:tc>
          <w:tcPr>
            <w:tcW w:w="880" w:type="dxa"/>
            <w:vAlign w:val="bottom"/>
          </w:tcPr>
          <w:p>
            <w:pPr>
              <w:spacing w:after="0"/>
              <w:rPr>
                <w:sz w:val="13"/>
                <w:szCs w:val="13"/>
                <w:color w:val="auto"/>
              </w:rPr>
            </w:pPr>
          </w:p>
        </w:tc>
      </w:tr>
      <w:tr>
        <w:trPr>
          <w:trHeight w:val="135"/>
        </w:trPr>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jc w:val="center"/>
              <w:ind w:left="483"/>
              <w:spacing w:after="0" w:line="135" w:lineRule="exact"/>
              <w:rPr>
                <w:sz w:val="20"/>
                <w:szCs w:val="20"/>
                <w:color w:val="auto"/>
              </w:rPr>
            </w:pPr>
            <w:r>
              <w:rPr>
                <w:rFonts w:ascii="Arial" w:cs="Arial" w:eastAsia="Arial" w:hAnsi="Arial"/>
                <w:sz w:val="13"/>
                <w:szCs w:val="13"/>
                <w:b w:val="1"/>
                <w:bCs w:val="1"/>
                <w:color w:val="auto"/>
                <w:w w:val="85"/>
              </w:rPr>
              <w:t>Ended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3"/>
          </w:tcPr>
          <w:p>
            <w:pPr>
              <w:jc w:val="center"/>
              <w:ind w:left="403"/>
              <w:spacing w:after="0" w:line="135" w:lineRule="exact"/>
              <w:rPr>
                <w:sz w:val="20"/>
                <w:szCs w:val="20"/>
                <w:color w:val="auto"/>
              </w:rPr>
            </w:pPr>
            <w:r>
              <w:rPr>
                <w:rFonts w:ascii="Arial" w:cs="Arial" w:eastAsia="Arial" w:hAnsi="Arial"/>
                <w:sz w:val="13"/>
                <w:szCs w:val="13"/>
                <w:b w:val="1"/>
                <w:bCs w:val="1"/>
                <w:color w:val="auto"/>
                <w:w w:val="90"/>
              </w:rPr>
              <w:t>Ended</w:t>
            </w:r>
          </w:p>
        </w:tc>
        <w:tc>
          <w:tcPr>
            <w:tcW w:w="880" w:type="dxa"/>
            <w:vAlign w:val="bottom"/>
          </w:tcPr>
          <w:p>
            <w:pPr>
              <w:spacing w:after="0"/>
              <w:rPr>
                <w:sz w:val="11"/>
                <w:szCs w:val="11"/>
                <w:color w:val="auto"/>
              </w:rPr>
            </w:pPr>
          </w:p>
        </w:tc>
      </w:tr>
      <w:tr>
        <w:trPr>
          <w:trHeight w:val="174"/>
        </w:trPr>
        <w:tc>
          <w:tcPr>
            <w:tcW w:w="6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3"/>
                <w:szCs w:val="13"/>
                <w:b w:val="1"/>
                <w:bCs w:val="1"/>
                <w:color w:val="auto"/>
                <w:w w:val="84"/>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43"/>
              <w:spacing w:after="0"/>
              <w:rPr>
                <w:sz w:val="20"/>
                <w:szCs w:val="20"/>
                <w:color w:val="auto"/>
              </w:rPr>
            </w:pPr>
            <w:r>
              <w:rPr>
                <w:rFonts w:ascii="Arial" w:cs="Arial" w:eastAsia="Arial" w:hAnsi="Arial"/>
                <w:sz w:val="13"/>
                <w:szCs w:val="13"/>
                <w:b w:val="1"/>
                <w:bCs w:val="1"/>
                <w:color w:val="auto"/>
                <w:w w:val="84"/>
              </w:rPr>
              <w:t>June 30,</w:t>
            </w:r>
          </w:p>
        </w:tc>
        <w:tc>
          <w:tcPr>
            <w:tcW w:w="880" w:type="dxa"/>
            <w:vAlign w:val="bottom"/>
            <w:tcBorders>
              <w:bottom w:val="single" w:sz="8" w:color="auto"/>
            </w:tcBorders>
          </w:tcPr>
          <w:p>
            <w:pPr>
              <w:spacing w:after="0"/>
              <w:rPr>
                <w:sz w:val="15"/>
                <w:szCs w:val="15"/>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314</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Affiliated expenses on ceded and assumed reinsurance</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taxes, licenses and fees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 and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254</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Expenses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Commissions and capitalization of DAC include the impact of affiliated reinsurance transactions. See Note 12 for a discussion of affiliated expenses included in the table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 Forma Earnings Per Share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4, 2017, there were 119,773,106 shares of Brighthouse Financial, Inc. common stock outstanding (see Note 13) and this share amount is being utilized to calculate pro forma earnings per share (“EPS”) for all periods presented since the majority of such shares were issued subsequent to June 30, 2017. The following table sets forth the calculation of pro forma basic EPS based on net income (loss) divided by the pro forma basic weighted average number of common shares.</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 forma shares outstanding</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Incremental common shares from assumed: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 forma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624"/>
              <w:spacing w:after="0"/>
              <w:rPr>
                <w:sz w:val="20"/>
                <w:szCs w:val="20"/>
                <w:color w:val="auto"/>
              </w:rPr>
            </w:pPr>
            <w:r>
              <w:rPr>
                <w:rFonts w:ascii="Arial" w:cs="Arial" w:eastAsia="Arial" w:hAnsi="Arial"/>
                <w:sz w:val="14"/>
                <w:szCs w:val="14"/>
                <w:b w:val="1"/>
                <w:bCs w:val="1"/>
                <w:color w:val="auto"/>
                <w:w w:val="93"/>
              </w:rPr>
              <w:t>Three Months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93"/>
              </w:rPr>
              <w:t>Six Months</w:t>
            </w:r>
          </w:p>
        </w:tc>
        <w:tc>
          <w:tcPr>
            <w:tcW w:w="104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3"/>
          </w:tcPr>
          <w:p>
            <w:pPr>
              <w:jc w:val="center"/>
              <w:ind w:left="564"/>
              <w:spacing w:after="0" w:line="149" w:lineRule="exact"/>
              <w:rPr>
                <w:sz w:val="20"/>
                <w:szCs w:val="20"/>
                <w:color w:val="auto"/>
              </w:rPr>
            </w:pPr>
            <w:r>
              <w:rPr>
                <w:rFonts w:ascii="Arial" w:cs="Arial" w:eastAsia="Arial" w:hAnsi="Arial"/>
                <w:sz w:val="14"/>
                <w:szCs w:val="14"/>
                <w:b w:val="1"/>
                <w:bCs w:val="1"/>
                <w:color w:val="auto"/>
                <w:w w:val="93"/>
              </w:rPr>
              <w:t>Ended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624"/>
              <w:spacing w:after="0" w:line="149" w:lineRule="exact"/>
              <w:rPr>
                <w:sz w:val="20"/>
                <w:szCs w:val="20"/>
                <w:color w:val="auto"/>
              </w:rPr>
            </w:pPr>
            <w:r>
              <w:rPr>
                <w:rFonts w:ascii="Arial" w:cs="Arial" w:eastAsia="Arial" w:hAnsi="Arial"/>
                <w:sz w:val="14"/>
                <w:szCs w:val="14"/>
                <w:b w:val="1"/>
                <w:bCs w:val="1"/>
                <w:color w:val="auto"/>
                <w:w w:val="93"/>
              </w:rPr>
              <w:t>Ended</w:t>
            </w:r>
          </w:p>
        </w:tc>
        <w:tc>
          <w:tcPr>
            <w:tcW w:w="1040" w:type="dxa"/>
            <w:vAlign w:val="bottom"/>
          </w:tcPr>
          <w:p>
            <w:pPr>
              <w:spacing w:after="0"/>
              <w:rPr>
                <w:sz w:val="12"/>
                <w:szCs w:val="12"/>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624"/>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64"/>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r>
      <w:tr>
        <w:trPr>
          <w:trHeight w:val="264"/>
        </w:trPr>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8"/>
        </w:trPr>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6"/>
          </w:tcPr>
          <w:p>
            <w:pPr>
              <w:ind w:left="140"/>
              <w:spacing w:after="0"/>
              <w:rPr>
                <w:sz w:val="20"/>
                <w:szCs w:val="20"/>
                <w:color w:val="auto"/>
              </w:rPr>
            </w:pPr>
            <w:r>
              <w:rPr>
                <w:rFonts w:ascii="Arial" w:cs="Arial" w:eastAsia="Arial" w:hAnsi="Arial"/>
                <w:sz w:val="14"/>
                <w:szCs w:val="14"/>
                <w:b w:val="1"/>
                <w:bCs w:val="1"/>
                <w:color w:val="auto"/>
              </w:rPr>
              <w:t>(In millions, except share and per share data)</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506"/>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119,773,106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w w:val="98"/>
              </w:rPr>
              <w:t>119,773,106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119,773,106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119,773,106</w:t>
            </w: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4"/>
                <w:szCs w:val="24"/>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-908685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-565150</wp:posOffset>
            </wp:positionV>
            <wp:extent cx="724662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320" w:space="720"/>
            <w:col w:w="63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w:t>
      </w:r>
    </w:p>
    <w:p>
      <w:pPr>
        <w:sectPr>
          <w:pgSz w:w="11900" w:h="16838" w:orient="portrait"/>
          <w:cols w:equalWidth="0" w:num="1">
            <w:col w:w="11420"/>
          </w:cols>
          <w:pgMar w:left="240" w:top="234" w:right="239" w:bottom="1440" w:gutter="0" w:footer="0" w:header="0"/>
          <w:type w:val="continuous"/>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34" w:right="2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or resolving through settlement numerous claims over an extended period of time, demonstrates to management that the monetary relief which may be specified in a lawsuit or claim bears little relevance to its merits or disposition value.</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2017.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At June 30, 2017, the Company estimates the aggregate range of reasonably possible losses in excess of amounts accrued for these matters to be $0 to $10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Hartshorne v. NELICO, et al. (Los Angeles County Superior Court, filed March 25, 2015)</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Plaintiffs have named NELICO in twelve related lawsuits in California state court alleging various causes of action including multiple negligence and statutory claims relating to the Diversified Lending Group Ponzi scheme. In August of 2016, a trial of claims by plaintiff Christine Ramirez resulted in a verdict against MetLife, Inc., MetLife Securities, and NELICO for approximately $200 thousand in compensatory damages and $15 million in punitive damages. On November 30, 2016, Ramirez consented to the court’s reduction of punitive damages to approximately $7 million. The judgment against NELICO is approximately $2.7 million. The defendants have filed a notice appealing this judgment to the Second Appellate District of the State of California. On May 2, 2017, the court awarded plaintiff approximately $6.5 million in attorneys’ fees and costs. The defendants have appealed this decision.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mutual funds or other products. The Company continues to defend vigorously against the claims in these matters. The Company believes adequate provision has been made in its combined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combined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34"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combined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$168 million and $348 million at June 30, 2017 and December 31,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$1.3 billion at both June 30, 2017 and December 31,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Commitments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has entered into collateral arrangements with affiliates which require the transfer of collateral in connection with secured demand notes. At June 30, 2017, these arrangements had expired and the Company is no longer transferring collateral to custody accounts. At December 31, 2016, the Company had agreed to fund up to $20 million of cash upon the request by these affiliates and had transferred collateral consisting of various securities with a fair market value of $25 million, to custody accounts to secure the demand notes. Each of these affiliates is permitted by contract to sell or re-pledge this collateral.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$218 million, with a cumulative maximum of $223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recorded liabilities were $2 million at both June 30, 2017 and December 31, 2016, for indemnities, guarantees and commitments.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not historically operated as a standalone business and has various existing relationships with MetLife for services necessary to conduct its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Non-Broker-Dealer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income and expense from transactions with MetLife (excluding broker-dealer transactions) for the periods indicated:</w:t>
      </w: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225"/>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r>
      <w:tr>
        <w:trPr>
          <w:trHeight w:val="250"/>
        </w:trPr>
        <w:tc>
          <w:tcPr>
            <w:tcW w:w="5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Income</w:t>
            </w: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Expense</w:t>
            </w:r>
          </w:p>
        </w:tc>
        <w:tc>
          <w:tcPr>
            <w:tcW w:w="960" w:type="dxa"/>
            <w:vAlign w:val="bottom"/>
            <w:tcBorders>
              <w:bottom w:val="single" w:sz="8" w:color="auto"/>
            </w:tcBorders>
          </w:tcPr>
          <w:p>
            <w:pPr>
              <w:spacing w:after="0"/>
              <w:rPr>
                <w:sz w:val="21"/>
                <w:szCs w:val="21"/>
                <w:color w:val="auto"/>
              </w:rPr>
            </w:pPr>
          </w:p>
        </w:tc>
      </w:tr>
      <w:tr>
        <w:trPr>
          <w:trHeight w:val="250"/>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center"/>
              <w:ind w:left="506"/>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MetLife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80</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r>
      <w:tr>
        <w:trPr>
          <w:trHeight w:val="561"/>
        </w:trPr>
        <w:tc>
          <w:tcPr>
            <w:tcW w:w="5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right="245"/>
              <w:spacing w:after="0"/>
              <w:rPr>
                <w:sz w:val="20"/>
                <w:szCs w:val="20"/>
                <w:color w:val="auto"/>
              </w:rPr>
            </w:pPr>
            <w:r>
              <w:rPr>
                <w:rFonts w:ascii="Arial" w:cs="Arial" w:eastAsia="Arial" w:hAnsi="Arial"/>
                <w:sz w:val="14"/>
                <w:szCs w:val="14"/>
                <w:b w:val="1"/>
                <w:bCs w:val="1"/>
                <w:color w:val="auto"/>
                <w:w w:val="92"/>
              </w:rPr>
              <w:t>Six Months Ended June 30,</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5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r>
      <w:tr>
        <w:trPr>
          <w:trHeight w:val="250"/>
        </w:trPr>
        <w:tc>
          <w:tcPr>
            <w:tcW w:w="5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Income</w:t>
            </w: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Expense</w:t>
            </w:r>
          </w:p>
        </w:tc>
        <w:tc>
          <w:tcPr>
            <w:tcW w:w="960" w:type="dxa"/>
            <w:vAlign w:val="bottom"/>
            <w:tcBorders>
              <w:bottom w:val="single" w:sz="8" w:color="auto"/>
            </w:tcBorders>
          </w:tcPr>
          <w:p>
            <w:pPr>
              <w:spacing w:after="0"/>
              <w:rPr>
                <w:sz w:val="21"/>
                <w:szCs w:val="21"/>
                <w:color w:val="auto"/>
              </w:rPr>
            </w:pPr>
          </w:p>
        </w:tc>
      </w:tr>
      <w:tr>
        <w:trPr>
          <w:trHeight w:val="250"/>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center"/>
              <w:ind w:left="506"/>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MetLife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(400)</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180</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w:t>
            </w:r>
          </w:p>
        </w:tc>
      </w:tr>
      <w:tr>
        <w:trPr>
          <w:trHeight w:val="33"/>
        </w:trPr>
        <w:tc>
          <w:tcPr>
            <w:tcW w:w="5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MetLife (excluding broker-dealer transactions) at:</w:t>
      </w: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5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MetLife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2,979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4,805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7,763</w:t>
            </w:r>
          </w:p>
        </w:tc>
      </w:tr>
      <w:tr>
        <w:trPr>
          <w:trHeight w:val="33"/>
        </w:trPr>
        <w:tc>
          <w:tcPr>
            <w:tcW w:w="5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affiliated companies. The Company participates in reinsurance activities in order to limit losses, minimize exposure to significant risks and provide additional capacity for future growth.</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has reinsurance agreements with certain MetLife, Inc. subsidiaries, including MLIC, General American Life Insurance Company, MetLife Europe d.a.c., MetLife Reinsurance of Vermont, Delaware American Life Insurance Company and American Life Insurance Company, all of which were related parties as of June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34" w:right="239" w:bottom="1440" w:gutter="0" w:footer="0" w:header="0"/>
        </w:sectPr>
      </w:pPr>
    </w:p>
    <w:bookmarkStart w:id="70" w:name="page71"/>
    <w:bookmarkEnd w:id="7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regarding the significant effects of affiliated reinsurance included on the interim condensed combined statements of operations and comprehensive income (loss)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6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gridSpan w:val="3"/>
            <w:vMerge w:val="restart"/>
          </w:tcPr>
          <w:p>
            <w:pPr>
              <w:jc w:val="right"/>
              <w:ind w:right="139"/>
              <w:spacing w:after="0"/>
              <w:rPr>
                <w:sz w:val="20"/>
                <w:szCs w:val="20"/>
                <w:color w:val="auto"/>
              </w:rPr>
            </w:pPr>
            <w:r>
              <w:rPr>
                <w:rFonts w:ascii="Arial" w:cs="Arial" w:eastAsia="Arial" w:hAnsi="Arial"/>
                <w:sz w:val="16"/>
                <w:szCs w:val="16"/>
                <w:b w:val="1"/>
                <w:bCs w:val="1"/>
                <w:color w:val="auto"/>
              </w:rPr>
              <w:t>Ended</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(136)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Interest credited to policyholder account balances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interest credited to policyholder account balances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Amortization of deferred policy acquisition costs and value of business acquired</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0"/>
        </w:trPr>
        <w:tc>
          <w:tcPr>
            <w:tcW w:w="6520" w:type="dxa"/>
            <w:vAlign w:val="bottom"/>
          </w:tcPr>
          <w:p>
            <w:pPr>
              <w:ind w:left="200"/>
              <w:spacing w:after="0"/>
              <w:rPr>
                <w:sz w:val="20"/>
                <w:szCs w:val="20"/>
                <w:color w:val="auto"/>
              </w:rPr>
            </w:pPr>
            <w:r>
              <w:rPr>
                <w:rFonts w:ascii="Arial" w:cs="Arial" w:eastAsia="Arial" w:hAnsi="Arial"/>
                <w:sz w:val="16"/>
                <w:szCs w:val="16"/>
                <w:color w:val="auto"/>
              </w:rPr>
              <w:t>Net amortization of deferred policy acquisition costs and value of</w:t>
            </w: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tcPr>
          <w:p>
            <w:pPr>
              <w:ind w:left="200"/>
              <w:spacing w:after="0"/>
              <w:rPr>
                <w:sz w:val="20"/>
                <w:szCs w:val="20"/>
                <w:color w:val="auto"/>
              </w:rPr>
            </w:pPr>
            <w:r>
              <w:rPr>
                <w:rFonts w:ascii="Arial" w:cs="Arial" w:eastAsia="Arial" w:hAnsi="Arial"/>
                <w:sz w:val="16"/>
                <w:szCs w:val="16"/>
                <w:color w:val="auto"/>
              </w:rPr>
              <w:t>business acquired</w:t>
            </w:r>
          </w:p>
        </w:tc>
        <w:tc>
          <w:tcPr>
            <w:tcW w:w="740" w:type="dxa"/>
            <w:vAlign w:val="bottom"/>
            <w:vMerge w:val="restart"/>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vMerge w:val="restart"/>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5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expenses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Net other expenses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34" w:right="239" w:bottom="1440" w:gutter="0" w:footer="0" w:header="0"/>
        </w:sectPr>
      </w:pPr>
    </w:p>
    <w:bookmarkStart w:id="71" w:name="page72"/>
    <w:bookmarkEnd w:id="7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regarding the significant effects of affiliated reinsurance included on the interim condensed combined balance sheets was as follows at: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Assumed</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Ceded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Assumed</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Ceded</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3,312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4,020</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policy acquisition costs and value of business acquired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3,614</w:t>
            </w:r>
          </w:p>
        </w:tc>
      </w:tr>
      <w:tr>
        <w:trPr>
          <w:trHeight w:val="73"/>
        </w:trPr>
        <w:tc>
          <w:tcPr>
            <w:tcW w:w="56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policy-related balances</w:t>
            </w:r>
          </w:p>
        </w:tc>
        <w:tc>
          <w:tcPr>
            <w:tcW w:w="2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715</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assumes risks from affiliates related to guaranteed minimum benefit guarantees written directly by the affiliates. These assumed reinsurance agreements contain embedded derivatives and changes in their estimated fair value are also included within net derivative gains (losses). The embedded derivatives associated with these agreements are included within policyholder account balances and were $0 and $460 million at June 30, 2017 and December 31, 2016, respectively. Net derivative gains (losses) associated with the embedded derivatives were $113 million and $110 million for the three months and six months ended June 30, 2017, respectively, and ($127) million and ($199) million for the three months and six months ended June 30, 2016, respectively.</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cedes risks to an affiliate related to guaranteed minimum benefit guarantees written directly by the Company. These ceded reinsurance agreements contain embedded derivatives and changes in their estimated fair value are also included within net derivative gains (losses). The embedded derivatives associated with these cessions are included within premiums, reinsurance and other receivables and were $3 million and $390 million at June 30, 2017 and December 31, 2016, respectively. Net derivative gains (losses) associated with the embedded derivatives were $0 and ($263) million for the three months and six months ended June 30, 2017, respectively, and $155 million and $264 million for the three months and six months ended June 30, 2016, respectively.</w:t>
      </w:r>
    </w:p>
    <w:p>
      <w:pPr>
        <w:spacing w:after="0" w:line="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2017, the Company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reinsurance termination.</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MLIC recaptured risks related to guaranteed minimum benefit guarantees on certain variable annuities being reinsured by the Company. This recapture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$91 million and $89 million, net of income tax, three months and six months ended, as a result of this transaction.</w:t>
      </w:r>
    </w:p>
    <w:p>
      <w:pPr>
        <w:spacing w:after="0" w:line="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Company executed a novation and assignment of a reinsurance agreement under which MLIC reinsured certain variable annuities, including guaranteed minimum benefits, issued by Brighthouse NY and NELICO. As a result of the novation and assignment, the reinsurance agreement is now between Brighthouse Insurance and Brighthouse NY and NELICO. The transaction is treated as a termination of the existing reinsurance agreement with recognition of a loss and a new reinsurance agreement with no recognition of a gain or loss. The transaction resulted in an increase in other liabilities of $274 million. The Company recognized a loss of $178 million, net of income tax, as a result of this transaction.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34" w:right="239" w:bottom="1440" w:gutter="0" w:footer="0" w:header="0"/>
        </w:sectPr>
      </w:pPr>
    </w:p>
    <w:bookmarkStart w:id="72" w:name="page73"/>
    <w:bookmarkEnd w:id="7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and Capital Support Arrangements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financing arrangements with MetLife that are used to support reinsurance obligations arising under affiliated reinsurance agreements. The Company recognized interest expense for affiliated debt of $24 million and $55 million for the three months and six months ended June 30, 2017, respectively, and $31 million and $62 million for the three months and six months ended June 30, 2016, respectively. See Note 7 for subsequent information regarding the termination of these arrangements.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MetLife provides various capital support commitments and guarantees to the Brighthouse Financial, Inc. combined entities. Under this arrangement, MetLife has had a net worth maintenance agreement with the Company, pursuant to which MetLife agreed to cause the Company to meet specified capital and surplus levels and has guaranteed liquidity necessary to enable it to meet its current obligations on a timely basis. In connection with the Separation, this net worth maintenance agreement was terminated on August 4, 2017.</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extended loans to certain subsidiaries of MetLife, Inc. Additionally, in the ordinary course of business, the Company transfers invested assets, primarily consisting of fixed maturity securities, to and from MetLife affiliates. See Note 4 for further discussion of the related party investment transactions.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MetLife provides the Company certain services, which include, but are not limited to, executive oversight, treasury, finance, legal, human resources, tax planning, internal audit, financial reporting, information technology, distribution services and investor relations. The Company is charged for these services based on direct and indirect costs. When specific identification is not practicable, an allocation methodology is used, primarily based on sales, in-force liabilities, or headcount. For certain agreements, charges are based on various performance measures or activity-based costing, such as sales, new policies/contracts issued, reserves, and in-force policy counts.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Expenses incurred with MetLife related to these arrangements, recorded in other expenses, were $98 million and $195 million for the three months and six months ended June 30, 2017, respectively, and $249 million and $496 million for the three months and six months ended June 30, 2016, respectively.</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Stock-Based Compensation Plans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Separation, the Company’s employees participated in MetLife, Inc. stock-based compensation plans, the costs of which were allocated to the Company and recorded in the combined statements of operations. The Separation constituted the end of the Company’s employees’ employment with MetLife and the Company’s affiliates, and their MetLife stock compensation awards were retained or forfeited according to their terms. In accordance with the requirements of the MetLife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participation in MetLife, Inc.’s stock compensation plans ceased December 31, 2016, in that MetLife, Inc. did not grant Company employees new MetLife, Inc. stock-based long-term incentive awards as part of its 2017 process of determining total compensation for 2016 performance and in expectation of contributions to future performance, to the extent that Company employees had been identified prior to MetLife, Inc. completing that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Transactions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accrues related party revenues and expenses arising from transactions with affiliated broker-dealers whereby such affiliated broker-dealers sell the Company’s variable annuity and life products. The affiliated expense for the Company is commissions collected on the sale of variable products by the Company and passed through to the broker-dealer. The affiliated revenue for the Company is fee income from trusts and mutual funds whose shares serve as investment options of policyholders of the Company. Beginning in March 2017, Brighthouse Securities, LLC, a registered broker-dealer affiliate, began distributing certain of the Company’s existing and future variable insurance products, and the MetLife brokers-dealers discontinued such distributions.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34" w:right="239" w:bottom="1440" w:gutter="0" w:footer="0" w:header="0"/>
        </w:sectPr>
      </w:pPr>
    </w:p>
    <w:bookmarkStart w:id="73" w:name="page74"/>
    <w:bookmarkEnd w:id="7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the Interim Condensed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related broker-dealers for the periods indicated:</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4"/>
                <w:szCs w:val="14"/>
                <w:b w:val="1"/>
                <w:bCs w:val="1"/>
                <w:color w:val="auto"/>
                <w:w w:val="93"/>
              </w:rPr>
              <w:t>Three Months Ended June 30,</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Fee Income</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Commission Expense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gridSpan w:val="3"/>
          </w:tcPr>
          <w:p>
            <w:pPr>
              <w:jc w:val="center"/>
              <w:ind w:left="506"/>
              <w:spacing w:after="0"/>
              <w:rPr>
                <w:sz w:val="20"/>
                <w:szCs w:val="20"/>
                <w:color w:val="auto"/>
              </w:rPr>
            </w:pPr>
            <w:r>
              <w:rPr>
                <w:rFonts w:ascii="Arial" w:cs="Arial" w:eastAsia="Arial" w:hAnsi="Arial"/>
                <w:sz w:val="14"/>
                <w:szCs w:val="14"/>
                <w:b w:val="1"/>
                <w:bCs w:val="1"/>
                <w:color w:val="auto"/>
                <w:w w:val="96"/>
              </w:rPr>
              <w:t>(In millions)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Affiliated broker-dealers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59</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194</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156</w:t>
            </w:r>
          </w:p>
        </w:tc>
      </w:tr>
      <w:tr>
        <w:trPr>
          <w:trHeight w:val="561"/>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4"/>
                <w:szCs w:val="14"/>
                <w:b w:val="1"/>
                <w:bCs w:val="1"/>
                <w:color w:val="auto"/>
                <w:w w:val="92"/>
              </w:rPr>
              <w:t>Six Months Ended June 30,</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Fee Income</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Commission Expense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gridSpan w:val="3"/>
          </w:tcPr>
          <w:p>
            <w:pPr>
              <w:jc w:val="center"/>
              <w:ind w:left="506"/>
              <w:spacing w:after="0"/>
              <w:rPr>
                <w:sz w:val="20"/>
                <w:szCs w:val="20"/>
                <w:color w:val="auto"/>
              </w:rPr>
            </w:pPr>
            <w:r>
              <w:rPr>
                <w:rFonts w:ascii="Arial" w:cs="Arial" w:eastAsia="Arial" w:hAnsi="Arial"/>
                <w:sz w:val="14"/>
                <w:szCs w:val="14"/>
                <w:b w:val="1"/>
                <w:bCs w:val="1"/>
                <w:color w:val="auto"/>
                <w:w w:val="96"/>
              </w:rPr>
              <w:t>(In millions)</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Affiliated broker-dealers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117</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323</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320</w:t>
            </w:r>
          </w:p>
        </w:tc>
      </w:tr>
      <w:tr>
        <w:trPr>
          <w:trHeight w:val="33"/>
        </w:trPr>
        <w:tc>
          <w:tcPr>
            <w:tcW w:w="5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affiliated broker-dealers as follows:</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2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500" w:type="dxa"/>
            <w:vAlign w:val="bottom"/>
          </w:tcPr>
          <w:p>
            <w:pPr>
              <w:spacing w:after="0"/>
              <w:rPr>
                <w:sz w:val="13"/>
                <w:szCs w:val="13"/>
                <w:color w:val="auto"/>
              </w:rPr>
            </w:pPr>
          </w:p>
        </w:tc>
        <w:tc>
          <w:tcPr>
            <w:tcW w:w="10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w w:val="93"/>
              </w:rPr>
              <w:t>Fee Income</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center"/>
              <w:ind w:right="540"/>
              <w:spacing w:after="0" w:line="153" w:lineRule="exact"/>
              <w:rPr>
                <w:sz w:val="20"/>
                <w:szCs w:val="20"/>
                <w:color w:val="auto"/>
              </w:rPr>
            </w:pPr>
            <w:r>
              <w:rPr>
                <w:rFonts w:ascii="Arial" w:cs="Arial" w:eastAsia="Arial" w:hAnsi="Arial"/>
                <w:sz w:val="14"/>
                <w:szCs w:val="14"/>
                <w:b w:val="1"/>
                <w:bCs w:val="1"/>
                <w:color w:val="auto"/>
                <w:w w:val="92"/>
              </w:rPr>
              <w:t>Secured Demand</w:t>
            </w:r>
          </w:p>
        </w:tc>
        <w:tc>
          <w:tcPr>
            <w:tcW w:w="1040" w:type="dxa"/>
            <w:vAlign w:val="bottom"/>
          </w:tcPr>
          <w:p>
            <w:pPr>
              <w:spacing w:after="0" w:line="153" w:lineRule="exact"/>
              <w:rPr>
                <w:sz w:val="20"/>
                <w:szCs w:val="20"/>
                <w:color w:val="auto"/>
              </w:rPr>
            </w:pPr>
            <w:r>
              <w:rPr>
                <w:rFonts w:ascii="Arial" w:cs="Arial" w:eastAsia="Arial" w:hAnsi="Arial"/>
                <w:sz w:val="14"/>
                <w:szCs w:val="14"/>
                <w:b w:val="1"/>
                <w:bCs w:val="1"/>
                <w:color w:val="auto"/>
              </w:rPr>
              <w:t>Fee Income</w:t>
            </w:r>
          </w:p>
        </w:tc>
        <w:tc>
          <w:tcPr>
            <w:tcW w:w="220" w:type="dxa"/>
            <w:vAlign w:val="bottom"/>
          </w:tcPr>
          <w:p>
            <w:pPr>
              <w:spacing w:after="0"/>
              <w:rPr>
                <w:sz w:val="13"/>
                <w:szCs w:val="13"/>
                <w:color w:val="auto"/>
              </w:rPr>
            </w:pPr>
          </w:p>
        </w:tc>
        <w:tc>
          <w:tcPr>
            <w:tcW w:w="120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2"/>
              </w:rPr>
              <w:t>Secured Demand</w:t>
            </w:r>
          </w:p>
        </w:tc>
      </w:tr>
      <w:tr>
        <w:trPr>
          <w:trHeight w:val="192"/>
        </w:trPr>
        <w:tc>
          <w:tcPr>
            <w:tcW w:w="5500" w:type="dxa"/>
            <w:vAlign w:val="bottom"/>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88"/>
              </w:rPr>
              <w:t>Receivables</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7"/>
              </w:rPr>
              <w:t>Notes</w:t>
            </w: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Receivables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7"/>
              </w:rPr>
              <w:t>Notes</w:t>
            </w:r>
          </w:p>
        </w:tc>
      </w:tr>
      <w:tr>
        <w:trPr>
          <w:trHeight w:val="250"/>
        </w:trPr>
        <w:tc>
          <w:tcPr>
            <w:tcW w:w="5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Affiliated broker-dealers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20</w:t>
            </w:r>
          </w:p>
        </w:tc>
      </w:tr>
      <w:tr>
        <w:trPr>
          <w:trHeight w:val="33"/>
        </w:trPr>
        <w:tc>
          <w:tcPr>
            <w:tcW w:w="5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Term Loan Facility</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On July 21, 2017, concurrently with entering into a new term loan facility described below, Brighthouse Financial, Inc. terminated the 2016 Term Loan Facility, without penalty. Brighthouse Financial, Inc. will expense $7 million of capitalized costs related to the termination in the third quarter of 2017.</w:t>
      </w:r>
    </w:p>
    <w:p>
      <w:pPr>
        <w:spacing w:after="0" w:line="16"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On July 21, 2017, Brighthouse Financial, Inc. entered into a new term loan agreement (the “2017 Term Loan Agreement”) with respect to a new $600 million unsecured delayed draw term loan facility (the “2017 Term Loan Facility”). The 2017 Term Loan Facility provides for borrowings up to a maximum of $600 million which may be used for general corporate purposes, including in connection with the Separation, of which $500 million was available prior to the Separation. On August 2, 2017, Brighthouse Financial, Inc. borrowed $500 million under the 2017 Term Loan Facility in connection with the Separation. On August 14, 2017, Brighthouse Financial, Inc. borrowed the remaining $100 million available under the 2017 Term Loan Facility.</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The Separation</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August 4, 2017, Brighthouse Financial, Inc. entered into the Master Separation Agreement with MetLife and MetLife, Inc. completed the Separation through a distribution of 80.8% of MetLife, Inc.’s interest in Brighthouse Financial, Inc., to holders of MetLife, Inc.’s common stock and retained the remaining 19.2%. As a result, Brighthouse Financial, Inc., is now an independent, publicly traded company on the Nasdaq Stock Market under the symbol “BHF.”</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Contribution of Brighthouse Holdings, LLC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July 28, 2017, MetLife, Inc. contributed to Brighthouse Financial, Inc. all of the common interests in Brighthouse Holdings, LLC in exchange for</w:t>
      </w:r>
    </w:p>
    <w:p>
      <w:pPr>
        <w:spacing w:after="0" w:line="46" w:lineRule="exact"/>
        <w:rPr>
          <w:sz w:val="20"/>
          <w:szCs w:val="20"/>
          <w:color w:val="auto"/>
        </w:rPr>
      </w:pPr>
    </w:p>
    <w:p>
      <w:pPr>
        <w:jc w:val="both"/>
        <w:ind w:left="180" w:hanging="10"/>
        <w:spacing w:after="0" w:line="252"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assumption by Brighthouse Financial, Inc. of certain liabilities of MetLife, Inc. including, among other things, liabilities relating to the operation of Brighthouse’s business (including from periods prior to the separation) and certain liabilities related to Brighthouse’s employees, liabilities relating to Brighthouse’s assets and outstanding contractual and non-contractual relationships with customers, vendors and others (including obligations under leases for Brighthouse’s corporate headquarters in Charlotte, North Carolina as well as certain other locations), and liabilities relating to certain historical operations of MetLife; (ii) a cash distribution; (iii)the issuance of additional shares of Brighthouse Financial, Inc. common stock; and (iv) the entry into certain other agreements between MetLife, Inc. and Brighthouse Financial,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34" w:right="239" w:bottom="1440" w:gutter="0" w:footer="0" w:header="0"/>
        </w:sectPr>
      </w:pPr>
    </w:p>
    <w:bookmarkStart w:id="74" w:name="page75"/>
    <w:bookmarkEnd w:id="7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22"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Notes to the Interim Condensed Combined Financial Statements (Unaudited) — (Continued)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Distribution</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August 3, 2017 Brighthouse Financial, Inc. made a cash distribution in an aggregate amount of $1.8 billion to MetLife, Inc., the sole holder of Brighthouse Financial, Inc. common stock as of the record date for the distribution.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The Distribution</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On August 4, 2017, Brighthouse Financial, Inc. issued an additional 119,673,106 shares of common stock to MetLife, Inc. Also on August 4, 2017, MetLife, Inc. distributed 96,776,670 of its 119,773,106 shares of Brighthouse Financial, Inc. common stock, representing 80.8% of MetLife Inc.’s interest in Brighthouse Financial, Inc., to holders of MetLife, Inc. common stock. MetLife, Inc. retained the remaining 22,996,436 shares, representing 19.2% of Brighthouse Financial, Inc.’s common stock. See Note 10 for information on pro forma earnings per share for Brighthouse Financial, Inc.</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Matters Agreement</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On August 4, 2017, an employee matters agreement between Brighthouse Financial, Inc. and MetLife, Inc. became effective. Under this agreement, MetLife, Inc. has agreed to reimburse Brighthouse Financial, Inc. on an annual basis for any and all payments of benefits made by any legal entity owned by Brighthouse Financial, Inc. related to certain NELICO employee benefit plan liabilities.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Tax Impacts Recognized at Separation</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On July 27, 2017, a Tax Separation Agreement (the “TSA”) was entered into between MetLife, Inc. and Brighthouse Financial, Inc., on behalf of itself and each its subsidiaries and affiliates (the “Brighthouse Group”). As of the Distribution date, the existing tax sharing agreement, dated as of June 24, 1986 that was in effect for the U.S. federal income tax consolidated group of which MetLife, Inc. is the parent, was terminated with respect to the Brighthouse Group. The TSA sets forth the agreement on the rights and obligations of MetLife, Inc. and Brighthouse Financial, Inc. and their respective affiliates regarding the responsibility, handling and allocation of federal, state, local, and non-U.S. taxes, and various other tax matters. See Note 1 of the Notes to the Combined Financial Statements included in the Form 10 for information regarding the former tax sharing agreement.</w:t>
      </w:r>
    </w:p>
    <w:p>
      <w:pPr>
        <w:spacing w:after="0" w:line="70"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Brighthouse Life Insurance Company recognized a $553 million payable to MetLife, Inc. offset with a decrease to shareholder’s net investment related to a tax receivable agreement, which represents 86% of a $643 million deferred tax asset recorded in the second quarter of 2017.</w:t>
      </w:r>
    </w:p>
    <w:p>
      <w:pPr>
        <w:spacing w:after="0" w:line="38"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following table presents the pro forma impacts to certain amounts reported in the interim condensed combined balance sheet, had the transactions associated with the Separation described above been completed as of June 30,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As Reported</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Pro Forma</w:t>
            </w:r>
          </w:p>
        </w:tc>
      </w:tr>
      <w:tr>
        <w:trPr>
          <w:trHeight w:val="250"/>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4,443</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3"/>
              <w:spacing w:after="0"/>
              <w:rPr>
                <w:sz w:val="20"/>
                <w:szCs w:val="20"/>
                <w:color w:val="auto"/>
              </w:rPr>
            </w:pPr>
            <w:r>
              <w:rPr>
                <w:rFonts w:ascii="Arial" w:cs="Arial" w:eastAsia="Arial" w:hAnsi="Arial"/>
                <w:sz w:val="16"/>
                <w:szCs w:val="16"/>
                <w:color w:val="auto"/>
              </w:rPr>
              <w:t>3,016</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3,616</w:t>
            </w: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net investment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14,521</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12,168</w:t>
            </w:r>
          </w:p>
        </w:tc>
      </w:tr>
      <w:tr>
        <w:trPr>
          <w:trHeight w:val="33"/>
        </w:trPr>
        <w:tc>
          <w:tcPr>
            <w:tcW w:w="7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gridSpan w:val="3"/>
          </w:tcPr>
          <w:p>
            <w:pPr>
              <w:spacing w:after="0" w:line="170" w:lineRule="exact"/>
              <w:rPr>
                <w:rFonts w:ascii="Arial" w:cs="Arial" w:eastAsia="Arial" w:hAnsi="Arial"/>
                <w:sz w:val="18"/>
                <w:szCs w:val="18"/>
                <w:color w:val="0000EE"/>
              </w:rPr>
            </w:pPr>
            <w:hyperlink w:anchor="page77">
              <w:r>
                <w:rPr>
                  <w:rFonts w:ascii="Arial" w:cs="Arial" w:eastAsia="Arial" w:hAnsi="Arial"/>
                  <w:sz w:val="18"/>
                  <w:szCs w:val="18"/>
                  <w:color w:val="0000EE"/>
                </w:rPr>
                <w:t>Introduction</w:t>
              </w:r>
            </w:hyperlink>
          </w:p>
        </w:tc>
        <w:tc>
          <w:tcPr>
            <w:tcW w:w="9340" w:type="dxa"/>
            <w:vAlign w:val="bottom"/>
            <w:gridSpan w:val="10"/>
          </w:tcPr>
          <w:p>
            <w:pPr>
              <w:spacing w:after="0"/>
              <w:rPr>
                <w:sz w:val="16"/>
                <w:szCs w:val="16"/>
                <w:color w:val="auto"/>
              </w:rPr>
            </w:pPr>
          </w:p>
        </w:tc>
        <w:tc>
          <w:tcPr>
            <w:tcW w:w="540" w:type="dxa"/>
            <w:vAlign w:val="bottom"/>
            <w:gridSpan w:val="2"/>
          </w:tcPr>
          <w:p>
            <w:pPr>
              <w:jc w:val="center"/>
              <w:ind w:left="271"/>
              <w:spacing w:after="0" w:line="170"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7"/>
        </w:trPr>
        <w:tc>
          <w:tcPr>
            <w:tcW w:w="82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1460" w:type="dxa"/>
            <w:vAlign w:val="bottom"/>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Executive Summary</w:t>
              </w:r>
            </w:hyperlink>
          </w:p>
        </w:tc>
        <w:tc>
          <w:tcPr>
            <w:tcW w:w="9020" w:type="dxa"/>
            <w:vAlign w:val="bottom"/>
            <w:gridSpan w:val="9"/>
          </w:tcPr>
          <w:p>
            <w:pPr>
              <w:spacing w:after="0"/>
              <w:rPr>
                <w:sz w:val="22"/>
                <w:szCs w:val="22"/>
                <w:color w:val="auto"/>
              </w:rPr>
            </w:pPr>
          </w:p>
        </w:tc>
        <w:tc>
          <w:tcPr>
            <w:tcW w:w="540" w:type="dxa"/>
            <w:vAlign w:val="bottom"/>
            <w:gridSpan w:val="2"/>
          </w:tcPr>
          <w:p>
            <w:pPr>
              <w:jc w:val="center"/>
              <w:ind w:left="271"/>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Industry Trends</w:t>
              </w:r>
            </w:hyperlink>
          </w:p>
        </w:tc>
        <w:tc>
          <w:tcPr>
            <w:tcW w:w="320" w:type="dxa"/>
            <w:vAlign w:val="bottom"/>
          </w:tcPr>
          <w:p>
            <w:pPr>
              <w:spacing w:after="0"/>
              <w:rPr>
                <w:sz w:val="21"/>
                <w:szCs w:val="21"/>
                <w:color w:val="auto"/>
              </w:rPr>
            </w:pPr>
          </w:p>
        </w:tc>
        <w:tc>
          <w:tcPr>
            <w:tcW w:w="9020" w:type="dxa"/>
            <w:vAlign w:val="bottom"/>
            <w:gridSpan w:val="9"/>
          </w:tcPr>
          <w:p>
            <w:pPr>
              <w:spacing w:after="0"/>
              <w:rPr>
                <w:sz w:val="21"/>
                <w:szCs w:val="21"/>
                <w:color w:val="auto"/>
              </w:rPr>
            </w:pPr>
          </w:p>
        </w:tc>
        <w:tc>
          <w:tcPr>
            <w:tcW w:w="540" w:type="dxa"/>
            <w:vAlign w:val="bottom"/>
            <w:gridSpan w:val="2"/>
          </w:tcPr>
          <w:p>
            <w:pPr>
              <w:jc w:val="center"/>
              <w:ind w:left="271"/>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0480" w:type="dxa"/>
            <w:vAlign w:val="bottom"/>
            <w:gridSpan w:val="1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Summary of Critical Accounting Estimates</w:t>
              </w:r>
            </w:hyperlink>
          </w:p>
        </w:tc>
        <w:tc>
          <w:tcPr>
            <w:tcW w:w="540" w:type="dxa"/>
            <w:vAlign w:val="bottom"/>
            <w:gridSpan w:val="2"/>
          </w:tcPr>
          <w:p>
            <w:pPr>
              <w:jc w:val="center"/>
              <w:ind w:left="271"/>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9"/>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Non-GAAP and Other Financial Disclosures</w:t>
              </w:r>
            </w:hyperlink>
          </w:p>
        </w:tc>
        <w:tc>
          <w:tcPr>
            <w:tcW w:w="7260" w:type="dxa"/>
            <w:vAlign w:val="bottom"/>
            <w:gridSpan w:val="4"/>
          </w:tcPr>
          <w:p>
            <w:pPr>
              <w:spacing w:after="0"/>
              <w:rPr>
                <w:sz w:val="21"/>
                <w:szCs w:val="21"/>
                <w:color w:val="auto"/>
              </w:rPr>
            </w:pPr>
          </w:p>
        </w:tc>
        <w:tc>
          <w:tcPr>
            <w:tcW w:w="540" w:type="dxa"/>
            <w:vAlign w:val="bottom"/>
            <w:gridSpan w:val="2"/>
          </w:tcPr>
          <w:p>
            <w:pPr>
              <w:jc w:val="center"/>
              <w:ind w:left="271"/>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5"/>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Results of Operations</w:t>
              </w:r>
            </w:hyperlink>
          </w:p>
        </w:tc>
        <w:tc>
          <w:tcPr>
            <w:tcW w:w="1660" w:type="dxa"/>
            <w:vAlign w:val="bottom"/>
            <w:gridSpan w:val="4"/>
          </w:tcPr>
          <w:p>
            <w:pPr>
              <w:spacing w:after="0"/>
              <w:rPr>
                <w:sz w:val="21"/>
                <w:szCs w:val="21"/>
                <w:color w:val="auto"/>
              </w:rPr>
            </w:pPr>
          </w:p>
        </w:tc>
        <w:tc>
          <w:tcPr>
            <w:tcW w:w="7260" w:type="dxa"/>
            <w:vAlign w:val="bottom"/>
            <w:gridSpan w:val="4"/>
          </w:tcPr>
          <w:p>
            <w:pPr>
              <w:spacing w:after="0"/>
              <w:rPr>
                <w:sz w:val="21"/>
                <w:szCs w:val="21"/>
                <w:color w:val="auto"/>
              </w:rPr>
            </w:pPr>
          </w:p>
        </w:tc>
        <w:tc>
          <w:tcPr>
            <w:tcW w:w="540" w:type="dxa"/>
            <w:vAlign w:val="bottom"/>
            <w:gridSpan w:val="2"/>
          </w:tcPr>
          <w:p>
            <w:pPr>
              <w:jc w:val="center"/>
              <w:ind w:left="27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84</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Investments</w:t>
              </w:r>
            </w:hyperlink>
          </w:p>
        </w:tc>
        <w:tc>
          <w:tcPr>
            <w:tcW w:w="8920" w:type="dxa"/>
            <w:vAlign w:val="bottom"/>
            <w:gridSpan w:val="8"/>
          </w:tcPr>
          <w:p>
            <w:pPr>
              <w:spacing w:after="0"/>
              <w:rPr>
                <w:sz w:val="21"/>
                <w:szCs w:val="21"/>
                <w:color w:val="auto"/>
              </w:rPr>
            </w:pPr>
          </w:p>
        </w:tc>
        <w:tc>
          <w:tcPr>
            <w:tcW w:w="900" w:type="dxa"/>
            <w:vAlign w:val="bottom"/>
            <w:gridSpan w:val="4"/>
          </w:tcPr>
          <w:p>
            <w:pPr>
              <w:jc w:val="center"/>
              <w:spacing w:after="0"/>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Derivatives</w:t>
              </w:r>
            </w:hyperlink>
          </w:p>
        </w:tc>
        <w:tc>
          <w:tcPr>
            <w:tcW w:w="9660" w:type="dxa"/>
            <w:vAlign w:val="bottom"/>
            <w:gridSpan w:val="12"/>
          </w:tcPr>
          <w:p>
            <w:pPr>
              <w:spacing w:after="0"/>
              <w:rPr>
                <w:sz w:val="21"/>
                <w:szCs w:val="21"/>
                <w:color w:val="auto"/>
              </w:rPr>
            </w:pPr>
          </w:p>
        </w:tc>
        <w:tc>
          <w:tcPr>
            <w:tcW w:w="580" w:type="dxa"/>
            <w:vAlign w:val="bottom"/>
            <w:gridSpan w:val="3"/>
          </w:tcPr>
          <w:p>
            <w:pPr>
              <w:jc w:val="center"/>
              <w:ind w:left="231"/>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112</w:t>
              </w:r>
            </w:hyperlink>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Off Balance Sheet Arrangements</w:t>
              </w:r>
            </w:hyperlink>
          </w:p>
        </w:tc>
        <w:tc>
          <w:tcPr>
            <w:tcW w:w="8160" w:type="dxa"/>
            <w:vAlign w:val="bottom"/>
            <w:gridSpan w:val="6"/>
          </w:tcPr>
          <w:p>
            <w:pPr>
              <w:spacing w:after="0"/>
              <w:rPr>
                <w:sz w:val="21"/>
                <w:szCs w:val="21"/>
                <w:color w:val="auto"/>
              </w:rPr>
            </w:pPr>
          </w:p>
        </w:tc>
        <w:tc>
          <w:tcPr>
            <w:tcW w:w="580" w:type="dxa"/>
            <w:vAlign w:val="bottom"/>
            <w:gridSpan w:val="3"/>
          </w:tcPr>
          <w:p>
            <w:pPr>
              <w:jc w:val="center"/>
              <w:ind w:left="231"/>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320" w:type="dxa"/>
            <w:vAlign w:val="bottom"/>
          </w:tcPr>
          <w:p>
            <w:pPr>
              <w:spacing w:after="0"/>
              <w:rPr>
                <w:sz w:val="21"/>
                <w:szCs w:val="21"/>
                <w:color w:val="auto"/>
              </w:rPr>
            </w:pPr>
          </w:p>
        </w:tc>
      </w:tr>
      <w:tr>
        <w:trPr>
          <w:trHeight w:val="20"/>
        </w:trPr>
        <w:tc>
          <w:tcPr>
            <w:tcW w:w="168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Policyholder Liabilities</w:t>
              </w:r>
            </w:hyperlink>
          </w:p>
        </w:tc>
        <w:tc>
          <w:tcPr>
            <w:tcW w:w="8160" w:type="dxa"/>
            <w:vAlign w:val="bottom"/>
            <w:gridSpan w:val="6"/>
          </w:tcPr>
          <w:p>
            <w:pPr>
              <w:spacing w:after="0"/>
              <w:rPr>
                <w:sz w:val="21"/>
                <w:szCs w:val="21"/>
                <w:color w:val="auto"/>
              </w:rPr>
            </w:pPr>
          </w:p>
        </w:tc>
        <w:tc>
          <w:tcPr>
            <w:tcW w:w="580" w:type="dxa"/>
            <w:vAlign w:val="bottom"/>
            <w:gridSpan w:val="3"/>
          </w:tcPr>
          <w:p>
            <w:pPr>
              <w:jc w:val="center"/>
              <w:ind w:left="231"/>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320" w:type="dxa"/>
            <w:vAlign w:val="bottom"/>
          </w:tcPr>
          <w:p>
            <w:pPr>
              <w:spacing w:after="0"/>
              <w:rPr>
                <w:sz w:val="21"/>
                <w:szCs w:val="21"/>
                <w:color w:val="auto"/>
              </w:rPr>
            </w:pPr>
          </w:p>
        </w:tc>
      </w:tr>
      <w:tr>
        <w:trPr>
          <w:trHeight w:val="20"/>
        </w:trPr>
        <w:tc>
          <w:tcPr>
            <w:tcW w:w="168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Liquidity and Capital Resources</w:t>
              </w:r>
            </w:hyperlink>
          </w:p>
        </w:tc>
        <w:tc>
          <w:tcPr>
            <w:tcW w:w="8160" w:type="dxa"/>
            <w:vAlign w:val="bottom"/>
            <w:gridSpan w:val="6"/>
          </w:tcPr>
          <w:p>
            <w:pPr>
              <w:spacing w:after="0"/>
              <w:rPr>
                <w:sz w:val="21"/>
                <w:szCs w:val="21"/>
                <w:color w:val="auto"/>
              </w:rPr>
            </w:pPr>
          </w:p>
        </w:tc>
        <w:tc>
          <w:tcPr>
            <w:tcW w:w="580" w:type="dxa"/>
            <w:vAlign w:val="bottom"/>
            <w:gridSpan w:val="3"/>
          </w:tcPr>
          <w:p>
            <w:pPr>
              <w:jc w:val="center"/>
              <w:ind w:left="231"/>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320" w:type="dxa"/>
            <w:vAlign w:val="bottom"/>
          </w:tcPr>
          <w:p>
            <w:pPr>
              <w:spacing w:after="0"/>
              <w:rPr>
                <w:sz w:val="21"/>
                <w:szCs w:val="21"/>
                <w:color w:val="auto"/>
              </w:rPr>
            </w:pPr>
          </w:p>
        </w:tc>
      </w:tr>
      <w:tr>
        <w:trPr>
          <w:trHeight w:val="20"/>
        </w:trPr>
        <w:tc>
          <w:tcPr>
            <w:tcW w:w="2320" w:type="dxa"/>
            <w:vAlign w:val="bottom"/>
            <w:gridSpan w:val="7"/>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0480" w:type="dxa"/>
            <w:vAlign w:val="bottom"/>
            <w:gridSpan w:val="1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Adoption of New Accounting Pronouncements</w:t>
              </w:r>
            </w:hyperlink>
          </w:p>
        </w:tc>
        <w:tc>
          <w:tcPr>
            <w:tcW w:w="90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r>
      <w:tr>
        <w:trPr>
          <w:trHeight w:val="20"/>
        </w:trPr>
        <w:tc>
          <w:tcPr>
            <w:tcW w:w="3380" w:type="dxa"/>
            <w:vAlign w:val="bottom"/>
            <w:gridSpan w:val="10"/>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3900" w:type="dxa"/>
            <w:vAlign w:val="bottom"/>
            <w:gridSpan w:val="11"/>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Future Adoption of New Accounting Pronouncements</w:t>
              </w:r>
            </w:hyperlink>
          </w:p>
        </w:tc>
        <w:tc>
          <w:tcPr>
            <w:tcW w:w="6580" w:type="dxa"/>
            <w:vAlign w:val="bottom"/>
            <w:gridSpan w:val="2"/>
          </w:tcPr>
          <w:p>
            <w:pPr>
              <w:spacing w:after="0"/>
              <w:rPr>
                <w:sz w:val="21"/>
                <w:szCs w:val="21"/>
                <w:color w:val="auto"/>
              </w:rPr>
            </w:pPr>
          </w:p>
        </w:tc>
        <w:tc>
          <w:tcPr>
            <w:tcW w:w="900" w:type="dxa"/>
            <w:vAlign w:val="bottom"/>
            <w:gridSpan w:val="4"/>
          </w:tcPr>
          <w:p>
            <w:pPr>
              <w:jc w:val="center"/>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126</w:t>
              </w:r>
            </w:hyperlink>
          </w:p>
        </w:tc>
      </w:tr>
      <w:tr>
        <w:trPr>
          <w:trHeight w:val="20"/>
        </w:trPr>
        <w:tc>
          <w:tcPr>
            <w:tcW w:w="3900" w:type="dxa"/>
            <w:vAlign w:val="bottom"/>
            <w:gridSpan w:val="11"/>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5680" w:type="dxa"/>
            <w:vAlign w:val="bottom"/>
            <w:gridSpan w:val="12"/>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Note Regarding Forward-Looking Statements and Other Financial Information</w:t>
              </w:r>
            </w:hyperlink>
          </w:p>
        </w:tc>
        <w:tc>
          <w:tcPr>
            <w:tcW w:w="4800" w:type="dxa"/>
            <w:vAlign w:val="bottom"/>
          </w:tcPr>
          <w:p>
            <w:pPr>
              <w:spacing w:after="0"/>
              <w:rPr>
                <w:sz w:val="21"/>
                <w:szCs w:val="21"/>
                <w:color w:val="auto"/>
              </w:rPr>
            </w:pPr>
          </w:p>
        </w:tc>
        <w:tc>
          <w:tcPr>
            <w:tcW w:w="900" w:type="dxa"/>
            <w:vAlign w:val="bottom"/>
            <w:gridSpan w:val="4"/>
          </w:tcPr>
          <w:p>
            <w:pPr>
              <w:jc w:val="center"/>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127</w:t>
              </w:r>
            </w:hyperlink>
          </w:p>
        </w:tc>
      </w:tr>
      <w:tr>
        <w:trPr>
          <w:trHeight w:val="20"/>
        </w:trPr>
        <w:tc>
          <w:tcPr>
            <w:tcW w:w="5680" w:type="dxa"/>
            <w:vAlign w:val="bottom"/>
            <w:gridSpan w:val="12"/>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507"/>
        </w:trPr>
        <w:tc>
          <w:tcPr>
            <w:tcW w:w="10480" w:type="dxa"/>
            <w:vAlign w:val="bottom"/>
            <w:gridSpan w:val="13"/>
          </w:tcPr>
          <w:p>
            <w:pPr>
              <w:ind w:left="558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82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purposes of this discussion, “Brighthouse,” the “Company,” “we,” “our” and “us” refer to Brighthouse Financial, Inc. a corporation originally incorporated in Delaware in 2016, and its subsidiaries. Brighthouse Financial, Inc. was formerly a wholly-owned subsidiary of MetLife, Inc. (MetLife, Inc., together with its subsidiaries and affiliates, “MetLife”). This Management’s Discussion and Analysis of Financial Condition and Results of Operations should be read in conjunction with (i) the unaudited interim condensed combined financial statements and related notes included in Item 1 of this Quarterly Report on Form 10-Q; (ii) Amendment No. 5 to our Registration Statement on Form 10, filed June 30, 2017 (the “Form 10”); and (iii) our current reports on Form 8-K filed in 2017. 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“—Forward-Looking Statements” and the section entitled “Risk Factors” included in the Form 10 and the Risk Factors set forth in Part II, Item IA of this Quarterly Report on Form 10-Q.</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“Separation” refers to the separation of MetLife, Inc.’s former Brighthouse Financial segment from MetLife’s other businesses and the creation of a separate, publicly traded company, Brighthouse Financial, Inc., to hold the assets (including the equity interests of certain MetLife, Inc. subsidiaries) and liabilities associated with MetLife, Inc.’s Brighthouse Financial segment from and after the distribution; the term “Distribution” refers to the distribution on August 4, 2017 of 80.8% of the shares of Brighthouse Financial, Inc. common stock outstanding immediately prior to the Distribution date by MetLife, Inc. to shareholders of MetLife, Inc. as of the record date for the Distribution.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“Overview” provides information regarding our business, reporting segments and results as discussed in the Results of Operations.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“Background” presents details of the Company’s legal entity structure and key events that led up to the completion of the Separation.</w:t>
      </w:r>
    </w:p>
    <w:p>
      <w:pPr>
        <w:spacing w:after="0" w:line="128"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“Certain Business Events” defines significant events that impacted either or both net income (loss) and operating earnings, as defined in “— Non-GAAP and Other Financial Disclosures”, which management believes are not indicative of performance in the respective periods. Events defined in this section are referred to in the Results of Operations discussion.</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“Actuarial Assumption Review” describes a change in key policyholder behavior assumptions that resulted in the second quarter of 2016 which had a significant unfavorable impact to net income (loss) in that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Form 10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accounting principles generally accepted in the United States (“GAAP”) results.</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the Results of Operations that are not calculated in accordance with GAAP but are used by management in evaluating company and segment performance. As described in this section, operating earnings is presented by key business activities which are derived from, but different than, the line items presented in the GAAP statement of operations. This section also refers to certain other terms used to describe our insurance businesses and financial and operating metrics, but is not intended to be exhaustive.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are a major provider of life insurance and annuity products. Our products serve the financial security needs of our customers and are offered solely in the United States through multiple independent distribution channels and marketing arrangements with a diverse network of distribution partners.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23" w:right="239" w:bottom="1440" w:gutter="0" w:footer="0" w:header="0"/>
        </w:sectPr>
      </w:pPr>
    </w:p>
    <w:bookmarkStart w:id="77" w:name="page78"/>
    <w:bookmarkEnd w:id="77"/>
    <w:p>
      <w:pPr>
        <w:jc w:val="both"/>
        <w:ind w:firstLine="324"/>
        <w:spacing w:after="0" w:line="264" w:lineRule="auto"/>
        <w:rPr>
          <w:sz w:val="20"/>
          <w:szCs w:val="20"/>
          <w:color w:val="auto"/>
        </w:rPr>
      </w:pPr>
      <w:r>
        <w:rPr>
          <w:rFonts w:ascii="Arial" w:cs="Arial" w:eastAsia="Arial" w:hAnsi="Arial"/>
          <w:sz w:val="18"/>
          <w:szCs w:val="18"/>
          <w:color w:val="auto"/>
        </w:rPr>
        <w:t>For operating purposes, we have established three reporting segments: (i) Annuities, (ii) Life and (iii) Run-off, which consists of operations relating to products we are not actively selling and which are separately managed. In addition, we report certain of our results of operations not included in the segments in Corporate &amp; Other. We allocate capital to our segments based on an internal capital model.</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previously announced, in the third quarter of 2016, the Company reorganized its businesses in anticipation of the Separation. Also, in the fourth quarter of 2016, the Company moved the universal life policies with secondary guarantees (“ULSG”) business from the Life segment to the Run-off segment (“ULSG Re-segmentation”). These changes were applied retrospectively and did not have an impact on total consolidated net income (loss) or operating earnings in the prior periods.</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See “Management’s Discussion and Analysis of Financial Condition and Results of Operations — Executive Summary — Overview,” “Business — Segments and Corporate &amp; Other” and “Business — Description of our Segments, Products and Operations” included in the Form 10 along with Note 2 of the Notes to the Interim Condensed Combined Financial Statements for further information on our segments and Corporate &amp; Other, including allocated capital.</w:t>
      </w:r>
    </w:p>
    <w:p>
      <w:pPr>
        <w:spacing w:after="0" w:line="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income increased $1.7 billion to $246 million for the three months ended June 30, 2017 from a net loss of $1.4 billion for the three months ended June 30, 2016. Operating earnings increased $245 million to $324 million for the three months ended June 30, 2017 from $79 million for the three months ended June 30, 2016. Our net loss decreased $913 billion to $103 million for the six months ended June 30, 2017 from $1.0 billion for the six months ended June 30, 2016. Operating earnings increased $185 million to $604 million for the six months ended June 30, 2017 from $419 million for the six months ended June 30, 2016. For a detailed discussion of our results see “—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Brighthouse Financial, Inc., which until the completion of the Separation on August 4, 2017 was a wholly-owned subsidiary of MetLife, Inc., a holding company incorporated in Delaware on August 1, 2016 to own the legal entities that have historically operated a substantial portion of MetLife’s former Retail segment, as well as certain portions of its former Corporate Benefit Funding segment, which is included in our Run-off segment.</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combined results of operations, financial condition and cash flows of Brighthouse for the periods indicated. In addition to Brighthouse Financial, Inc., the companies and businesses included in the combined results of operations, financial condition and cash flows are:</w:t>
      </w:r>
    </w:p>
    <w:p>
      <w:pPr>
        <w:spacing w:after="0" w:line="127" w:lineRule="exact"/>
        <w:rPr>
          <w:sz w:val="20"/>
          <w:szCs w:val="20"/>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Life Insurance Company (“Brighthouse Insurance”), formerly MetLife Insurance Company USA, our largest insurance operating entity, domiciled in Delaware and licensed to write business in 49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Life Insurance Company of NY (“Brighthouse NY”), formerly First MetLife Investors Insurance Company, domiciled in New York and licensed to write business in New York, which is a subsidiary of Brighthouse Insurance;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Insurance;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Investment Advisers, LLC (“Brighthouse Advisers”), formerly MetLife Advisers, LLC serving as investment advisor to certain proprietary mutual funds that are underlying investments under our and MetLife’s variable insurance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Services, LLC (“Brighthouse Services”), an internal services and payroll company;</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Brighthouse Securities, LLC (“Brighthouse Securities”), a registered as a broker-dealer with the U.S. Securities and Exchange Commission (“SEC”), approved as a member of the Financial Industry Regulatory Authority, Inc. and registered as a broker-dealer and licensed as an insurance agency in all required states;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The Separation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On January 12, 2016, MetLife, Inc. announced its plan to pursue the separation of a substantial portion of its former U.S. retail business. Additionally, on July 21, 2016, MetLife, Inc. announced that the separated business would be rebranded as “Brighthouse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27" w:right="239" w:bottom="1440" w:gutter="0" w:footer="0" w:header="0"/>
        </w:sectPr>
      </w:pPr>
    </w:p>
    <w:bookmarkStart w:id="78" w:name="page79"/>
    <w:bookmarkEnd w:id="78"/>
    <w:p>
      <w:pPr>
        <w:jc w:val="both"/>
        <w:ind w:left="180" w:firstLine="324"/>
        <w:spacing w:after="0" w:line="287" w:lineRule="auto"/>
        <w:rPr>
          <w:sz w:val="20"/>
          <w:szCs w:val="20"/>
          <w:color w:val="auto"/>
        </w:rPr>
      </w:pPr>
      <w:r>
        <w:rPr>
          <w:rFonts w:ascii="Arial" w:cs="Arial" w:eastAsia="Arial" w:hAnsi="Arial"/>
          <w:sz w:val="16"/>
          <w:szCs w:val="16"/>
          <w:color w:val="auto"/>
        </w:rPr>
        <w:t>On October 5, 2016, Brighthouse Financial, Inc., which until the completion of the Separation on August 4, 2017 was a wholly-owned subsidiary of MetLife, Inc., filed a registration statement on Form 10 with the SEC that was declared effective by the SEC on July 6, 2017. The Form 10 disclosed MetLife, Inc.’s plans to undertake several actions, including an internal reorganization involving its U.S. retail business (the “Restructuring”) and include, among others, Brighthouse Insurance, Brighthouse NY, NELICO, Brighthouse Advisers and certain affiliated reinsurance companies in the separated business, and distribute at least 80.1% of the shares of Brighthouse Financial, Inc.’s common stock on a pro rata basis to the holders of MetLife, Inc. common stock. In connection with the Restructuring, effective April 2017 following receipt of applicable regulatory approvals, MetLife, Inc. contributed certain affiliated reinsurance companies and Brighthouse NY to Brighthouse Insurance. The affiliated reinsurance companies were then merged into BRCD, a licensed reinsurance subsidiary of Brighthouse Insurance (the “Reinsurance Merger”). On June 20, 2017, BH Holdings issued $50 million aggregate liquidation preference of fixed rate cumulative preferred units to MetLife Inc. These preferred units are reported as noncontrolling interests on the interim condensed combined balance sheet. Additionally, on June 16, 2017 in connection with the Separation, MetLife, Inc. forgave the $750 million principal amount of 8.595% surplus notes, and on July 28, 2017, MetLife, Inc. contributed BH Holdings to Brighthouse Financial, Inc.</w:t>
      </w:r>
    </w:p>
    <w:p>
      <w:pPr>
        <w:spacing w:after="0" w:line="65"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In July 2016, MetLife, Inc. completed the sale to Massachusetts Mutual Life Insurance Company (“MassMutual”) of MetLife’s U.S. retail advisor force and certain assets associated with the MetLife Premier Client Group (“MPCG”), including all of the issued and outstanding shares of MetLife’s affiliated broker-dealer, MetLife Securities, Inc., a wholly-owned subsidiary of MetLife, Inc. (the “U.S. Retail Advisor Force Divestiture”). MassMutual assumed all of the liabilities related to such assets that arise or occur at or after the closing of the sale. As part of the transactions, MetLife, Inc. and MassMutual entered into a product development agreement under which MetLife’s U.S. retail business will be the exclusive developer of certain annuity products to be issued by MassMutual. In the MassMutual purchase agreement, MetLife, Inc. agreed to indemnify MassMutual for certain claims, liabilities and breaches of representations and warranties up to limits described in the purchase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Events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following tables show the effect on our net income (loss) and operating earnings of the items described in the following discussion, which we do not believe are indicative of performance in the period. There may be other items not included in the tables that caused significant changes in net income (loss) and operating earnings for the periods presented, including the action taken in 2016 to increase our reserves on our variable annuity contracts, see “— Actuarial Assumption Review,” For additional discussions of these actions and their impacts on net income (loss) and operating earnings, see “— Results of Operations.” Amounts presented in the following tables and the discussion of items presented are net of income tax.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8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640" w:type="dxa"/>
            <w:vAlign w:val="bottom"/>
          </w:tcPr>
          <w:p>
            <w:pPr>
              <w:jc w:val="right"/>
              <w:ind w:right="212"/>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ULSG Model Change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300" w:type="dxa"/>
            <w:vAlign w:val="bottom"/>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960" w:type="dxa"/>
            <w:vAlign w:val="bottom"/>
          </w:tcPr>
          <w:p>
            <w:pPr>
              <w:jc w:val="right"/>
              <w:ind w:right="533"/>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SPDA Recaptures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2017 VA Recaptures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300" w:type="dxa"/>
            <w:vAlign w:val="bottom"/>
          </w:tcPr>
          <w:p>
            <w:pPr>
              <w:ind w:left="440"/>
              <w:spacing w:after="0"/>
              <w:rPr>
                <w:sz w:val="20"/>
                <w:szCs w:val="20"/>
                <w:color w:val="auto"/>
              </w:rPr>
            </w:pPr>
            <w:r>
              <w:rPr>
                <w:rFonts w:ascii="Arial" w:cs="Arial" w:eastAsia="Arial" w:hAnsi="Arial"/>
                <w:sz w:val="18"/>
                <w:szCs w:val="18"/>
                <w:color w:val="auto"/>
              </w:rPr>
              <w:t>89</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960" w:type="dxa"/>
            <w:vAlign w:val="bottom"/>
          </w:tcPr>
          <w:p>
            <w:pPr>
              <w:jc w:val="right"/>
              <w:ind w:right="473"/>
              <w:spacing w:after="0"/>
              <w:rPr>
                <w:sz w:val="20"/>
                <w:szCs w:val="20"/>
                <w:color w:val="auto"/>
              </w:rPr>
            </w:pPr>
            <w:r>
              <w:rPr>
                <w:rFonts w:ascii="Arial" w:cs="Arial" w:eastAsia="Arial" w:hAnsi="Arial"/>
                <w:sz w:val="18"/>
                <w:szCs w:val="18"/>
                <w:color w:val="auto"/>
              </w:rPr>
              <w:t>(91)</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507"/>
        </w:trPr>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240"/>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800" w:type="dxa"/>
            <w:vAlign w:val="bottom"/>
          </w:tcPr>
          <w:p>
            <w:pPr>
              <w:jc w:val="right"/>
              <w:ind w:right="1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2016</w:t>
            </w:r>
          </w:p>
        </w:tc>
      </w:tr>
      <w:tr>
        <w:trPr>
          <w:trHeight w:val="33"/>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ULSG Model Change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SPDA Recaptures</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2017 VA Recaptures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ind w:left="660"/>
              <w:spacing w:after="0"/>
              <w:rPr>
                <w:sz w:val="20"/>
                <w:szCs w:val="20"/>
                <w:color w:val="auto"/>
              </w:rPr>
            </w:pPr>
            <w:r>
              <w:rPr>
                <w:rFonts w:ascii="Arial" w:cs="Arial" w:eastAsia="Arial" w:hAnsi="Arial"/>
                <w:sz w:val="18"/>
                <w:szCs w:val="18"/>
                <w:color w:val="auto"/>
              </w:rPr>
              <w:t>17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ULSG Model Change</w:t>
      </w:r>
      <w:r>
        <w:rPr>
          <w:rFonts w:ascii="Arial" w:cs="Arial" w:eastAsia="Arial" w:hAnsi="Arial"/>
          <w:sz w:val="18"/>
          <w:szCs w:val="18"/>
          <w:color w:val="auto"/>
        </w:rPr>
        <w:t>. In the second quarter of 2016, we refined our actuarial model which calculates the reserves for our ULSG products (the “ULSG</w:t>
      </w:r>
      <w:r>
        <w:rPr>
          <w:rFonts w:ascii="Arial" w:cs="Arial" w:eastAsia="Arial" w:hAnsi="Arial"/>
          <w:sz w:val="18"/>
          <w:szCs w:val="18"/>
          <w:i w:val="1"/>
          <w:iCs w:val="1"/>
          <w:color w:val="auto"/>
        </w:rPr>
        <w:t xml:space="preserve"> </w:t>
      </w:r>
      <w:r>
        <w:rPr>
          <w:rFonts w:ascii="Arial" w:cs="Arial" w:eastAsia="Arial" w:hAnsi="Arial"/>
          <w:sz w:val="18"/>
          <w:szCs w:val="18"/>
          <w:color w:val="auto"/>
        </w:rPr>
        <w:t>Model Change”). The new model treats projected premiums and death claims differently than the previous model. This change resulted in a one-time charge to net income (loss) and operating earnings of $408 million for the six months ended June 30, 2016. Of this one-time charge, $171 million resulted directly from the model refinements, as follows:</w:t>
      </w:r>
    </w:p>
    <w:p>
      <w:pPr>
        <w:spacing w:after="0" w:line="7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$150 million increase in insurance-related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27" w:right="239" w:bottom="1440" w:gutter="0" w:footer="0" w:header="0"/>
        </w:sectPr>
      </w:pPr>
    </w:p>
    <w:bookmarkStart w:id="79" w:name="page80"/>
    <w:bookmarkEnd w:id="79"/>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$16 million decrease in amortization of unearned revenue;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$5 million increase in amortization of deferred policy acquisition costs (“DAC”).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above impacts from the model change also resulted in a reduction of expected future gross profits, which drove our loss recognition margins negative, resulting in a further DAC write-off of $237 million for the six months ended June 30, 2016. As a further result of the lower expected future gross profits, we expect to recognize ongoing future increases in the insurance-related liabilities, for which $63 million, in addition to the one-time charges, was recognized for the six months ended June 30, 2017 and are not included in the preceding table. The ongoing future increases are expected to range between $40 million and $45 million each quarter and gradually decline over time. See “— Results of Operations — Combined Results for the Three Months and Six Months Ended June 30, 2017 and 2016 — Operating.”</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SPDA Recaptures. </w:t>
      </w:r>
      <w:r>
        <w:rPr>
          <w:rFonts w:ascii="Arial" w:cs="Arial" w:eastAsia="Arial" w:hAnsi="Arial"/>
          <w:sz w:val="17"/>
          <w:szCs w:val="17"/>
          <w:color w:val="auto"/>
        </w:rPr>
        <w:t>In April and December 2016, in contemplation of the Separation, we recaptured certain blocks of single premium deferred annuities</w:t>
      </w:r>
      <w:r>
        <w:rPr>
          <w:rFonts w:ascii="Arial" w:cs="Arial" w:eastAsia="Arial" w:hAnsi="Arial"/>
          <w:sz w:val="17"/>
          <w:szCs w:val="17"/>
          <w:i w:val="1"/>
          <w:iCs w:val="1"/>
          <w:color w:val="auto"/>
        </w:rPr>
        <w:t xml:space="preserve"> </w:t>
      </w:r>
      <w:r>
        <w:rPr>
          <w:rFonts w:ascii="Arial" w:cs="Arial" w:eastAsia="Arial" w:hAnsi="Arial"/>
          <w:sz w:val="17"/>
          <w:szCs w:val="17"/>
          <w:color w:val="auto"/>
        </w:rPr>
        <w:t>ceded to Metropolitan Life Insurance Company (“MLIC”) on a 90% coinsurance basis (together, the “SPDA Recaptures”). The April 2016 recapture resulted in an a benefit to both net income (loss) and operating earnings of $246 million for the six months ended June 30, 2016, comprised of higher fee income of $190 million due to a net favorable settlement and a recovery of DAC amortization of $56 million. The SPDA Recaptures were primarily settled with market-adjusted assets-in-kind, which increased the invested asset base but also resulted in lower yields as compared to the yield used in determining the interest income recognized on the reinsurance receivable balances prior to the recaptures. Together these changes are expected to have additional impacts to net investment spread on a comparative basis which are not reflected in the preceding table. See “— Results of Operations — Segments and Corporate &amp; Other Results for the Three Months and Six Months Ended June 30, 2017 and 2016.”</w:t>
      </w:r>
    </w:p>
    <w:p>
      <w:pPr>
        <w:spacing w:after="0" w:line="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2017 VA Recaptures. </w:t>
      </w:r>
      <w:r>
        <w:rPr>
          <w:rFonts w:ascii="Arial" w:cs="Arial" w:eastAsia="Arial" w:hAnsi="Arial"/>
          <w:sz w:val="17"/>
          <w:szCs w:val="17"/>
          <w:color w:val="auto"/>
        </w:rPr>
        <w:t>Effective January 1, 2017, certain ceded and assumed variable annuity reinsurance agreements with MLIC were recaptured (“2017</w:t>
      </w:r>
      <w:r>
        <w:rPr>
          <w:rFonts w:ascii="Arial" w:cs="Arial" w:eastAsia="Arial" w:hAnsi="Arial"/>
          <w:sz w:val="17"/>
          <w:szCs w:val="17"/>
          <w:i w:val="1"/>
          <w:iCs w:val="1"/>
          <w:color w:val="auto"/>
        </w:rPr>
        <w:t xml:space="preserve"> </w:t>
      </w:r>
      <w:r>
        <w:rPr>
          <w:rFonts w:ascii="Arial" w:cs="Arial" w:eastAsia="Arial" w:hAnsi="Arial"/>
          <w:sz w:val="17"/>
          <w:szCs w:val="17"/>
          <w:color w:val="auto"/>
        </w:rPr>
        <w:t>VA Recaptures”). The initial settlement of these transactions resulted in a charge in the first quarter of 2017 which decreased net income (loss) by $180 million. Of this amount, $172 million was included in GMLB Riders, recognized in net derivative gains (losses). The remaining $8 million was included in operating earnings, recognized in other expenses, net of DAC capitalization, partially offset by lower amortization of DAC and value of business acquired (“VOBA”). Upon final settlement in the second quarter of 2017, we recognized a benefit of $89 million, of which $72 million was included in GMLB Riders in net derivative gains (losses), and $17 million was included in operating earnings in other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Actuarial Assumption Review</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2016 second quarter actuarial assumption review related to our variable annuity business, we made certain changes to policyholder behavior and long-term economic assumptions, primarily relating to annuitization utilization as well as withdrawals and risk margins. The 2016 review included an analysis of a larger body of actual experience than was previously available which, when combined with relevant industry-wide data that had recently become available, we believed provided greater insight into anticipated policyholder behavior for variable annuity contracts that are in the money. This experience included a statistically significant amount of our GMIB policies passing the ten year waiting period required to allow contract holders to use certain benefits and a longer period of experience in a low interest rate environment. The annual review of actuarial assumptions related to our other businesses was performed in the third quarter of 2016.</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shows the impact on operating earnings and net income (loss) from the actuarial assumption reviews for the six months ended June 30, 2017 and 2016, which also reflects the impact for the three months ended June 30, 2017 and 2016. The impact related to GMLBs is included in net income (loss), but not included in operating earnings. See “— Non-GAAP and Other Financial Disclosures.”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00" w:type="dxa"/>
            <w:vAlign w:val="bottom"/>
            <w:gridSpan w:val="4"/>
          </w:tcPr>
          <w:p>
            <w:pPr>
              <w:ind w:left="1080"/>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20" w:type="dxa"/>
            <w:vAlign w:val="bottom"/>
          </w:tcPr>
          <w:p>
            <w:pPr>
              <w:spacing w:after="0"/>
              <w:rPr>
                <w:sz w:val="20"/>
                <w:szCs w:val="20"/>
                <w:color w:val="auto"/>
              </w:rPr>
            </w:pPr>
          </w:p>
        </w:tc>
        <w:tc>
          <w:tcPr>
            <w:tcW w:w="41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940" w:type="dxa"/>
            <w:vAlign w:val="bottom"/>
            <w:gridSpan w:val="3"/>
          </w:tcPr>
          <w:p>
            <w:pPr>
              <w:ind w:left="148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GMLBs</w:t>
            </w:r>
          </w:p>
        </w:tc>
        <w:tc>
          <w:tcPr>
            <w:tcW w:w="4180" w:type="dxa"/>
            <w:vAlign w:val="bottom"/>
            <w:tcBorders>
              <w:bottom w:val="single" w:sz="8" w:color="CCEEFF"/>
            </w:tcBorders>
            <w:gridSpan w:val="2"/>
            <w:shd w:val="clear" w:color="auto" w:fill="CCEEFF"/>
          </w:tcPr>
          <w:p>
            <w:pPr>
              <w:jc w:val="right"/>
              <w:ind w:right="1159"/>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Included in operating earnings:</w:t>
            </w:r>
          </w:p>
        </w:tc>
        <w:tc>
          <w:tcPr>
            <w:tcW w:w="2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annuity business</w:t>
            </w:r>
          </w:p>
        </w:tc>
        <w:tc>
          <w:tcPr>
            <w:tcW w:w="2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320" w:type="dxa"/>
            <w:vAlign w:val="bottom"/>
          </w:tcPr>
          <w:p>
            <w:pPr>
              <w:ind w:left="440"/>
              <w:spacing w:after="0"/>
              <w:rPr>
                <w:sz w:val="20"/>
                <w:szCs w:val="20"/>
                <w:color w:val="auto"/>
              </w:rPr>
            </w:pPr>
            <w:r>
              <w:rPr>
                <w:rFonts w:ascii="Arial" w:cs="Arial" w:eastAsia="Arial" w:hAnsi="Arial"/>
                <w:sz w:val="18"/>
                <w:szCs w:val="18"/>
                <w:color w:val="auto"/>
              </w:rPr>
              <w:t>Life business</w:t>
            </w:r>
          </w:p>
        </w:tc>
        <w:tc>
          <w:tcPr>
            <w:tcW w:w="2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Run-off</w:t>
            </w:r>
          </w:p>
        </w:tc>
        <w:tc>
          <w:tcPr>
            <w:tcW w:w="28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40"/>
              <w:spacing w:after="0"/>
              <w:rPr>
                <w:sz w:val="20"/>
                <w:szCs w:val="20"/>
                <w:color w:val="auto"/>
              </w:rPr>
            </w:pPr>
            <w:r>
              <w:rPr>
                <w:rFonts w:ascii="Arial" w:cs="Arial" w:eastAsia="Arial" w:hAnsi="Arial"/>
                <w:sz w:val="18"/>
                <w:szCs w:val="18"/>
                <w:color w:val="auto"/>
              </w:rPr>
              <w:t>Total included in operating earnings</w:t>
            </w:r>
          </w:p>
        </w:tc>
        <w:tc>
          <w:tcPr>
            <w:tcW w:w="28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impact on net income (loss)</w:t>
            </w:r>
          </w:p>
        </w:tc>
        <w:tc>
          <w:tcPr>
            <w:tcW w:w="28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253"/>
              <w:spacing w:after="0"/>
              <w:rPr>
                <w:sz w:val="20"/>
                <w:szCs w:val="20"/>
                <w:color w:val="auto"/>
              </w:rPr>
            </w:pPr>
            <w:r>
              <w:rPr>
                <w:rFonts w:ascii="Arial" w:cs="Arial" w:eastAsia="Arial" w:hAnsi="Arial"/>
                <w:sz w:val="18"/>
                <w:szCs w:val="18"/>
                <w:color w:val="auto"/>
              </w:rPr>
              <w:t>79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Industry Trends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Form 10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life insurance companies are regulated primarily at the state level, with some products and services also subject to federal regulation. In addition, Brighthouse and its insurance subsidiaries are subject to regulation under the insurance holding company laws of various U.S. jurisdictions. Furthermore, some of Brighthouse’s operations, products and services are subject to the Employee Retirement Income Security Act of 1974 (“ERISA”), consumer protection laws, securities, broker-dealer and investment advisor regulations, and environmental and unclaimed property laws and regulations. See “Risk Factors — Regulatory and Legal Risks — Our insurance businesses are highly regulated, and changes in regulation and in supervisory and enforcement policies may materially impact our capitalization or cash flows, reduce our profitability and limit our growth” included in the Form 10 or in this Quarterly Report on Form 10-Q under this “Regulatory Developments” caption and “Risk Factors — Regulatory and Legal Risks.”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and ERISA Considerations</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individual retirement accounts (“IRA”), as well as individual retirement annuities sold to individuals that are subject to ERISA or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must perform their duties solely in the interests of ERISA plan participants and beneficiaries, and those fiduciaries may not cause a covered plan to engage in certain prohibited transactions. The applicable provisions of ERISA and the Code are subject to enforcement by the Department of Labor (“DOL”), the Internal Revenue Service and the Pension Benefit Guaranty Corporation.</w:t>
      </w:r>
    </w:p>
    <w:p>
      <w:pPr>
        <w:spacing w:after="0" w:line="7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prohibited transaction rules of ERISA and the Code generally restrict the provision of investment advice to ERISA plans and participants and IRAs if the investment recommendation results in fees paid to an individual advisor, the firm that employs the advisor or their affiliates that vary according to the investment recommendation chosen.</w:t>
      </w:r>
    </w:p>
    <w:p>
      <w:pPr>
        <w:spacing w:after="0" w:line="73" w:lineRule="exact"/>
        <w:rPr>
          <w:sz w:val="20"/>
          <w:szCs w:val="20"/>
          <w:color w:val="auto"/>
        </w:rPr>
      </w:pPr>
    </w:p>
    <w:p>
      <w:pPr>
        <w:jc w:val="both"/>
        <w:ind w:left="180" w:firstLine="324"/>
        <w:spacing w:after="0" w:line="289" w:lineRule="auto"/>
        <w:rPr>
          <w:sz w:val="20"/>
          <w:szCs w:val="20"/>
          <w:color w:val="auto"/>
        </w:rPr>
      </w:pPr>
      <w:r>
        <w:rPr>
          <w:rFonts w:ascii="Arial" w:cs="Arial" w:eastAsia="Arial" w:hAnsi="Arial"/>
          <w:sz w:val="16"/>
          <w:szCs w:val="16"/>
          <w:color w:val="auto"/>
        </w:rPr>
        <w:t>The DOL issued new regulations on April 6, 2016 with an original applicable date for most provisions of April 10, 2017, although on April 4, 2017, the DOL released its final rule delaying the original applicable date for 60 days from April 10, 2017 until June 9, 2017. Further, on June 29, 2017, the DOL issued a request for information regarding its final rule defining who is a “fiduciary” for purposes of ERISA and the Code, and also the DOL’s new and amended exemptions (as described further below) that were published in conjunction with the final rule. The request for information seeks public input that could lead to new exemptions or changes and revisions to the final rule. These rules substantially expand the definition of “investment advice” and require that an impartial or “best interests” standard be met in providing such advice, thereby broadening the circumstances under which distributors and manufacturers can be considered fiduciaries under ERISA or the Code.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5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As noted above, the DOL also issued amendments to certain of its prohibited transaction exemptions, and issued BIC, a new exemption that applies more onerous disclosure and contract requirements to, and increases fiduciary requirements and fiduciary liability exposure in respect of, transactions involving ERISA plans, plan participants and IRAs. In general, the changes the rule made to existing prohibited transaction exemptions and contract and disclosure requirements of the new exemption (other than the impartial interest standard) were delayed until January 1, 2018. However, contracts entered into prior to June 9, 2017 are generally “grandfathered” and, as such, are not subject to the requirements of the rule and related exemptions. To retain “grandfathered” status, no investment recommendations may be made after the applicability date of the new regulations with respect to such annuity products that were sold to ERISA plans or IRAs.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23" w:right="239" w:bottom="1440" w:gutter="0" w:footer="0" w:header="0"/>
        </w:sectPr>
      </w:pPr>
    </w:p>
    <w:bookmarkStart w:id="81" w:name="page82"/>
    <w:bookmarkEnd w:id="81"/>
    <w:p>
      <w:pPr>
        <w:jc w:val="both"/>
        <w:ind w:left="180" w:firstLine="324"/>
        <w:spacing w:after="0" w:line="288" w:lineRule="auto"/>
        <w:rPr>
          <w:sz w:val="20"/>
          <w:szCs w:val="20"/>
          <w:color w:val="auto"/>
        </w:rPr>
      </w:pPr>
      <w:r>
        <w:rPr>
          <w:rFonts w:ascii="Arial" w:cs="Arial" w:eastAsia="Arial" w:hAnsi="Arial"/>
          <w:sz w:val="16"/>
          <w:szCs w:val="16"/>
          <w:color w:val="auto"/>
        </w:rPr>
        <w:t>We will not be engaging in direct distribution of retail products, including IRA products and retail annuities sold into ERISA plans and IRAs, and therefore we anticipate that we will have limited exposure to the new DOL regulations, as the application of the vast majority of the provisions of the new DOL regulations targeted at such retail products will be reduced. Specifically, the most onerous of the requirements under the DOL Fiduciary Rule relate to BIC. The DOL guidance makes clear that distributors, not manufacturers, are primarily responsible for BIC compliance. However, we will be asked by our distributors, to assist them with preparing the voluminous disclosures required under BIC. Furthermore, if we want to retain the “grandfathered” status described above of current contracts, we will be limited in the interactions we can have directly with customers and the information that can be provided. We also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See “Risk Factors — Regulatory and Legal Risks — Our insurance businesses are highly regulated, and changes in regulation and in supervisory and enforcement policies may materially impact our capitalization or cash flows, reduce our profitability and limit our growth” included in the Form 10.</w:t>
      </w:r>
    </w:p>
    <w:p>
      <w:pPr>
        <w:spacing w:after="0" w:line="61" w:lineRule="exact"/>
        <w:rPr>
          <w:sz w:val="20"/>
          <w:szCs w:val="20"/>
          <w:color w:val="auto"/>
        </w:rPr>
      </w:pPr>
    </w:p>
    <w:p>
      <w:pPr>
        <w:jc w:val="both"/>
        <w:ind w:left="180" w:firstLine="324"/>
        <w:spacing w:after="0" w:line="289" w:lineRule="auto"/>
        <w:rPr>
          <w:sz w:val="20"/>
          <w:szCs w:val="20"/>
          <w:color w:val="auto"/>
        </w:rPr>
      </w:pPr>
      <w:r>
        <w:rPr>
          <w:rFonts w:ascii="Arial" w:cs="Arial" w:eastAsia="Arial" w:hAnsi="Arial"/>
          <w:sz w:val="16"/>
          <w:szCs w:val="16"/>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fiduciary rule and providing for a 30-day comment period on all issues raised by its request for information (excepting the 15-day comment period on delaying the January 1, 2018 applicability date discussed above). On August 9, 2017, the DOL filed a public notice in the case of Thrivent Financial v. the DOL alerting the court that the DOL has submitted to the Office of Management and Budget proposed amendments to several prohibited transaction exemptions (including BIC and 84-24) further delaying application of these exemptions as re-written by the DOL, from January 1, 2018 to July 1, 2019. While we continue to analyze the impact of the final regulations on our business,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w:t>
      </w:r>
    </w:p>
    <w:p>
      <w:pPr>
        <w:spacing w:after="0" w:line="5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change of administration and the DOL’s June 29, 2017 request for information related to the fiduciary rule and related exemptions leaves uncertainty over whether the regulations will be substantially modified or repealed. Application of the rules on June 9, 2017, in light of the DOL’s request for information and the overall reconsideration of the rules requested by President Trump, could create confusion among our distribution partners, which could negatively impact product sales. We cannot predict what other proposals may be made, what legislation may be introduced or enacted, or what impact any such legislation may have on our business,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capitalization and amortization of DAC and the establishment and amortization of VOBA;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measurement of goodwill and related impairment;</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above critical accounting estimates are described in “Management’s Discussion and Analysis of Financial Condition and Results of Operations — Summary of Critical Accounting Estimates” and Note 1 of the Notes to the Combined Financial Statements included in the Form 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2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this report, we present a measure of our performance that is not calculated in accordance with GAAP. We believe that this non-GAAP financial measure enhances the understanding of our performance by highlighting the results of operations and the underlying profitability drivers of our business.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non-GAAP financial measure should not be viewed as a substitute for the most directly comparable financial measure calculated in accordance with GAAP: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Non-GAAP financial measures:</w:t>
            </w:r>
          </w:p>
        </w:tc>
        <w:tc>
          <w:tcPr>
            <w:tcW w:w="744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6"/>
                <w:szCs w:val="16"/>
                <w:b w:val="1"/>
                <w:bCs w:val="1"/>
                <w:color w:val="auto"/>
              </w:rPr>
              <w:t>Comparable GAAP financial measures:</w:t>
            </w:r>
          </w:p>
        </w:tc>
      </w:tr>
      <w:tr>
        <w:trPr>
          <w:trHeight w:val="243"/>
        </w:trPr>
        <w:tc>
          <w:tcPr>
            <w:tcW w:w="340" w:type="dxa"/>
            <w:vAlign w:val="bottom"/>
          </w:tcPr>
          <w:p>
            <w:pPr>
              <w:ind w:left="40"/>
              <w:spacing w:after="0"/>
              <w:rPr>
                <w:sz w:val="20"/>
                <w:szCs w:val="20"/>
                <w:color w:val="auto"/>
              </w:rPr>
            </w:pPr>
            <w:r>
              <w:rPr>
                <w:rFonts w:ascii="Arial" w:cs="Arial" w:eastAsia="Arial" w:hAnsi="Arial"/>
                <w:sz w:val="18"/>
                <w:szCs w:val="18"/>
                <w:color w:val="auto"/>
              </w:rPr>
              <w:t>(i)</w:t>
            </w:r>
          </w:p>
        </w:tc>
        <w:tc>
          <w:tcPr>
            <w:tcW w:w="3640" w:type="dxa"/>
            <w:vAlign w:val="bottom"/>
          </w:tcPr>
          <w:p>
            <w:pPr>
              <w:ind w:left="160"/>
              <w:spacing w:after="0"/>
              <w:rPr>
                <w:sz w:val="20"/>
                <w:szCs w:val="20"/>
                <w:color w:val="auto"/>
              </w:rPr>
            </w:pPr>
            <w:r>
              <w:rPr>
                <w:rFonts w:ascii="Arial" w:cs="Arial" w:eastAsia="Arial" w:hAnsi="Arial"/>
                <w:sz w:val="18"/>
                <w:szCs w:val="18"/>
                <w:color w:val="auto"/>
              </w:rPr>
              <w:t>operating earnings</w:t>
            </w:r>
          </w:p>
        </w:tc>
        <w:tc>
          <w:tcPr>
            <w:tcW w:w="2080" w:type="dxa"/>
            <w:vAlign w:val="bottom"/>
          </w:tcPr>
          <w:p>
            <w:pPr>
              <w:ind w:left="1760"/>
              <w:spacing w:after="0"/>
              <w:rPr>
                <w:sz w:val="20"/>
                <w:szCs w:val="20"/>
                <w:color w:val="auto"/>
              </w:rPr>
            </w:pPr>
            <w:r>
              <w:rPr>
                <w:rFonts w:ascii="Arial" w:cs="Arial" w:eastAsia="Arial" w:hAnsi="Arial"/>
                <w:sz w:val="18"/>
                <w:szCs w:val="18"/>
                <w:color w:val="auto"/>
              </w:rPr>
              <w:t>(i)</w:t>
            </w:r>
          </w:p>
        </w:tc>
        <w:tc>
          <w:tcPr>
            <w:tcW w:w="5360" w:type="dxa"/>
            <w:vAlign w:val="bottom"/>
          </w:tcPr>
          <w:p>
            <w:pPr>
              <w:ind w:left="140"/>
              <w:spacing w:after="0"/>
              <w:rPr>
                <w:sz w:val="20"/>
                <w:szCs w:val="20"/>
                <w:color w:val="auto"/>
              </w:rPr>
            </w:pPr>
            <w:r>
              <w:rPr>
                <w:rFonts w:ascii="Arial" w:cs="Arial" w:eastAsia="Arial" w:hAnsi="Arial"/>
                <w:sz w:val="18"/>
                <w:szCs w:val="18"/>
                <w:color w:val="auto"/>
              </w:rPr>
              <w:t>net income (loss)</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 Results of Operations” for reconciliations of operating earnings to net income (loss). A reconciliation of this non-GAAP measure to the most directly comparable GAAP measure is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definitions of the non-GAAP and other financial measures discussed in this report may differ from those used by other companies. For example, as indicated below, we exclude guaranteed minimum income benefits (“GMIB”) revenues and related embedded derivatives gains (losses) as well as GMIB benefits and associated DAC and VOBA offsets from operating earnings, thereby excluding substantially all GMLB activity from operating earnings.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is used by management to evaluate performance, allocate resources and facilitate comparisons to industry results. This financial measure focuses on our primary businesses principally by excluding the impact of market volatility, which could distort trends, and revenues and costs related to non-core products and businesses. Non-core businesses include discontinued operations and other businesses that have been or will be sold or exited by us, referred to as divested businesses, and certain entities required to be consolidated under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revenues, net of income tax, in calculating operating earnings:</w:t>
      </w:r>
    </w:p>
    <w:p>
      <w:pPr>
        <w:spacing w:after="0" w:line="117"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derivative gains (losses) except: (i) earned income on derivatives and amortization of premium on derivatives that are hedges of investments or that are used to replicate certain investments, but do not qualify for hedge accounting treatment (“Investment Hedge Adjustments”) and (ii) earned income on derivatives and amortization of premium on derivatives that are hedges of policyholder account balances but do not qualify for hedge accounting treatment (“PAB Adjustments”);</w:t>
      </w:r>
    </w:p>
    <w:p>
      <w:pPr>
        <w:spacing w:after="0" w:line="7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GMIB fees (“GMIB Fees”);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amounts related to securitization entities that are variable interest entities (“VIEs”) consolidated under GAAP;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Revenues from divested businesses.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expenses, net of income tax, in calculating operating earnings:</w:t>
      </w:r>
    </w:p>
    <w:p>
      <w:pPr>
        <w:spacing w:after="0" w:line="117"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Recognition of certain contingent assets and liabilities that could not be recognized at acquisition or adjusted for during the measurement period under GAAP business combination accounting guidance;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of divested businesses;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related to securitization entities that are VIEs consolidated under GAAP;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23" w:right="239" w:bottom="1440" w:gutter="0" w:footer="0" w:header="0"/>
        </w:sectPr>
      </w:pPr>
    </w:p>
    <w:bookmarkStart w:id="83" w:name="page84"/>
    <w:bookmarkEnd w:id="83"/>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(i) implementation of new insurance regulatory requirements and (ii) acquisition and integration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impact of the adjustments mentioned are calculated net of the U.S. statutory tax rate, which could differ from our effective tax rate.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present operating earnings in a manner consistent with management’s view of the primary business activities that drive the profitability of our core businesses. The table below illustrates how each component of operating earnings is calculated from the GAAP statement of operations line items: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Component of Operating Earnings</w:t>
            </w:r>
          </w:p>
        </w:tc>
        <w:tc>
          <w:tcPr>
            <w:tcW w:w="7280" w:type="dxa"/>
            <w:vAlign w:val="bottom"/>
            <w:shd w:val="clear" w:color="auto" w:fill="CCEEFF"/>
          </w:tcPr>
          <w:p>
            <w:pPr>
              <w:jc w:val="right"/>
              <w:ind w:right="4811"/>
              <w:spacing w:after="0"/>
              <w:rPr>
                <w:sz w:val="20"/>
                <w:szCs w:val="20"/>
                <w:color w:val="auto"/>
              </w:rPr>
            </w:pPr>
            <w:r>
              <w:rPr>
                <w:rFonts w:ascii="Arial" w:cs="Arial" w:eastAsia="Arial" w:hAnsi="Arial"/>
                <w:sz w:val="14"/>
                <w:szCs w:val="14"/>
                <w:b w:val="1"/>
                <w:bCs w:val="1"/>
                <w:color w:val="auto"/>
              </w:rPr>
              <w:t>How Derived from GAAP (1)</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and (b) GMIB Fees) plus </w:t>
            </w:r>
            <w:r>
              <w:rPr>
                <w:rFonts w:ascii="Arial" w:cs="Arial" w:eastAsia="Arial" w:hAnsi="Arial"/>
                <w:sz w:val="18"/>
                <w:szCs w:val="18"/>
                <w:i w:val="1"/>
                <w:iCs w:val="1"/>
                <w:color w:val="auto"/>
              </w:rPr>
              <w:t>Other revenues</w:t>
            </w:r>
            <w:r>
              <w:rPr>
                <w:rFonts w:ascii="Arial" w:cs="Arial" w:eastAsia="Arial" w:hAnsi="Arial"/>
                <w:sz w:val="18"/>
                <w:szCs w:val="18"/>
                <w:color w:val="auto"/>
              </w:rPr>
              <w:t xml:space="preserve"> (excluding other revenues related to</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affiliated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(excluding securitization entities income) plus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Hedge Adjustments, PAB Adjustments and interest received on ceded fixed annuity</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reinsurance deposit funds reduced by </w:t>
            </w:r>
            <w:r>
              <w:rPr>
                <w:rFonts w:ascii="Arial" w:cs="Arial" w:eastAsia="Arial" w:hAnsi="Arial"/>
                <w:sz w:val="18"/>
                <w:szCs w:val="18"/>
                <w:i w:val="1"/>
                <w:iCs w:val="1"/>
                <w:color w:val="auto"/>
              </w:rPr>
              <w:t>Interest credited to policyholder account</w:t>
            </w: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i w:val="1"/>
                <w:iCs w:val="1"/>
                <w:color w:val="auto"/>
              </w:rPr>
              <w:t xml:space="preserve">balances </w:t>
            </w:r>
            <w:r>
              <w:rPr>
                <w:rFonts w:ascii="Arial" w:cs="Arial" w:eastAsia="Arial" w:hAnsi="Arial"/>
                <w:sz w:val="18"/>
                <w:szCs w:val="18"/>
                <w:color w:val="auto"/>
              </w:rPr>
              <w:t>and interest on future policy benefits</w:t>
            </w:r>
          </w:p>
        </w:tc>
      </w:tr>
      <w:tr>
        <w:trPr>
          <w:trHeight w:val="459"/>
        </w:trPr>
        <w:tc>
          <w:tcPr>
            <w:tcW w:w="20" w:type="dxa"/>
            <w:vAlign w:val="bottom"/>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7280" w:type="dxa"/>
            <w:vAlign w:val="bottom"/>
            <w:shd w:val="clear" w:color="auto" w:fill="CCEEFF"/>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jc w:val="right"/>
              <w:ind w:right="2571"/>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jc w:val="right"/>
              <w:ind w:right="3931"/>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related to divested businesses are excluded from all components of operating earnings.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Italicized items indicate GAAP statement of operations line items.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Consistent with GAAP guidance for segment reporting, operating earnings is also our GAAP measure of segment performance. Accordingly, we report operating earnings by segment in Note 2 of the Notes to the Interim Condensed Combined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980" w:hanging="256"/>
        <w:spacing w:after="0" w:line="302"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sometimes refer to sales activity for various products. Statistical sales information for life sales are calculated using the LIMRA definition of sales for core direct sales, excluding company-sponsored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46" w:lineRule="exact"/>
        <w:rPr>
          <w:rFonts w:ascii="Arial" w:cs="Arial" w:eastAsia="Arial" w:hAnsi="Arial"/>
          <w:sz w:val="16"/>
          <w:szCs w:val="16"/>
          <w:color w:val="auto"/>
        </w:rPr>
      </w:pPr>
    </w:p>
    <w:p>
      <w:pPr>
        <w:jc w:val="both"/>
        <w:ind w:left="980" w:hanging="256"/>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Allocated equity is the portion of common stockholder’s equity that management allocates to each of its segments and sub-segments. See “Management’s Discussion and Analysis of Financial Condition and Results of Operations — Executive Summary — Overview” included in the Form 10 and Note 2 of the Notes to the Interim Condensed Combined Financial Statements for further details regarding allocated equity and the use of an internal capital models.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2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Results for the Three Months and Six Months Ended June 30, 2017 and 2016</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While sales of our index-linked annuities increased, overall sales decreased in our Annuities and Life segments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The declines in both segments were driven, in part, by the sale of MPCG to MassMutual in the third quarter of 2016. The 23% decline in Annuities sales was also driven by the suspension of sales by Fidelity and the discontinuance of sales of GMIB riders on our variable annuity products, both of which occurred in 2016. Life sales, which declined 59%, were also impacted by our discontinuance of new sales of whole life and certain term life products in the current period.</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separate account balances increased in the current period, compared to the prior period, due to favorable equity market performance, which more than offset the impact of continued negative net flows. We experienced positive net flows in the general account in both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3"/>
          </w:tcPr>
          <w:p>
            <w:pPr>
              <w:jc w:val="center"/>
              <w:ind w:left="391"/>
              <w:spacing w:after="0"/>
              <w:rPr>
                <w:sz w:val="20"/>
                <w:szCs w:val="20"/>
                <w:color w:val="auto"/>
              </w:rPr>
            </w:pPr>
            <w:r>
              <w:rPr>
                <w:rFonts w:ascii="Arial" w:cs="Arial" w:eastAsia="Arial" w:hAnsi="Arial"/>
                <w:sz w:val="18"/>
                <w:szCs w:val="18"/>
                <w:b w:val="1"/>
                <w:bCs w:val="1"/>
                <w:color w:val="auto"/>
                <w:w w:val="91"/>
              </w:rPr>
              <w:t>Six Months</w:t>
            </w:r>
          </w:p>
        </w:tc>
        <w:tc>
          <w:tcPr>
            <w:tcW w:w="9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3"/>
          </w:tcPr>
          <w:p>
            <w:pPr>
              <w:jc w:val="center"/>
              <w:ind w:left="371"/>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gridSpan w:val="3"/>
          </w:tcPr>
          <w:p>
            <w:pPr>
              <w:jc w:val="center"/>
              <w:ind w:left="391"/>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5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Premiums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674</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life and investment-type product policy fees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1,553</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9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derivative gains (losses)</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1,805</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Policyholder benefits and claims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1,890</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credited to policyholder account balances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of DAC</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DAC and VOBA</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negative VOBA</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 on debt</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3,481</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 expense (benefit)</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823" w:right="239" w:bottom="1440" w:gutter="0" w:footer="0" w:header="0"/>
          <w:type w:val="continuous"/>
        </w:sectPr>
      </w:pPr>
    </w:p>
    <w:bookmarkStart w:id="85" w:name="page86"/>
    <w:bookmarkEnd w:id="85"/>
    <w:p>
      <w:pPr>
        <w:ind w:left="180" w:firstLine="324"/>
        <w:spacing w:after="0" w:line="277" w:lineRule="auto"/>
        <w:rPr>
          <w:sz w:val="20"/>
          <w:szCs w:val="20"/>
          <w:color w:val="auto"/>
        </w:rPr>
      </w:pPr>
      <w:r>
        <w:rPr>
          <w:rFonts w:ascii="Arial" w:cs="Arial" w:eastAsia="Arial" w:hAnsi="Arial"/>
          <w:sz w:val="18"/>
          <w:szCs w:val="18"/>
          <w:color w:val="auto"/>
        </w:rPr>
        <w:t>The table below shows the components of our net income (loss), in addition to operating earnings for the three months and six months ended June 30,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Six Months</w:t>
            </w:r>
          </w:p>
        </w:tc>
        <w:tc>
          <w:tcPr>
            <w:tcW w:w="8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3"/>
          </w:tcPr>
          <w:p>
            <w:pPr>
              <w:jc w:val="right"/>
              <w:ind w:right="139"/>
              <w:spacing w:after="0"/>
              <w:rPr>
                <w:sz w:val="20"/>
                <w:szCs w:val="20"/>
                <w:color w:val="auto"/>
              </w:rPr>
            </w:pPr>
            <w:r>
              <w:rPr>
                <w:rFonts w:ascii="Arial" w:cs="Arial" w:eastAsia="Arial" w:hAnsi="Arial"/>
                <w:sz w:val="18"/>
                <w:szCs w:val="18"/>
                <w:b w:val="1"/>
                <w:bCs w:val="1"/>
                <w:color w:val="auto"/>
              </w:rPr>
              <w:t>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jc w:val="right"/>
              <w:ind w:right="159"/>
              <w:spacing w:after="0"/>
              <w:rPr>
                <w:sz w:val="20"/>
                <w:szCs w:val="20"/>
                <w:color w:val="auto"/>
              </w:rPr>
            </w:pPr>
            <w:r>
              <w:rPr>
                <w:rFonts w:ascii="Arial" w:cs="Arial" w:eastAsia="Arial" w:hAnsi="Arial"/>
                <w:sz w:val="18"/>
                <w:szCs w:val="18"/>
                <w:b w:val="1"/>
                <w:bCs w:val="1"/>
                <w:color w:val="auto"/>
              </w:rPr>
              <w:t>Ended</w:t>
            </w:r>
          </w:p>
        </w:tc>
        <w:tc>
          <w:tcPr>
            <w:tcW w:w="82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2016</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6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7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(217)</w:t>
            </w:r>
          </w:p>
        </w:tc>
        <w:tc>
          <w:tcPr>
            <w:tcW w:w="140" w:type="dxa"/>
            <w:vAlign w:val="bottom"/>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(865)</w:t>
            </w:r>
          </w:p>
        </w:tc>
        <w:tc>
          <w:tcPr>
            <w:tcW w:w="120" w:type="dxa"/>
            <w:vAlign w:val="bottom"/>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6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derivative instruments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w w:val="97"/>
              </w:rPr>
              <w:t>154</w:t>
            </w:r>
          </w:p>
        </w:tc>
        <w:tc>
          <w:tcPr>
            <w:tcW w:w="140" w:type="dxa"/>
            <w:vAlign w:val="bottom"/>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(108)</w:t>
            </w:r>
          </w:p>
        </w:tc>
        <w:tc>
          <w:tcPr>
            <w:tcW w:w="120" w:type="dxa"/>
            <w:vAlign w:val="bottom"/>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760" w:type="dxa"/>
            <w:vAlign w:val="bottom"/>
          </w:tcPr>
          <w:p>
            <w:pPr>
              <w:spacing w:after="0"/>
              <w:rPr>
                <w:sz w:val="20"/>
                <w:szCs w:val="20"/>
                <w:color w:val="auto"/>
              </w:rPr>
            </w:pPr>
          </w:p>
        </w:tc>
        <w:tc>
          <w:tcPr>
            <w:tcW w:w="400" w:type="dxa"/>
            <w:vAlign w:val="bottom"/>
          </w:tcPr>
          <w:p>
            <w:pPr>
              <w:jc w:val="right"/>
              <w:ind w:right="3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6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Operating earnings before provision for income tax</w:t>
            </w:r>
          </w:p>
        </w:tc>
        <w:tc>
          <w:tcPr>
            <w:tcW w:w="760" w:type="dxa"/>
            <w:vAlign w:val="bottom"/>
          </w:tcPr>
          <w:p>
            <w:pPr>
              <w:spacing w:after="0"/>
              <w:rPr>
                <w:sz w:val="20"/>
                <w:szCs w:val="20"/>
                <w:color w:val="auto"/>
              </w:rPr>
            </w:pPr>
          </w:p>
        </w:tc>
        <w:tc>
          <w:tcPr>
            <w:tcW w:w="400" w:type="dxa"/>
            <w:vAlign w:val="bottom"/>
          </w:tcPr>
          <w:p>
            <w:pPr>
              <w:jc w:val="right"/>
              <w:ind w:right="37"/>
              <w:spacing w:after="0"/>
              <w:rPr>
                <w:sz w:val="20"/>
                <w:szCs w:val="20"/>
                <w:color w:val="auto"/>
              </w:rPr>
            </w:pPr>
            <w:r>
              <w:rPr>
                <w:rFonts w:ascii="Arial" w:cs="Arial" w:eastAsia="Arial" w:hAnsi="Arial"/>
                <w:sz w:val="16"/>
                <w:szCs w:val="16"/>
                <w:color w:val="auto"/>
                <w:w w:val="97"/>
              </w:rPr>
              <w:t>426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7"/>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529</w:t>
            </w:r>
          </w:p>
        </w:tc>
      </w:tr>
      <w:tr>
        <w:trPr>
          <w:trHeight w:val="33"/>
        </w:trPr>
        <w:tc>
          <w:tcPr>
            <w:tcW w:w="6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before provision for income tax</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w w:val="97"/>
              </w:rPr>
              <w:t>321</w:t>
            </w:r>
          </w:p>
        </w:tc>
        <w:tc>
          <w:tcPr>
            <w:tcW w:w="140" w:type="dxa"/>
            <w:vAlign w:val="bottom"/>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(269)</w:t>
            </w:r>
          </w:p>
        </w:tc>
        <w:tc>
          <w:tcPr>
            <w:tcW w:w="1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Pr>
          <w:p>
            <w:pPr>
              <w:spacing w:after="0"/>
              <w:rPr>
                <w:sz w:val="20"/>
                <w:szCs w:val="20"/>
                <w:color w:val="auto"/>
              </w:rPr>
            </w:pPr>
          </w:p>
        </w:tc>
        <w:tc>
          <w:tcPr>
            <w:tcW w:w="400" w:type="dxa"/>
            <w:vAlign w:val="bottom"/>
          </w:tcPr>
          <w:p>
            <w:pPr>
              <w:jc w:val="right"/>
              <w:ind w:right="37"/>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33"/>
        </w:trPr>
        <w:tc>
          <w:tcPr>
            <w:tcW w:w="6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r>
      <w:tr>
        <w:trPr>
          <w:trHeight w:val="255"/>
        </w:trPr>
        <w:tc>
          <w:tcPr>
            <w:tcW w:w="6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60" w:type="dxa"/>
            <w:vAlign w:val="bottom"/>
            <w:tcBorders>
              <w:top w:val="single" w:sz="8" w:color="auto"/>
              <w:bottom w:val="single" w:sz="8" w:color="CCEEFF"/>
            </w:tcBorders>
            <w:shd w:val="clear" w:color="auto" w:fill="CCEEFF"/>
          </w:tcPr>
          <w:p>
            <w:pPr>
              <w:jc w:val="right"/>
              <w:ind w:right="557"/>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w w:val="97"/>
              </w:rPr>
              <w:t>246</w:t>
            </w:r>
          </w:p>
        </w:tc>
        <w:tc>
          <w:tcPr>
            <w:tcW w:w="140" w:type="dxa"/>
            <w:vAlign w:val="bottom"/>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(103)</w:t>
            </w:r>
          </w:p>
        </w:tc>
        <w:tc>
          <w:tcPr>
            <w:tcW w:w="120" w:type="dxa"/>
            <w:vAlign w:val="bottom"/>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Income (loss) before provision for income tax increased $2.6 billion ($1.7 billion, net of income tax), primarily due to favorable results from</w:t>
      </w:r>
      <w:r>
        <w:rPr>
          <w:rFonts w:ascii="Arial" w:cs="Arial" w:eastAsia="Arial" w:hAnsi="Arial"/>
          <w:sz w:val="18"/>
          <w:szCs w:val="18"/>
          <w:i w:val="1"/>
          <w:iCs w:val="1"/>
          <w:color w:val="auto"/>
        </w:rPr>
        <w:t xml:space="preserve"> </w:t>
      </w:r>
      <w:r>
        <w:rPr>
          <w:rFonts w:ascii="Arial" w:cs="Arial" w:eastAsia="Arial" w:hAnsi="Arial"/>
          <w:sz w:val="18"/>
          <w:szCs w:val="18"/>
          <w:color w:val="auto"/>
        </w:rPr>
        <w:t>GMLB Riders and higher operating earnings. Excluding the impact from the charge recognized in the prior period related to the annual actuarial assumption review, income (loss) before provision for income tax and net income (loss) were essentially unchanged.</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GMLB Riders increased income (loss) before provision for income tax by $2.1 billion ($1.4 billion, net of income tax),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impact from the charge recognized in the prior period as a result of changes to policyholder behavior assumptions in connection with the annual actuarial assumption review as well as favorable impacts to our embedded derivative liabilities from equity and interest rate markets in the current period. These favorable impacts were partially offset by unfavorable impacts from the current period market factors on the related hedges as well as higher DAC amortization. For a detailed discussion of the GMLB Riders see “ Segments and Corporate &amp; Other Results — GMLB Riders — Three Months Ended June 30, 2017 Compared with the Three Months Ended June 30, 2016.”</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our other derivative instruments increased income (loss) before provision for income tax by</w:t>
      </w:r>
      <w:r>
        <w:rPr>
          <w:rFonts w:ascii="Arial" w:cs="Arial" w:eastAsia="Arial" w:hAnsi="Arial"/>
          <w:sz w:val="18"/>
          <w:szCs w:val="18"/>
          <w:i w:val="1"/>
          <w:iCs w:val="1"/>
          <w:color w:val="auto"/>
        </w:rPr>
        <w:t xml:space="preserve"> </w:t>
      </w:r>
      <w:r>
        <w:rPr>
          <w:rFonts w:ascii="Arial" w:cs="Arial" w:eastAsia="Arial" w:hAnsi="Arial"/>
          <w:sz w:val="18"/>
          <w:szCs w:val="18"/>
          <w:color w:val="auto"/>
        </w:rPr>
        <w:t>$71 million ($46 million, net of income tax).</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increased income (loss) before provision for income tax by $134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($87 million, net of income tax), primarily due to favorable changes from the impact of the current period decline in interest rates on the fair value of interest rate swaps that are hedging our ULSG liabilities, which were not in place in the prior period. This favorable change was partially offset by unfavorable changes in our foreign currency swaps due to the U.S. dollar weakening against key foreign currencies in the current period, while mostly having strengthened in the prior period.</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Unfavorable changes in the fair value of embedded derivatives decreased income (loss) before provision for income tax by $64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($42 million, net of income tax), primarily due to the unfavorable impact from an increase in underlying equity index levels on our index-linked annuity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decreased income (loss) before provision for income tax by $20 million ($13 million,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primarily due to gains on sales of fixed maturity securities recognized in the prior period.</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June 30, 2017 was $75 million, or 23% of income (loss) before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income tax, compared to an income tax benefit of $817 million, or 36% of income (loss) before provision for income tax, for the three months ended June 30, 2016. Our effective tax rates in both periods differ from the U.S. statutory rate of 35% primarily due to the impacts of the dividend received deductions and utilization of tax credits. The effect of our tax differences on our actual tax provision was relatively unchanged but the effective tax rate varies significantly, when expressed as a percentage, primarily due to the significant change in income (loss) before provision for income tax in the current period when compared to the prior period.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52" w:right="239" w:bottom="1440" w:gutter="0" w:footer="0" w:header="0"/>
        </w:sectPr>
      </w:pPr>
    </w:p>
    <w:bookmarkStart w:id="86" w:name="page87"/>
    <w:bookmarkEnd w:id="86"/>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Earnings. </w:t>
      </w:r>
      <w:r>
        <w:rPr>
          <w:rFonts w:ascii="Arial" w:cs="Arial" w:eastAsia="Arial" w:hAnsi="Arial"/>
          <w:sz w:val="18"/>
          <w:szCs w:val="18"/>
          <w:color w:val="auto"/>
        </w:rPr>
        <w:t>Operating earnings before provision for income tax increased $357 million ($245 million, net of income tax)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compared to the prior period. Operating earnings is discussed in greater detail below.</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Income (loss) before provision for income tax increased $1.4 billion ($913 million, net of income tax), primarily due to favorable results from</w:t>
      </w:r>
      <w:r>
        <w:rPr>
          <w:rFonts w:ascii="Arial" w:cs="Arial" w:eastAsia="Arial" w:hAnsi="Arial"/>
          <w:sz w:val="18"/>
          <w:szCs w:val="18"/>
          <w:i w:val="1"/>
          <w:iCs w:val="1"/>
          <w:color w:val="auto"/>
        </w:rPr>
        <w:t xml:space="preserve"> </w:t>
      </w:r>
      <w:r>
        <w:rPr>
          <w:rFonts w:ascii="Arial" w:cs="Arial" w:eastAsia="Arial" w:hAnsi="Arial"/>
          <w:sz w:val="18"/>
          <w:szCs w:val="18"/>
          <w:color w:val="auto"/>
        </w:rPr>
        <w:t>GMLB Riders and higher operating earnings, partially offset by unfavorable changes in our equity index-linked embedded derivatives. Excluding the impact from the charge recognized in the prior period related to the annual actuarial assumption review, income (loss) before provision for income tax decreased $1.2 billion ($757 million, net of income tax).</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GMLB Riders increased income (loss) before provision for income tax by $1.3 billion ($859 million, net of income tax),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impact from the charge recognized in the prior period as a result of changes to policyholder behavior assumptions in connection with the annual actuarial assumption review as well as favorable impacts of equity and interest rate markets in the current period on our embedded derivative liabilities. These favorable impacts were partially offset by unfavorable impacts from the current period market factors on the related hedges as well as higher DAC amortization. For a detailed discussion of the GMLB Riders see “Segments and Corporate &amp; Other Results — GMLB Riders — Six Months Ended June 30, 2017 Compared with the Six Months Ended June 30, 2016.”</w:t>
      </w:r>
    </w:p>
    <w:p>
      <w:pPr>
        <w:spacing w:after="0" w:line="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our other derivative instruments decreased income (loss) before provision for income tax by</w:t>
      </w:r>
      <w:r>
        <w:rPr>
          <w:rFonts w:ascii="Arial" w:cs="Arial" w:eastAsia="Arial" w:hAnsi="Arial"/>
          <w:sz w:val="18"/>
          <w:szCs w:val="18"/>
          <w:i w:val="1"/>
          <w:iCs w:val="1"/>
          <w:color w:val="auto"/>
        </w:rPr>
        <w:t xml:space="preserve"> </w:t>
      </w:r>
      <w:r>
        <w:rPr>
          <w:rFonts w:ascii="Arial" w:cs="Arial" w:eastAsia="Arial" w:hAnsi="Arial"/>
          <w:sz w:val="18"/>
          <w:szCs w:val="18"/>
          <w:color w:val="auto"/>
        </w:rPr>
        <w:t>$227 million ($148 million, net of income tax).</w:t>
      </w:r>
    </w:p>
    <w:p>
      <w:pPr>
        <w:spacing w:after="0" w:line="62"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i w:val="1"/>
          <w:iCs w:val="1"/>
          <w:color w:val="auto"/>
        </w:rPr>
        <w:t xml:space="preserve">Freestanding Derivatives. </w:t>
      </w:r>
      <w:r>
        <w:rPr>
          <w:rFonts w:ascii="Arial" w:cs="Arial" w:eastAsia="Arial" w:hAnsi="Arial"/>
          <w:sz w:val="17"/>
          <w:szCs w:val="17"/>
          <w:color w:val="auto"/>
        </w:rPr>
        <w:t>Changes in the fair value of freestanding derivatives decreased income (loss) before provision for income tax by $24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($16 million, net of income tax), primarily due to unfavorable changes in our foreign currency swaps resulting from the U.S. dollar weakening against key foreign currencies more in the current period than in the prior period. This decrease was partially offset by net favorable changes mostly from the impact of the current period decline in interest rates on the fair value of interest rate swaps that are hedging our ULSG liabilities, which were not in place in the prior period, and, to a lesser extent, favorable impacts on credit derivatives from a tightening in credit spreads.</w:t>
      </w:r>
    </w:p>
    <w:p>
      <w:pPr>
        <w:spacing w:after="0" w:line="6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Unfavorable changes in the fair value of embedded derivatives decreased income (loss) before provision for income tax by</w:t>
      </w:r>
      <w:r>
        <w:rPr>
          <w:rFonts w:ascii="Arial" w:cs="Arial" w:eastAsia="Arial" w:hAnsi="Arial"/>
          <w:sz w:val="18"/>
          <w:szCs w:val="18"/>
          <w:i w:val="1"/>
          <w:iCs w:val="1"/>
          <w:color w:val="auto"/>
        </w:rPr>
        <w:t xml:space="preserve"> </w:t>
      </w:r>
      <w:r>
        <w:rPr>
          <w:rFonts w:ascii="Arial" w:cs="Arial" w:eastAsia="Arial" w:hAnsi="Arial"/>
          <w:sz w:val="18"/>
          <w:szCs w:val="18"/>
          <w:color w:val="auto"/>
        </w:rPr>
        <w:t>$203 million ($132 million, net of income tax), primarily due to the unfavorable impact from an increase in underlying equity index levels on our index-linked annuity liabilities.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decreased income (loss) before provision for income tax by $14 million ($9 million,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driven by higher losses from sales of fixed maturity securities and net foreign currency losses in the current period, compared to gains in the prior period, partially offset by lower impairments of fixed maturity securities.</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Other Adjustments. </w:t>
      </w:r>
      <w:r>
        <w:rPr>
          <w:rFonts w:ascii="Arial" w:cs="Arial" w:eastAsia="Arial" w:hAnsi="Arial"/>
          <w:sz w:val="16"/>
          <w:szCs w:val="16"/>
          <w:color w:val="auto"/>
        </w:rPr>
        <w:t>Other adjustments to determine operating earnings increased income (loss) before provision for income tax by $21 million ($14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of income tax), primarily due to the pass-through adjustment related to participating general account products in our run-off business resulting from a decrease in the underlying general account asset values due to interest rates decreasing less in the current period than in the prior period.</w:t>
      </w:r>
    </w:p>
    <w:p>
      <w:pPr>
        <w:spacing w:after="0" w:line="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benefit for the six months ended June 30, 2017 was $166 million, or 62% of income (loss) before provision for</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compared to $660 million, or 39% of income (loss) before provision for income tax, for the six months ended June 30, 2016. Our effective tax rates in both periods differ from the U.S. statutory rate of 35% primarily due to the impacts of the dividend received deductions and utilization of tax credits. The effect of our tax differences on our actual tax provision was relatively unchanged but the effective tax rate varies significantly, when expressed as a percentage, primarily due to the significant change in income (loss) before provision for income tax in the current period when compared to the prior period.</w:t>
      </w:r>
    </w:p>
    <w:p>
      <w:pPr>
        <w:spacing w:after="0" w:line="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Operating Earnings. </w:t>
      </w:r>
      <w:r>
        <w:rPr>
          <w:rFonts w:ascii="Arial" w:cs="Arial" w:eastAsia="Arial" w:hAnsi="Arial"/>
          <w:sz w:val="18"/>
          <w:szCs w:val="18"/>
          <w:color w:val="auto"/>
        </w:rPr>
        <w:t>Operating earnings before provision for income tax increased $289 million ($185 million, net of income tax)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compared to the prior period. Operating earnings is discussed in greater detail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2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Reconciliation of net income (loss) to operating earnings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June 30,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18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158" w:lineRule="exact"/>
        <w:rPr>
          <w:sz w:val="20"/>
          <w:szCs w:val="20"/>
          <w:color w:val="auto"/>
        </w:rPr>
      </w:pPr>
    </w:p>
    <w:p>
      <w:pPr>
        <w:ind w:left="500" w:hanging="424"/>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definitions of operating revenues and operating expenses under “— Non-GAAP and Other Financial Disclosures” for the components of such adjustments.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27" w:right="239" w:bottom="1440" w:gutter="0" w:footer="0" w:header="0"/>
        </w:sectPr>
      </w:pPr>
    </w:p>
    <w:bookmarkStart w:id="88" w:name="page89"/>
    <w:bookmarkEnd w:id="88"/>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Six Months Ended June 30,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51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4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212" w:lineRule="exact"/>
        <w:rPr>
          <w:sz w:val="20"/>
          <w:szCs w:val="20"/>
          <w:color w:val="auto"/>
        </w:rPr>
      </w:pPr>
    </w:p>
    <w:p>
      <w:pPr>
        <w:ind w:left="500" w:hanging="424"/>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 definitions of operating revenues and operating expenses under “— Non-GAAP and Other Financial Disclosures” for the components of such adjustments.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2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Combined Results for the Three Months and Six Months Ended June 30, 2017 and 2016 — Operating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w w:val="95"/>
              </w:rPr>
              <w:t>Three Months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left="682"/>
              <w:spacing w:after="0"/>
              <w:rPr>
                <w:sz w:val="20"/>
                <w:szCs w:val="20"/>
                <w:color w:val="auto"/>
              </w:rPr>
            </w:pPr>
            <w:r>
              <w:rPr>
                <w:rFonts w:ascii="Arial" w:cs="Arial" w:eastAsia="Arial" w:hAnsi="Arial"/>
                <w:sz w:val="14"/>
                <w:szCs w:val="14"/>
                <w:b w:val="1"/>
                <w:bCs w:val="1"/>
                <w:color w:val="auto"/>
                <w:w w:val="93"/>
              </w:rPr>
              <w:t>Six Months</w:t>
            </w:r>
          </w:p>
        </w:tc>
        <w:tc>
          <w:tcPr>
            <w:tcW w:w="10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center"/>
              <w:ind w:left="622"/>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gridSpan w:val="3"/>
          </w:tcPr>
          <w:p>
            <w:pPr>
              <w:jc w:val="center"/>
              <w:ind w:left="622"/>
              <w:spacing w:after="0" w:line="149" w:lineRule="exact"/>
              <w:rPr>
                <w:sz w:val="20"/>
                <w:szCs w:val="20"/>
                <w:color w:val="auto"/>
              </w:rPr>
            </w:pPr>
            <w:r>
              <w:rPr>
                <w:rFonts w:ascii="Arial" w:cs="Arial" w:eastAsia="Arial" w:hAnsi="Arial"/>
                <w:sz w:val="14"/>
                <w:szCs w:val="14"/>
                <w:b w:val="1"/>
                <w:bCs w:val="1"/>
                <w:color w:val="auto"/>
                <w:w w:val="93"/>
              </w:rPr>
              <w:t>Ended</w:t>
            </w:r>
          </w:p>
        </w:tc>
        <w:tc>
          <w:tcPr>
            <w:tcW w:w="106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189"/>
        </w:trPr>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88"/>
              </w:rPr>
              <w:t>Combined</w:t>
            </w: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2,177</w:t>
            </w: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6"/>
                <w:szCs w:val="16"/>
                <w:color w:val="auto"/>
              </w:rPr>
              <w:t>Net investment spread</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733</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6"/>
                <w:szCs w:val="16"/>
                <w:color w:val="auto"/>
              </w:rPr>
              <w:t>Amortization of DAC and VOBA</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17"/>
        </w:trPr>
        <w:tc>
          <w:tcPr>
            <w:tcW w:w="4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Operating earnings before provision for income tax</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529</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r>
      <w:tr>
        <w:trPr>
          <w:trHeight w:val="217"/>
        </w:trPr>
        <w:tc>
          <w:tcPr>
            <w:tcW w:w="4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Operating earnings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419</w:t>
            </w: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Operating earnings increased $245 million, primarily due to favorable impacts from charges recorded in the prior period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ULSG Model Change and the related loss recognition, net of additional current period charges recognized in our Run-off segment, as well as the favorable impact from charges recorded in the prior period related to the annual actuarial assumption review in our Annuities segment. These favorable impacts were partially offset by lower fee income, higher expenses and, to a lesser extent, lower net investment spread and unfavorable underwriting experience. Excluding the impact from the charge recognized in the prior period related to the annual actuarial assumption review, operating earnings increased $105.</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Operating earnings decreased by $128 million, primarily due to a decrease in our Annuities segment, partially offset by favorable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non-recurring items in our Run-off segment. The decrease in Annuities resulted from the prior period impacts of the SPDA Recaptures, which was partially offset by higher asset-based fees. A portion of the asset-based fee increase resulted from fees collected on behalf of an affiliate which are offset in other expenses, net of DAC capitalization.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operating earnings by $46 million, primarily due to lower net investment income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segment. This decline was driven by capital management actions, which resulted in the termination of interest rate swaps and a reduction in the size of our securities lending program, combined with a lower invested asset base and lower yields on the reinvestment of maturing investments. These decreases were partially offset by higher returns on our other limited partnership interests.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Insurance-Related Activities</w:t>
      </w:r>
      <w:r>
        <w:rPr>
          <w:rFonts w:ascii="Arial" w:cs="Arial" w:eastAsia="Arial" w:hAnsi="Arial"/>
          <w:sz w:val="17"/>
          <w:szCs w:val="17"/>
          <w:color w:val="auto"/>
        </w:rPr>
        <w:t>. Operating earnings increased by $225 million from insurance-related activities, primarily due to charges recognized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period related to the ULSG Model Change and related loss recognition in our Run-off segment and the annual actuarial assumption review in our Annuities segment. These favorable impacts were partially offset by unfavorable underwriting experience in our Run-off and Life segments. Excluding the impact of the annual actuarial assumption review, insurance-related activities increased operating income by $133 million.</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$250 million, primarily due to the charge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prior period from loss recognition triggered by the ULSG Model Change. Excluding the impact of the annual actuarial assumption review, DAC and VOBA amortization increased operating earnings by $202 million.</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Other Expenses, Net of DAC Capitalization</w:t>
      </w:r>
      <w:r>
        <w:rPr>
          <w:rFonts w:ascii="Arial" w:cs="Arial" w:eastAsia="Arial" w:hAnsi="Arial"/>
          <w:sz w:val="17"/>
          <w:szCs w:val="17"/>
          <w:color w:val="auto"/>
        </w:rPr>
        <w:t>. Higher expenses decreased operating earnings by $69 million, primarily due to system implementation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branding costs in preparation for the Separation, which were partially offset by lower net operational expenses as a result of the U.S. Retail Advisor Force Divestiture. In addition, a portion of the expense increase resulted from the asset-based fees remitted to an affiliate, which is offset in fee income.</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Actuarial Assumption Review. </w:t>
      </w:r>
      <w:r>
        <w:rPr>
          <w:rFonts w:ascii="Arial" w:cs="Arial" w:eastAsia="Arial" w:hAnsi="Arial"/>
          <w:sz w:val="16"/>
          <w:szCs w:val="16"/>
          <w:color w:val="auto"/>
        </w:rPr>
        <w:t>The charge recognized in the prior period as a result of the annual actuarial assumption review, which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discussed above, had a favorable impact to current period operating earnings of $140 million, when compared to the prior period, primarily due to:</w:t>
      </w:r>
    </w:p>
    <w:p>
      <w:pPr>
        <w:spacing w:after="0" w:line="16" w:lineRule="exact"/>
        <w:rPr>
          <w:sz w:val="20"/>
          <w:szCs w:val="20"/>
          <w:color w:val="auto"/>
        </w:rPr>
      </w:pPr>
    </w:p>
    <w:p>
      <w:pPr>
        <w:ind w:left="5620" w:right="2440" w:hanging="4964"/>
        <w:spacing w:after="0" w:line="559" w:lineRule="auto"/>
        <w:tabs>
          <w:tab w:leader="none" w:pos="9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lower policyholder benefits and claims of $92 million from changes in policyholder behavior assumptions; and 89</w:t>
      </w:r>
    </w:p>
    <w:p>
      <w:pPr>
        <w:sectPr>
          <w:pgSz w:w="11900" w:h="16838" w:orient="portrait"/>
          <w:cols w:equalWidth="0" w:num="1">
            <w:col w:w="11420"/>
          </w:cols>
          <w:pgMar w:left="240" w:top="827" w:right="239" w:bottom="1440" w:gutter="0" w:footer="0" w:header="0"/>
        </w:sectPr>
      </w:pPr>
    </w:p>
    <w:bookmarkStart w:id="90" w:name="page91"/>
    <w:bookmarkEnd w:id="90"/>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lower DAC amortization of $48 million.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June 30, 2017 was $102 million, or 24% of operating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an income tax benefit of $10 million, or 14% of operating earnings before provision for income tax, for the three months ended June 30, 2016. Our effective tax rates in both periods differ from the U.S. statutory rate of 35% primarily due to the dividend received deductions and utilization of tax credits.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Operating earnings increased $185 million, primarily due to net favorable impacts from charges recorded in the prior period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ULSG Model Change and the related loss recognition, net of additional current period charges recognized in our Run-off segment, as well as the favorable impact from charges recorded in the prior period related to the annual actuarial assumption review in our Annuities segment. These favorable impacts were partially offset by lower fee income, higher expenses and unfavorable underwriting experience. Excluding the favorable impact from the charge recognized in the prior period related to the annual actuarial assumption review, operating earnings increased $45.</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Operating earnings decreased by $114 million, primarily due to the decrease in our Annuities segment, partially offset by favorable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non-recurring items in our Run-off segment. The decrease in Annuities resulted from the prior period impacts of the SPDA Recaptures, which was partially offset by higher asset-based fees. A portion of the asset-based fee increase resulted from fees collected on behalf of an affiliate which are offset in other expenses, net of DAC capitalization.</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Net Investment Spread. </w:t>
      </w:r>
      <w:r>
        <w:rPr>
          <w:rFonts w:ascii="Arial" w:cs="Arial" w:eastAsia="Arial" w:hAnsi="Arial"/>
          <w:sz w:val="16"/>
          <w:szCs w:val="16"/>
          <w:color w:val="auto"/>
        </w:rPr>
        <w:t>Net investment spread decreased operating earnings by $31 million, primarily due to the elimination of interest credited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reinsurance receivables related to the SPDA Recaptures in our Annuities segment. While lower interest credited to policyholders was favorable to operating earnings, this increase was mostly offset by lower net investment income which is discussed in more detail in the segment discussions that follow.</w:t>
      </w:r>
    </w:p>
    <w:p>
      <w:pPr>
        <w:spacing w:after="0" w:line="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Insurance-Related Activities</w:t>
      </w:r>
      <w:r>
        <w:rPr>
          <w:rFonts w:ascii="Arial" w:cs="Arial" w:eastAsia="Arial" w:hAnsi="Arial"/>
          <w:sz w:val="17"/>
          <w:szCs w:val="17"/>
          <w:color w:val="auto"/>
        </w:rPr>
        <w:t>. Operating earnings increased by $161 million from insurance-related activities, primarily due to charges recognized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period related to the ULSG Model Change and related loss recognition in our Run-off segment and the annual actuarial assumption review in our Annuities segment. These favorable impacts were partially offset by unfavorable underwriting experience in our Run-off and Life segments. Excluding the impact of the annual actuarial assumption review, insurance-related activities increased operating income by $69 million.</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$257 million, primarily due to the charge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prior period from loss recognition triggered by the ULSG Model Change. Excluding the impact of the annual actuarial assumption review, DAC and VOBA amortization increased operating earnings by $209 million.</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Other Expenses, Net of DAC Capitalization</w:t>
      </w:r>
      <w:r>
        <w:rPr>
          <w:rFonts w:ascii="Arial" w:cs="Arial" w:eastAsia="Arial" w:hAnsi="Arial"/>
          <w:sz w:val="17"/>
          <w:szCs w:val="17"/>
          <w:color w:val="auto"/>
        </w:rPr>
        <w:t>. Higher expenses decreased operating earnings by $85 million, primarily due to system implementation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branding costs in preparation for the Separation, which were partially offset by lower net operational expenses as a result of the U.S. Retail Advisor Force Divestiture In addition, a portion of the increase resulted from the asset-based fees remitted to an affiliate, which is offset in fee income.</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Actuarial Assumption Review. </w:t>
      </w:r>
      <w:r>
        <w:rPr>
          <w:rFonts w:ascii="Arial" w:cs="Arial" w:eastAsia="Arial" w:hAnsi="Arial"/>
          <w:sz w:val="16"/>
          <w:szCs w:val="16"/>
          <w:color w:val="auto"/>
        </w:rPr>
        <w:t>The charge recognized in the prior period as a result of the annual actuarial assumption review, which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discussed above, had a favorable impact to current period operating earnings of $140 million, when compared to the prior period, primarily due to:</w:t>
      </w:r>
    </w:p>
    <w:p>
      <w:pPr>
        <w:spacing w:after="0" w:line="16"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lower policyholder benefits and claims of $92 million from changes in policyholder behavior assumptions;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lower DAC amortization of $48 million.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six months ended June 30, 2017 was $214 million, or 26% of operating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$110 million, or 21% of operating earnings before provision for income tax, for the six months ended June 30, 2016. Our effective tax rates in both periods differ from the U.S. statutory rate of 35% primarily due to the dividend received deductions and utilization of tax credits.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27" w:right="239" w:bottom="1440" w:gutter="0" w:footer="0" w:header="0"/>
        </w:sectPr>
      </w:pPr>
    </w:p>
    <w:bookmarkStart w:id="91" w:name="page92"/>
    <w:bookmarkEnd w:id="91"/>
    <w:p>
      <w:pPr>
        <w:ind w:right="3120"/>
        <w:spacing w:after="0" w:line="375" w:lineRule="auto"/>
        <w:rPr>
          <w:sz w:val="20"/>
          <w:szCs w:val="20"/>
          <w:color w:val="auto"/>
        </w:rPr>
      </w:pPr>
      <w:r>
        <w:rPr>
          <w:rFonts w:ascii="Arial" w:cs="Arial" w:eastAsia="Arial" w:hAnsi="Arial"/>
          <w:sz w:val="18"/>
          <w:szCs w:val="18"/>
          <w:b w:val="1"/>
          <w:bCs w:val="1"/>
          <w:i w:val="1"/>
          <w:iCs w:val="1"/>
          <w:color w:val="auto"/>
        </w:rPr>
        <w:t>Segments and Corporate &amp; Other Results for the Three Months and Six Months Ended June 30, 2017 and 2016 Annuities</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While sales of our index-linked annuities increased, overall annuity sales decreased 23% for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This decline was primarily due to the suspension of sales by Fidelity, the sale of MPCG to MassMutual and the discontinuance of sales of GMIB riders on our variable annuity products, all of which occurred in 2016.</w:t>
      </w:r>
    </w:p>
    <w:p>
      <w:pPr>
        <w:spacing w:after="0" w:line="6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separate account balances increased in the current period, compared to the prior period, due to favorable equity market performance, which more than offset the impact of continued negative net flows. We experienced positive net flows in the general account in both periods.</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60"/>
        <w:spacing w:after="0"/>
        <w:rPr>
          <w:sz w:val="20"/>
          <w:szCs w:val="20"/>
          <w:color w:val="auto"/>
        </w:rPr>
      </w:pPr>
      <w:r>
        <w:rPr>
          <w:rFonts w:ascii="Arial" w:cs="Arial" w:eastAsia="Arial" w:hAnsi="Arial"/>
          <w:sz w:val="18"/>
          <w:szCs w:val="18"/>
          <w:b w:val="1"/>
          <w:bCs w:val="1"/>
          <w:u w:val="single" w:color="auto"/>
          <w:color w:val="auto"/>
        </w:rPr>
        <w:t>Annuities</w:t>
      </w:r>
    </w:p>
    <w:p>
      <w:pPr>
        <w:spacing w:after="0" w:line="72" w:lineRule="exact"/>
        <w:rPr>
          <w:sz w:val="20"/>
          <w:szCs w:val="20"/>
          <w:color w:val="auto"/>
        </w:rPr>
      </w:pPr>
    </w:p>
    <w:p>
      <w:pPr>
        <w:ind w:left="1160"/>
        <w:spacing w:after="0"/>
        <w:tabs>
          <w:tab w:leader="none" w:pos="4680" w:val="left"/>
        </w:tabs>
        <w:rPr>
          <w:sz w:val="20"/>
          <w:szCs w:val="20"/>
          <w:color w:val="auto"/>
        </w:rPr>
      </w:pPr>
      <w:r>
        <w:rPr>
          <w:rFonts w:ascii="Arial" w:cs="Arial" w:eastAsia="Arial" w:hAnsi="Arial"/>
          <w:sz w:val="16"/>
          <w:szCs w:val="16"/>
          <w:color w:val="auto"/>
        </w:rPr>
        <w:t>Fee income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Operating earnings before provision for income tax</w:t>
      </w:r>
    </w:p>
    <w:p>
      <w:pPr>
        <w:spacing w:after="0" w:line="9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Provisions for income tax expense (benefit)</w:t>
      </w:r>
    </w:p>
    <w:p>
      <w:pPr>
        <w:spacing w:after="0" w:line="86" w:lineRule="exact"/>
        <w:rPr>
          <w:sz w:val="20"/>
          <w:szCs w:val="20"/>
          <w:color w:val="auto"/>
        </w:rPr>
      </w:pPr>
    </w:p>
    <w:p>
      <w:pPr>
        <w:ind w:left="1320"/>
        <w:spacing w:after="0"/>
        <w:tabs>
          <w:tab w:leader="none" w:pos="4680" w:val="left"/>
        </w:tabs>
        <w:rPr>
          <w:sz w:val="20"/>
          <w:szCs w:val="20"/>
          <w:color w:val="auto"/>
        </w:rPr>
      </w:pPr>
      <w:r>
        <w:rPr>
          <w:rFonts w:ascii="Arial" w:cs="Arial" w:eastAsia="Arial" w:hAnsi="Arial"/>
          <w:sz w:val="16"/>
          <w:szCs w:val="16"/>
          <w:color w:val="auto"/>
        </w:rPr>
        <w:t>Operating earnings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3"/>
              </w:rPr>
              <w:t>Three Months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3"/>
              </w:rPr>
              <w:t>Six Months</w:t>
            </w:r>
          </w:p>
        </w:tc>
        <w:tc>
          <w:tcPr>
            <w:tcW w:w="900" w:type="dxa"/>
            <w:vAlign w:val="bottom"/>
          </w:tcPr>
          <w:p>
            <w:pPr>
              <w:spacing w:after="0"/>
              <w:rPr>
                <w:sz w:val="14"/>
                <w:szCs w:val="14"/>
                <w:color w:val="auto"/>
              </w:rPr>
            </w:pPr>
          </w:p>
        </w:tc>
      </w:tr>
      <w:tr>
        <w:trPr>
          <w:trHeight w:val="149"/>
        </w:trPr>
        <w:tc>
          <w:tcPr>
            <w:tcW w:w="1360" w:type="dxa"/>
            <w:vAlign w:val="bottom"/>
            <w:gridSpan w:val="2"/>
          </w:tcPr>
          <w:p>
            <w:pPr>
              <w:jc w:val="center"/>
              <w:ind w:left="282"/>
              <w:spacing w:after="0" w:line="149" w:lineRule="exact"/>
              <w:rPr>
                <w:sz w:val="20"/>
                <w:szCs w:val="20"/>
                <w:color w:val="auto"/>
              </w:rPr>
            </w:pPr>
            <w:r>
              <w:rPr>
                <w:rFonts w:ascii="Arial" w:cs="Arial" w:eastAsia="Arial" w:hAnsi="Arial"/>
                <w:sz w:val="14"/>
                <w:szCs w:val="14"/>
                <w:b w:val="1"/>
                <w:bCs w:val="1"/>
                <w:color w:val="auto"/>
                <w:w w:val="93"/>
              </w:rPr>
              <w:t>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502"/>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r>
      <w:tr>
        <w:trPr>
          <w:trHeight w:val="192"/>
        </w:trPr>
        <w:tc>
          <w:tcPr>
            <w:tcW w:w="136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920" w:type="dxa"/>
            <w:vAlign w:val="bottom"/>
          </w:tcPr>
          <w:p>
            <w:pPr>
              <w:jc w:val="right"/>
              <w:ind w:right="562"/>
              <w:spacing w:after="0"/>
              <w:rPr>
                <w:sz w:val="20"/>
                <w:szCs w:val="20"/>
                <w:color w:val="auto"/>
              </w:rPr>
            </w:pPr>
            <w:r>
              <w:rPr>
                <w:rFonts w:ascii="Arial" w:cs="Arial" w:eastAsia="Arial" w:hAnsi="Arial"/>
                <w:sz w:val="14"/>
                <w:szCs w:val="14"/>
                <w:b w:val="1"/>
                <w:bCs w:val="1"/>
                <w:color w:val="auto"/>
                <w:w w:val="83"/>
              </w:rPr>
              <w:t>2017</w:t>
            </w:r>
          </w:p>
        </w:tc>
        <w:tc>
          <w:tcPr>
            <w:tcW w:w="440" w:type="dxa"/>
            <w:vAlign w:val="bottom"/>
          </w:tcPr>
          <w:p>
            <w:pPr>
              <w:spacing w:after="0"/>
              <w:rPr>
                <w:sz w:val="22"/>
                <w:szCs w:val="22"/>
                <w:color w:val="auto"/>
              </w:rPr>
            </w:pPr>
          </w:p>
        </w:tc>
        <w:tc>
          <w:tcPr>
            <w:tcW w:w="880" w:type="dxa"/>
            <w:vAlign w:val="bottom"/>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r>
      <w:tr>
        <w:trPr>
          <w:trHeight w:val="244"/>
        </w:trPr>
        <w:tc>
          <w:tcPr>
            <w:tcW w:w="136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1"/>
                <w:szCs w:val="21"/>
                <w:color w:val="auto"/>
              </w:rPr>
            </w:pPr>
          </w:p>
        </w:tc>
      </w:tr>
      <w:tr>
        <w:trPr>
          <w:trHeight w:val="249"/>
        </w:trPr>
        <w:tc>
          <w:tcPr>
            <w:tcW w:w="920" w:type="dxa"/>
            <w:vAlign w:val="bottom"/>
          </w:tcPr>
          <w:p>
            <w:pPr>
              <w:jc w:val="right"/>
              <w:ind w:right="122"/>
              <w:spacing w:after="0"/>
              <w:rPr>
                <w:sz w:val="20"/>
                <w:szCs w:val="20"/>
                <w:color w:val="auto"/>
              </w:rPr>
            </w:pPr>
            <w:r>
              <w:rPr>
                <w:rFonts w:ascii="Arial" w:cs="Arial" w:eastAsia="Arial" w:hAnsi="Arial"/>
                <w:sz w:val="16"/>
                <w:szCs w:val="16"/>
                <w:color w:val="auto"/>
              </w:rPr>
              <w:t>757</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1,687</w:t>
            </w:r>
          </w:p>
        </w:tc>
      </w:tr>
      <w:tr>
        <w:trPr>
          <w:trHeight w:val="270"/>
        </w:trPr>
        <w:tc>
          <w:tcPr>
            <w:tcW w:w="920" w:type="dxa"/>
            <w:vAlign w:val="bottom"/>
          </w:tcPr>
          <w:p>
            <w:pPr>
              <w:jc w:val="right"/>
              <w:ind w:right="122"/>
              <w:spacing w:after="0"/>
              <w:rPr>
                <w:sz w:val="20"/>
                <w:szCs w:val="20"/>
                <w:color w:val="auto"/>
              </w:rPr>
            </w:pPr>
            <w:r>
              <w:rPr>
                <w:rFonts w:ascii="Arial" w:cs="Arial" w:eastAsia="Arial" w:hAnsi="Arial"/>
                <w:sz w:val="16"/>
                <w:szCs w:val="16"/>
                <w:color w:val="auto"/>
              </w:rPr>
              <w:t>116</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70"/>
        </w:trPr>
        <w:tc>
          <w:tcPr>
            <w:tcW w:w="920" w:type="dxa"/>
            <w:vAlign w:val="bottom"/>
          </w:tcPr>
          <w:p>
            <w:pPr>
              <w:jc w:val="right"/>
              <w:ind w:right="62"/>
              <w:spacing w:after="0"/>
              <w:rPr>
                <w:sz w:val="20"/>
                <w:szCs w:val="20"/>
                <w:color w:val="auto"/>
              </w:rPr>
            </w:pPr>
            <w:r>
              <w:rPr>
                <w:rFonts w:ascii="Arial" w:cs="Arial" w:eastAsia="Arial" w:hAnsi="Arial"/>
                <w:sz w:val="16"/>
                <w:szCs w:val="16"/>
                <w:color w:val="auto"/>
              </w:rPr>
              <w:t>(62)</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70"/>
        </w:trPr>
        <w:tc>
          <w:tcPr>
            <w:tcW w:w="920" w:type="dxa"/>
            <w:vAlign w:val="bottom"/>
          </w:tcPr>
          <w:p>
            <w:pPr>
              <w:jc w:val="right"/>
              <w:ind w:right="62"/>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70"/>
        </w:trPr>
        <w:tc>
          <w:tcPr>
            <w:tcW w:w="920" w:type="dxa"/>
            <w:vAlign w:val="bottom"/>
          </w:tcPr>
          <w:p>
            <w:pPr>
              <w:jc w:val="right"/>
              <w:ind w:right="62"/>
              <w:spacing w:after="0"/>
              <w:rPr>
                <w:sz w:val="20"/>
                <w:szCs w:val="20"/>
                <w:color w:val="auto"/>
              </w:rPr>
            </w:pPr>
            <w:r>
              <w:rPr>
                <w:rFonts w:ascii="Arial" w:cs="Arial" w:eastAsia="Arial" w:hAnsi="Arial"/>
                <w:sz w:val="16"/>
                <w:szCs w:val="16"/>
                <w:color w:val="auto"/>
              </w:rPr>
              <w:t>(386)</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33"/>
        </w:trPr>
        <w:tc>
          <w:tcPr>
            <w:tcW w:w="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jc w:val="right"/>
              <w:ind w:right="122"/>
              <w:spacing w:after="0"/>
              <w:rPr>
                <w:sz w:val="20"/>
                <w:szCs w:val="20"/>
                <w:color w:val="auto"/>
              </w:rPr>
            </w:pPr>
            <w:r>
              <w:rPr>
                <w:rFonts w:ascii="Arial" w:cs="Arial" w:eastAsia="Arial" w:hAnsi="Arial"/>
                <w:sz w:val="16"/>
                <w:szCs w:val="16"/>
                <w:color w:val="auto"/>
              </w:rPr>
              <w:t>313</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270"/>
        </w:trPr>
        <w:tc>
          <w:tcPr>
            <w:tcW w:w="920" w:type="dxa"/>
            <w:vAlign w:val="bottom"/>
          </w:tcPr>
          <w:p>
            <w:pPr>
              <w:jc w:val="right"/>
              <w:ind w:right="122"/>
              <w:spacing w:after="0"/>
              <w:rPr>
                <w:sz w:val="20"/>
                <w:szCs w:val="20"/>
                <w:color w:val="auto"/>
              </w:rPr>
            </w:pPr>
            <w:r>
              <w:rPr>
                <w:rFonts w:ascii="Arial" w:cs="Arial" w:eastAsia="Arial" w:hAnsi="Arial"/>
                <w:sz w:val="16"/>
                <w:szCs w:val="16"/>
                <w:color w:val="auto"/>
              </w:rPr>
              <w:t>87</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33"/>
        </w:trPr>
        <w:tc>
          <w:tcPr>
            <w:tcW w:w="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jc w:val="right"/>
              <w:ind w:right="122"/>
              <w:spacing w:after="0"/>
              <w:rPr>
                <w:sz w:val="20"/>
                <w:szCs w:val="20"/>
                <w:color w:val="auto"/>
              </w:rPr>
            </w:pPr>
            <w:r>
              <w:rPr>
                <w:rFonts w:ascii="Arial" w:cs="Arial" w:eastAsia="Arial" w:hAnsi="Arial"/>
                <w:sz w:val="16"/>
                <w:szCs w:val="16"/>
                <w:color w:val="auto"/>
              </w:rPr>
              <w:t>226</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33"/>
        </w:trPr>
        <w:tc>
          <w:tcPr>
            <w:tcW w:w="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-1397000</wp:posOffset>
            </wp:positionV>
            <wp:extent cx="58229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22950" cy="17145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-1054100</wp:posOffset>
            </wp:positionV>
            <wp:extent cx="58229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2950" cy="17145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-711200</wp:posOffset>
            </wp:positionV>
            <wp:extent cx="5822950" cy="7118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2950" cy="71183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-1568450</wp:posOffset>
            </wp:positionV>
            <wp:extent cx="17494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49425"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-1748790</wp:posOffset>
            </wp:positionV>
            <wp:extent cx="17494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420"/>
            <w:col w:w="6220"/>
          </w:cols>
          <w:pgMar w:left="240" w:top="827" w:right="239" w:bottom="1440" w:gutter="0" w:footer="0" w:header="0"/>
          <w:type w:val="continuous"/>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decreased $132 million, primarily due to lower fee income, higher expenses, and lower net investment spread,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favorable changes in insurance-related activities. Excluding the favorable impact from the charge recognized in the prior period related to the annual actuarial assumption review, operating earnings decreased $270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Lower fee income decreased operating earnings by $157 million, primarily due to:</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of $190 million due to benefit recorded in the prior period in connection with the SPDA Recaptures; partially offset by</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increase of $27 million from higher asset-based fees in our variable annuity business resulting from higher average separate account balances. A portion of this increase resulted from fees collected on behalf of an affiliate which are offset in other expenses, net of DAC capitalization.</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Lower net investment spread decreased operating earnings by $38 million, primarily due to lower net investment income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lower income on derivatives resulting from the termination of interest rate swaps as well as lower yields on fixed maturity securities and mortgage loans as proceeds from maturing investments were reinvested at rates lower than the portfolio average. These decreases were partially offset by the impact from an increase in the average invested asset base, primarily due to the SPDA Recaptures and positive net flows in the general account. In addition, segment net investment income decreased due to lower interest on allocated equity resulting from both a decrease in the interest credited rate and a decrease in the allocated equity base.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by $139 million, primarily due to:</w:t>
      </w:r>
    </w:p>
    <w:p>
      <w:pPr>
        <w:spacing w:after="0" w:line="117"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$97 million from lower guaranteed minimum death benefits (“GMDB”) costs resulting primarily from the charge related to the annual actuarial assumption review recognized in the prior period;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$23 million from a favorable change in the fair value of the underlying ceded separate account assets related to an affiliated reinsurance agreement for certain variable annuity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827" w:right="239" w:bottom="1440" w:gutter="0" w:footer="0" w:header="0"/>
          <w:type w:val="continuous"/>
        </w:sectPr>
      </w:pPr>
    </w:p>
    <w:bookmarkStart w:id="92" w:name="page93"/>
    <w:bookmarkEnd w:id="92"/>
    <w:p>
      <w:pPr>
        <w:ind w:left="500"/>
        <w:spacing w:after="0"/>
        <w:rPr>
          <w:sz w:val="20"/>
          <w:szCs w:val="20"/>
          <w:color w:val="auto"/>
        </w:rPr>
      </w:pPr>
      <w:r>
        <w:rPr>
          <w:rFonts w:ascii="Arial" w:cs="Arial" w:eastAsia="Arial" w:hAnsi="Arial"/>
          <w:sz w:val="18"/>
          <w:szCs w:val="18"/>
          <w:color w:val="auto"/>
        </w:rPr>
        <w:t>Excluding the impact of the annual actuarial assumption review, insurance-related activities increased operating income by $49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decreased operating earnings by $18 million, primarily due to:</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higher amortization of $56 million due to the recovery recorded in the prior period in connection with the SPDA Recaptures; partially offset by</w:t>
      </w:r>
    </w:p>
    <w:p>
      <w:pPr>
        <w:spacing w:after="0" w:line="128" w:lineRule="exact"/>
        <w:rPr>
          <w:rFonts w:ascii="Arial" w:cs="Arial" w:eastAsia="Arial" w:hAnsi="Arial"/>
          <w:sz w:val="17"/>
          <w:szCs w:val="17"/>
          <w:color w:val="auto"/>
        </w:rPr>
      </w:pPr>
    </w:p>
    <w:p>
      <w:pPr>
        <w:ind w:left="500" w:right="500" w:hanging="168"/>
        <w:spacing w:after="0" w:line="422" w:lineRule="auto"/>
        <w:tabs>
          <w:tab w:leader="none" w:pos="662"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lower amortization of $41 million, primarily due to the charge recognized in the prior period related to the annual actuarial assumption review. Excluding the impact of the annual actuarial assumption review, DAC and VOBA amortization decreased operating earnings by $66 million.</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Higher expenses decreased operating earnings by $49 million, primarily due to system implementation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branding costs in preparation for the Separation. In addition, a portion of the increase resulted from the asset-based fees remitted to an affiliate, which is offset in fee income.</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Actuarial Assumption Review. </w:t>
      </w:r>
      <w:r>
        <w:rPr>
          <w:rFonts w:ascii="Arial" w:cs="Arial" w:eastAsia="Arial" w:hAnsi="Arial"/>
          <w:sz w:val="16"/>
          <w:szCs w:val="16"/>
          <w:color w:val="auto"/>
        </w:rPr>
        <w:t>The charge recognized in the prior period as a result of the annual actuarial assumption review, which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discussed above, had a favorable impact to current period operating earnings of $138 million, when compared to the prior period, primarily due to:</w:t>
      </w:r>
    </w:p>
    <w:p>
      <w:pPr>
        <w:spacing w:after="0" w:line="16"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lower policyholder benefits and claims of $90 million from changes in policyholder behavior assumptions;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lower DAC amortization of $48 million.</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three months ended June 30, 2017 was $87 million, or 28% of operating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income tax, compared to $143 million, or 29% of operating earnings before provision for income tax, for the three months ended June 30, 2016. Our effective tax rates in both periods differ from the U.S. statutory rate of 35% primarily due to the impacts of the dividend received deductions.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decreased $159 million, primarily due to lower fee income, higher expenses and lower net investment spread,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favorable changes in insurance-related activities. Excluding the favorable impact from the charge recognized in the prior period related to the annual actuarial assumption review, operating earnings decreased $297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Lower fee income decreased operating earnings by $148 million, primarily due to:</w:t>
      </w:r>
    </w:p>
    <w:p>
      <w:pPr>
        <w:spacing w:after="0" w:line="17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decrease of $190 million due to a benefit recorded in the prior period in connection with the SPDA Recaptures; partially offset by</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 increase of $43 million from higher asset-based fees in our variable annuity business resulting from higher average separate account balances. A portion of this increase resulted from fees collected on behalf of an affiliate which are offset in other expenses, net of DAC capitalization.</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Lower net investment spread decreased operating earnings by $70 million, primarily due to lower net investment income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of interest credited payments on the reinsurance receivables related to the SPDA Recaptures. The decrease in net investment income was primarily driven by lower income on derivatives resulting from the termination of interest rate swaps as well as lower yields on fixed maturity securities and mortgage loans as proceeds from maturing investments were reinvested at rates lower than the portfolio average. These decreases were partially offset by the impact from an increase in the average invested asset base, primarily due to the SPDA Recaptures and positive net flows in the general account. In addition, segment net investment income decreased due to lower interest on allocated equity resulting from both a decrease in the interest credited rate and a decrease in the allocated equity base.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by $166 million, primarily due to:</w:t>
      </w:r>
    </w:p>
    <w:p>
      <w:pPr>
        <w:spacing w:after="0" w:line="171" w:lineRule="exact"/>
        <w:rPr>
          <w:sz w:val="20"/>
          <w:szCs w:val="20"/>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$103 million from lower GMDB costs resulting primarily from the charge related to the annual actuarial assumption review recognized in the prior period;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$37 million from a favorable change in the fair value of the underlying ceded separate account assets related to an affiliated reinsurance agreement for certain variable annuity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27" w:right="239" w:bottom="1440" w:gutter="0" w:footer="0" w:header="0"/>
        </w:sectPr>
      </w:pPr>
    </w:p>
    <w:bookmarkStart w:id="93" w:name="page94"/>
    <w:bookmarkEnd w:id="93"/>
    <w:p>
      <w:pPr>
        <w:ind w:left="500"/>
        <w:spacing w:after="0"/>
        <w:rPr>
          <w:sz w:val="20"/>
          <w:szCs w:val="20"/>
          <w:color w:val="auto"/>
        </w:rPr>
      </w:pPr>
      <w:r>
        <w:rPr>
          <w:rFonts w:ascii="Arial" w:cs="Arial" w:eastAsia="Arial" w:hAnsi="Arial"/>
          <w:sz w:val="18"/>
          <w:szCs w:val="18"/>
          <w:color w:val="auto"/>
        </w:rPr>
        <w:t>Excluding the impact of the annual actuarial assumption review, insurance-related activities increased operating income by $76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Higher DAC and VOBA amortization decreased operating earnings by $12 million, primarily due to:</w:t>
      </w:r>
    </w:p>
    <w:p>
      <w:pPr>
        <w:spacing w:after="0" w:line="11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higher amortization of $56 million due to the recovery recorded in the prior period in connection with the SPDA Recaptures; partially offset by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lower amortization of $41 million, primarily due to charge recognized in the prior period related to the annual actuarial assumption review.</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Excluding the impact of the annual actuarial assumption review, DAC and VOBA amortization decreased operating earnings by $60 million.</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Expenses, Net of DAC Capitalization. </w:t>
      </w:r>
      <w:r>
        <w:rPr>
          <w:rFonts w:ascii="Arial" w:cs="Arial" w:eastAsia="Arial" w:hAnsi="Arial"/>
          <w:sz w:val="17"/>
          <w:szCs w:val="17"/>
          <w:color w:val="auto"/>
        </w:rPr>
        <w:t>Higher expenses decreased operating earnings by $77 million, primarily due to system implementation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branding costs in preparation for the Separation and charges recognized in connection with reinsurance recapture activity including the 2017 VA Recaptures. In addition, a portion of the increase resulted from the asset-based fees remitted to an affiliate, which is offset in fee income.</w:t>
      </w:r>
    </w:p>
    <w:p>
      <w:pPr>
        <w:spacing w:after="0" w:line="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Actuarial Assumption Review. </w:t>
      </w:r>
      <w:r>
        <w:rPr>
          <w:rFonts w:ascii="Arial" w:cs="Arial" w:eastAsia="Arial" w:hAnsi="Arial"/>
          <w:sz w:val="16"/>
          <w:szCs w:val="16"/>
          <w:color w:val="auto"/>
        </w:rPr>
        <w:t>The charge recognized in the prior period as a result of the annual actuarial assumption review, which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discussed above, had a favorable impact to current period operating earnings of $138 million, when compared to the prior period, primarily due to:</w:t>
      </w:r>
    </w:p>
    <w:p>
      <w:pPr>
        <w:spacing w:after="0" w:line="16"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lower policyholder benefits and claims of $90 million from changes in policyholder behavior assumptions;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lower DAC amortization of $48 million.</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six months ended June 30, 2017 was $169 million, or 27% of operating earnings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for income tax, compared to $228 million, or 27% of operating earnings before provision for income tax, for the six months ended June 30, 2016. Our effective tax rates in both periods differ from the U.S. statutory rate of 35% primarily due to the impacts of the dividend received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4"/>
          <w:szCs w:val="14"/>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Life sales declined 59% for the six months ended June 30, 2017, primarily due to the sale of MPCG to MassMutual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and our discontinuance of new sales of whole life and certain term life products in the current period. Despite lower sales, general account net flows continued to be positive.</w:t>
      </w:r>
    </w:p>
    <w:p>
      <w:pPr>
        <w:spacing w:after="0" w:line="26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jc w:val="center"/>
              <w:ind w:right="342"/>
              <w:spacing w:after="0"/>
              <w:rPr>
                <w:sz w:val="20"/>
                <w:szCs w:val="20"/>
                <w:color w:val="auto"/>
              </w:rPr>
            </w:pPr>
            <w:r>
              <w:rPr>
                <w:rFonts w:ascii="Arial" w:cs="Arial" w:eastAsia="Arial" w:hAnsi="Arial"/>
                <w:sz w:val="14"/>
                <w:szCs w:val="14"/>
                <w:b w:val="1"/>
                <w:bCs w:val="1"/>
                <w:color w:val="auto"/>
                <w:w w:val="95"/>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8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gridSpan w:val="3"/>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93"/>
              </w:rPr>
              <w:t>Life</w:t>
            </w:r>
          </w:p>
        </w:tc>
        <w:tc>
          <w:tcPr>
            <w:tcW w:w="3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3"/>
          </w:tcPr>
          <w:p>
            <w:pPr>
              <w:jc w:val="center"/>
              <w:ind w:right="342"/>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86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3920" w:type="dxa"/>
            <w:vAlign w:val="bottom"/>
            <w:gridSpan w:val="3"/>
          </w:tcPr>
          <w:p>
            <w:pPr>
              <w:ind w:left="20"/>
              <w:spacing w:after="0"/>
              <w:rPr>
                <w:sz w:val="20"/>
                <w:szCs w:val="20"/>
                <w:color w:val="auto"/>
              </w:rPr>
            </w:pPr>
            <w:r>
              <w:rPr>
                <w:rFonts w:ascii="Arial" w:cs="Arial" w:eastAsia="Arial" w:hAnsi="Arial"/>
                <w:sz w:val="16"/>
                <w:szCs w:val="16"/>
                <w:color w:val="auto"/>
              </w:rPr>
              <w:t>Net investment spread</w:t>
            </w:r>
          </w:p>
        </w:tc>
        <w:tc>
          <w:tcPr>
            <w:tcW w:w="820" w:type="dxa"/>
            <w:vAlign w:val="bottom"/>
          </w:tcPr>
          <w:p>
            <w:pPr>
              <w:spacing w:after="0"/>
              <w:rPr>
                <w:sz w:val="20"/>
                <w:szCs w:val="20"/>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ind w:right="2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3920" w:type="dxa"/>
            <w:vAlign w:val="bottom"/>
            <w:gridSpan w:val="3"/>
          </w:tcPr>
          <w:p>
            <w:pPr>
              <w:ind w:left="20"/>
              <w:spacing w:after="0"/>
              <w:rPr>
                <w:sz w:val="20"/>
                <w:szCs w:val="20"/>
                <w:color w:val="auto"/>
              </w:rPr>
            </w:pPr>
            <w:r>
              <w:rPr>
                <w:rFonts w:ascii="Arial" w:cs="Arial" w:eastAsia="Arial" w:hAnsi="Arial"/>
                <w:sz w:val="16"/>
                <w:szCs w:val="16"/>
                <w:color w:val="auto"/>
              </w:rPr>
              <w:t>Amortization of DAC and VOBA</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7"/>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6"/>
                <w:szCs w:val="16"/>
                <w:color w:val="auto"/>
              </w:rPr>
              <w:t>Operating earnings before provision for income tax</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Provisions for income tax expense (benefit)</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20" w:type="dxa"/>
            <w:vAlign w:val="bottom"/>
          </w:tcPr>
          <w:p>
            <w:pPr>
              <w:spacing w:after="0"/>
              <w:rPr>
                <w:sz w:val="18"/>
                <w:szCs w:val="18"/>
                <w:color w:val="auto"/>
              </w:rPr>
            </w:pPr>
          </w:p>
        </w:tc>
        <w:tc>
          <w:tcPr>
            <w:tcW w:w="3900" w:type="dxa"/>
            <w:vAlign w:val="bottom"/>
            <w:gridSpan w:val="2"/>
          </w:tcPr>
          <w:p>
            <w:pPr>
              <w:ind w:left="160"/>
              <w:spacing w:after="0"/>
              <w:rPr>
                <w:sz w:val="20"/>
                <w:szCs w:val="20"/>
                <w:color w:val="auto"/>
              </w:rPr>
            </w:pPr>
            <w:r>
              <w:rPr>
                <w:rFonts w:ascii="Arial" w:cs="Arial" w:eastAsia="Arial" w:hAnsi="Arial"/>
                <w:sz w:val="16"/>
                <w:szCs w:val="16"/>
                <w:color w:val="auto"/>
              </w:rPr>
              <w:t>Operating earnings</w:t>
            </w:r>
          </w:p>
        </w:tc>
        <w:tc>
          <w:tcPr>
            <w:tcW w:w="82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Operating earnings decreased $22 million, primarily due to lower net investment spread and higher claims expense, partially offset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Higher fee income increased operating earnings by $6 million, primarily from the recapture, from MLIC, of a yearly renewable term</w:t>
      </w:r>
      <w:r>
        <w:rPr>
          <w:rFonts w:ascii="Arial" w:cs="Arial" w:eastAsia="Arial" w:hAnsi="Arial"/>
          <w:sz w:val="18"/>
          <w:szCs w:val="18"/>
          <w:i w:val="1"/>
          <w:iCs w:val="1"/>
          <w:color w:val="auto"/>
        </w:rPr>
        <w:t xml:space="preserve"> </w:t>
      </w:r>
      <w:r>
        <w:rPr>
          <w:rFonts w:ascii="Arial" w:cs="Arial" w:eastAsia="Arial" w:hAnsi="Arial"/>
          <w:sz w:val="18"/>
          <w:szCs w:val="18"/>
          <w:color w:val="auto"/>
        </w:rPr>
        <w:t>reinsurance agreement for certain life contracts (“YRT Recapture”) in the current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27" w:right="239" w:bottom="1440" w:gutter="0" w:footer="0" w:header="0"/>
        </w:sectPr>
      </w:pPr>
    </w:p>
    <w:bookmarkStart w:id="94" w:name="page95"/>
    <w:bookmarkEnd w:id="94"/>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Lower net investment spread decreased operating earnings by $21 million, primarily driven by lower interest on allocated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both a decrease in the interest credited rate and a decrease in the allocated equity base.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Higher policyholder benefits and claims decreased operating earnings by $20 million. Despite direct claims being</w:t>
      </w:r>
      <w:r>
        <w:rPr>
          <w:rFonts w:ascii="Arial" w:cs="Arial" w:eastAsia="Arial" w:hAnsi="Arial"/>
          <w:sz w:val="18"/>
          <w:szCs w:val="18"/>
          <w:i w:val="1"/>
          <w:iCs w:val="1"/>
          <w:color w:val="auto"/>
        </w:rPr>
        <w:t xml:space="preserve"> </w:t>
      </w:r>
      <w:r>
        <w:rPr>
          <w:rFonts w:ascii="Arial" w:cs="Arial" w:eastAsia="Arial" w:hAnsi="Arial"/>
          <w:sz w:val="18"/>
          <w:szCs w:val="18"/>
          <w:color w:val="auto"/>
        </w:rPr>
        <w:t>essentially unchanged, net claims were higher primarily due to lower ceded claim recoveries resulting from the current period YRT Recapture and a higher volume of low severity claims below our reinsurance retention limits, .</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$23 million, primarily due to the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profits from higher mortality losses in the current period.</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three months ended June 30, 2017 was $11 million, or 48% of operating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income tax, compared to $5 million, or 13% of operating earnings before provision for income tax, for the three months ended June 30, 2016. Our effective tax rates in both periods differ from the U.S. statutory rate of 35% primarily due to the impacts of the dividend received deductions.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Operating earnings decreased $19 million, primarily due to higher claims expense, partially offset by lower amortization of DAC and VOBA</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higher fee income.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Higher fee income increased operating earnings by $10 million, primarily from the current period impact of the YRT Recapture.</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Lower net investment spread decreased operating earnings by $5 million, primarily due to a decrease in net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partially offset by lower interest credited to policyholders. The decrease in net investment income resulted primarily from lower interest on allocated equity resulting from both a decrease in the interest credited rate and a decrease in the allocated equity base. Interest credited to policyholders decreased due to lower imputed interest on insurance liabilities as a result of the recapture, by MLIC, in the fourth quarter of 2016 of an assumed reinsurance agreement covering participating whole life business, partially offset by higher interest credited on higher average policyholder account balances resulting from the positive net flows.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Higher policyholder benefits and claims decreased operating earnings by $44 million, primarily due to lower ceded claim</w:t>
      </w:r>
      <w:r>
        <w:rPr>
          <w:rFonts w:ascii="Arial" w:cs="Arial" w:eastAsia="Arial" w:hAnsi="Arial"/>
          <w:sz w:val="18"/>
          <w:szCs w:val="18"/>
          <w:i w:val="1"/>
          <w:iCs w:val="1"/>
          <w:color w:val="auto"/>
        </w:rPr>
        <w:t xml:space="preserve"> </w:t>
      </w:r>
      <w:r>
        <w:rPr>
          <w:rFonts w:ascii="Arial" w:cs="Arial" w:eastAsia="Arial" w:hAnsi="Arial"/>
          <w:sz w:val="18"/>
          <w:szCs w:val="18"/>
          <w:color w:val="auto"/>
        </w:rPr>
        <w:t>recoveries resulting from the current period YRT Recapture and a higher volume of low severity claims below our reinsurance retention limits, which more than offset the impact of lower direct claims.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$20 million, primarily due to the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profits from higher mortality losses in the current period.</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six months ended June 30, 2017 was $3 million, or 38% of operating earnings before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for income tax, compared to $2 million, or 8% of operating earnings before provision for income tax, for the six months ended June 30, 2016. Our effective tax rates in both periods differ from the U.S. statutory rate of 35% primarily due to the impacts of the dividend received deductions.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2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Run-Off</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w:t>
            </w:r>
          </w:p>
        </w:tc>
        <w:tc>
          <w:tcPr>
            <w:tcW w:w="82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189"/>
        </w:trPr>
        <w:tc>
          <w:tcPr>
            <w:tcW w:w="40" w:type="dxa"/>
            <w:vAlign w:val="bottom"/>
          </w:tcPr>
          <w:p>
            <w:pPr>
              <w:spacing w:after="0"/>
              <w:rPr>
                <w:sz w:val="16"/>
                <w:szCs w:val="16"/>
                <w:color w:val="auto"/>
              </w:rPr>
            </w:pPr>
          </w:p>
        </w:tc>
        <w:tc>
          <w:tcPr>
            <w:tcW w:w="6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92"/>
              </w:rPr>
              <w:t>Run-Off</w:t>
            </w:r>
          </w:p>
        </w:tc>
        <w:tc>
          <w:tcPr>
            <w:tcW w:w="3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Net investment spread</w:t>
            </w:r>
          </w:p>
        </w:tc>
        <w:tc>
          <w:tcPr>
            <w:tcW w:w="820" w:type="dxa"/>
            <w:vAlign w:val="bottom"/>
          </w:tcPr>
          <w:p>
            <w:pPr>
              <w:spacing w:after="0"/>
              <w:rPr>
                <w:sz w:val="20"/>
                <w:szCs w:val="20"/>
                <w:color w:val="auto"/>
              </w:rPr>
            </w:pP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Amortization of DAC and VOBA</w:t>
            </w:r>
          </w:p>
        </w:tc>
        <w:tc>
          <w:tcPr>
            <w:tcW w:w="82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7"/>
        </w:trPr>
        <w:tc>
          <w:tcPr>
            <w:tcW w:w="4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6"/>
                <w:szCs w:val="16"/>
                <w:color w:val="auto"/>
              </w:rPr>
              <w:t>Operating earnings before provision for income tax</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7"/>
        </w:trPr>
        <w:tc>
          <w:tcPr>
            <w:tcW w:w="4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6"/>
                <w:szCs w:val="16"/>
                <w:color w:val="auto"/>
              </w:rPr>
              <w:t>Operating earnings</w:t>
            </w:r>
          </w:p>
        </w:tc>
        <w:tc>
          <w:tcPr>
            <w:tcW w:w="82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increased by $368 million, primarily due to impacts from ULSG-related charges recognized in the prior period, net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charges recognized in the current period, partially offset by unfavorable ULSG underwriting experience.</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Higher fee income increased operating earnings by $22 million, primarily due to the unfavorable adjustment to unearned revenue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resulting from the ULSG Model Change and favorable impacts from the YRT Recapture in the current period.</w:t>
      </w:r>
    </w:p>
    <w:p>
      <w:pPr>
        <w:spacing w:after="0" w:line="6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Higher net investment spread increased operating earnings by $6 million, primarily due to lower interest credited to policyholders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lower crediting rates on ULSG products and the continued reduction in liability balances in our funding agreement business.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by $110 million, primarily due to:</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$150 million from the impact of the charge in the prior period related to the ULSG Model Change; partially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decrease of $27 million due to higher insurance-related liabilities from the recurring impact of the ULSG Re-segmentation; and</w:t>
      </w:r>
    </w:p>
    <w:p>
      <w:pPr>
        <w:spacing w:after="0" w:line="11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decrease of $15 million from unfavorable underwriting experience in our ULSG business due to (i) lower ceded claim recoveries as a result of the YRT Recapture, (ii) higher volume of low severity claims below our reinsurance retention limits and (iii) the incremental increase in secondary guarantee liabilities since the implementation of the refinements to the actuarial valuation model in the second quarter of 2016.</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$244 million driven by charges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related to loss recognition triggered by the ULSG Model Change.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Higher expenses decreased operating earnings by $21 million, primarily due to refinements to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for costs related to reinsurance financing transactions.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June 30, 2017 was $27 million, or 34% of operating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an income tax benefit of $160 million, or 34% of operating earnings before provision for income tax, for the three months ended June 30, 2016. Our effective tax rates in both periods differ from the U.S. statutory rate of 35% primarily due to the impacts of the dividend received deductions.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27" w:right="239" w:bottom="1440" w:gutter="0" w:footer="0" w:header="0"/>
        </w:sectPr>
      </w:pPr>
    </w:p>
    <w:bookmarkStart w:id="96" w:name="page97"/>
    <w:bookmarkEnd w:id="96"/>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increased by $316 million, primarily due to impacts from ULSG-related charges recognized in the prior period, net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charges recognized in the current period, partially offset by unfavorable ULSG underwriting experience.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Higher fee income increased operating earnings by $24 million, primarily due to the unfavorable adjustment to unearned revenue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resulting from the ULSG Model Change and favorable impacts from the YRT Recapture in the current period.</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Higher net investment spread increased operating earnings by $18 million, primarily due to an increase in net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lower interest credited to policyholders. The increase in net investment income was driven by higher returns on other limited partnership interests as a result of improvements in equity market performance and higher segment income on allocated equity. These increases were partially offset by (i) lower income resulting from capital management actions taken in preparation for the Separation, which included a reduction in the size of our securities lending program and the termination of interest rate swaps, (ii) a lower invested asset base from continued repayments of funding agreements and (iii) lower prepayment fees. Interest credited to policyholders decreased primarily due to the declining balances in our funding agreement and structured settlement businesses.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by $42 million, primarily due to:</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$150 million from the impact of the charge in the prior period related to the ULSG Model Change; partially offset by</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decrease due to higher insurance-related liabilities of $75 million from the recurring impact of the ULSG Re-segmentation combined with additional loss recognition resulting from an increase in policyholder conversions from term life policies in anticipation of the discontinuance of the ULSG products; and</w:t>
      </w:r>
    </w:p>
    <w:p>
      <w:pPr>
        <w:spacing w:after="0" w:line="7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decrease of $28 million from unfavorable underwriting experience in our ULSG business due to (i) lower ceded claim recoveries as a result of the YRT Recapture, (ii) higher volume of low severity claims below our reinsurance retention limits and (iii) the incremental increase in secondary guarantee liabilities since the implementation of the refinements to the actuarial valuation model in the second quarter of 2016.</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by $250 million driven by changes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related to loss recognition triggered by the ULSG Model Change.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Higher expenses decreased operating earnings by $22 million, primarily due to refinements to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for costs related to reinsurance financing transactions.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six months ended June 30, 2017 was $52 million, or 34% of operating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an income tax benefit of $111 million, or 34% of operating earnings before provision for income tax, for the six months ended June 30, 2016. Our effective tax rates in both periods differ from the U.S. statutory rate of 35% primarily due to the impacts of the dividend received deductions.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2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5"/>
              </w:rPr>
              <w:t>Three Months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Six Months</w:t>
            </w:r>
          </w:p>
        </w:tc>
        <w:tc>
          <w:tcPr>
            <w:tcW w:w="8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482"/>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189"/>
        </w:trPr>
        <w:tc>
          <w:tcPr>
            <w:tcW w:w="40" w:type="dxa"/>
            <w:vAlign w:val="bottom"/>
          </w:tcPr>
          <w:p>
            <w:pPr>
              <w:spacing w:after="0"/>
              <w:rPr>
                <w:sz w:val="16"/>
                <w:szCs w:val="16"/>
                <w:color w:val="auto"/>
              </w:rPr>
            </w:pPr>
          </w:p>
        </w:tc>
        <w:tc>
          <w:tcPr>
            <w:tcW w:w="15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b w:val="1"/>
                <w:bCs w:val="1"/>
                <w:color w:val="auto"/>
                <w:w w:val="94"/>
              </w:rPr>
              <w:t>Corporate &amp; Other</w:t>
            </w: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6"/>
              </w:rPr>
              <w:t>(In millions)</w:t>
            </w:r>
          </w:p>
        </w:tc>
        <w:tc>
          <w:tcPr>
            <w:tcW w:w="86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3760" w:type="dxa"/>
            <w:vAlign w:val="bottom"/>
            <w:gridSpan w:val="3"/>
          </w:tcPr>
          <w:p>
            <w:pPr>
              <w:ind w:left="40"/>
              <w:spacing w:after="0"/>
              <w:rPr>
                <w:sz w:val="20"/>
                <w:szCs w:val="20"/>
                <w:color w:val="auto"/>
              </w:rPr>
            </w:pPr>
            <w:r>
              <w:rPr>
                <w:rFonts w:ascii="Arial" w:cs="Arial" w:eastAsia="Arial" w:hAnsi="Arial"/>
                <w:sz w:val="16"/>
                <w:szCs w:val="16"/>
                <w:color w:val="auto"/>
              </w:rPr>
              <w:t>Net investment spread</w:t>
            </w:r>
          </w:p>
        </w:tc>
        <w:tc>
          <w:tcPr>
            <w:tcW w:w="30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3760" w:type="dxa"/>
            <w:vAlign w:val="bottom"/>
            <w:gridSpan w:val="3"/>
          </w:tcPr>
          <w:p>
            <w:pPr>
              <w:ind w:left="40"/>
              <w:spacing w:after="0"/>
              <w:rPr>
                <w:sz w:val="20"/>
                <w:szCs w:val="20"/>
                <w:color w:val="auto"/>
              </w:rPr>
            </w:pPr>
            <w:r>
              <w:rPr>
                <w:rFonts w:ascii="Arial" w:cs="Arial" w:eastAsia="Arial" w:hAnsi="Arial"/>
                <w:sz w:val="16"/>
                <w:szCs w:val="16"/>
                <w:color w:val="auto"/>
              </w:rPr>
              <w:t>Amortization of DAC and VOBA</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7"/>
        </w:trPr>
        <w:tc>
          <w:tcPr>
            <w:tcW w:w="4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6"/>
                <w:szCs w:val="16"/>
                <w:color w:val="auto"/>
                <w:w w:val="98"/>
              </w:rPr>
              <w:t>Operating earnings before provision for income tax</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Provisions for 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4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6"/>
                <w:szCs w:val="16"/>
                <w:color w:val="auto"/>
              </w:rPr>
              <w:t>Operating earnings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increased by $31 million, primarily due to a tax benefit recorded in the current period and, to a lesser extent, higher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Higher net investment income increased operating earnings by $7 million, primarily driven by higher income on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which were not in place in the prior period. Although there was lower interest credited to the segments for allocated equity, resulting from a lower allocated equity base as well as a reduction in the interest credited rate, this favorable change was mostly offset by the impact from a lower invested asset base such that these items had an immaterial net effect on net investment income. The reduction in the invested asset base resulted primarily from the termination of certain collateral and reinsurance financing transactions in connection with the formation of BRCD.</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benefit for the three months ended June 30, 2017 was $23 million, or 209% of operating earnings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compared to income tax expense of $2 million, or 40% of operating earnings before provision for income tax, for the three months ended June 30, 2016. Our effective tax rates in both periods differ from the U.S. statutory rate of 35% primarily due to the utilization of tax credits. We recognized an incremental tax benefit of $26 million in the current period, primarily due to additional tax credits and an adjustment recorded to accrue to our annualized effective tax rate.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increased by $47 million, primarily due to higher net investment income and a higher tax benefit recorded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Higher net investment income increased operating earnings by $26 million, primarily driven by higher income on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which were not in place in the prior period. Although there was lower interest credited to the segments for allocated equity, resulting from a lower allocated equity base as well as a reduction in the interest credited rate, this favorable change was mostly offset by the impact from a lower invested asset base such that these items had an immaterial net effect on net investment income. The reduction in the invested asset base resulted primarily from the termination of certain collateral and reinsurance financing transactions in connection with the formation of BRCD.</w:t>
      </w:r>
    </w:p>
    <w:p>
      <w:pPr>
        <w:spacing w:after="0" w:line="6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benefit for the six months ended June 30, 2017 was $10 million, or 29% of operating earnings before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 compared to $9 million, or 75% of operating earnings before provision for income tax, for the six months ended June 30, 2016. Our effective tax rates in both periods differ from the U.S. statutory rate of 35% primarily due to the utilization of tax credits. We recognized an incremental tax benefit of $17 million in the current period, primarily due to additional tax credits and an adjustment recorded to accrue to our annualized effective tax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27"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before provision for income tax from the performance of GMLB Riders for (i) changes in carrying value of the GAAP liabilities, (ii) the mark-to-market of hedges and reinsurance, (iii) fees, and (iv) associated DAC offsets for the three and six months ended June 30, 2017 and 2016, respectively.</w:t>
      </w:r>
    </w:p>
    <w:p>
      <w:pPr>
        <w:spacing w:after="0" w:line="214" w:lineRule="exact"/>
        <w:rPr>
          <w:sz w:val="20"/>
          <w:szCs w:val="20"/>
          <w:color w:val="auto"/>
        </w:rPr>
      </w:pPr>
    </w:p>
    <w:tbl>
      <w:tblPr>
        <w:tblLayout w:type="fixed"/>
        <w:tblInd w:w="6840" w:type="dxa"/>
        <w:tblCellMar>
          <w:top w:w="0" w:type="dxa"/>
          <w:left w:w="0" w:type="dxa"/>
          <w:bottom w:w="0" w:type="dxa"/>
          <w:right w:w="0" w:type="dxa"/>
        </w:tblCellMar>
      </w:tblPr>
      <w:tr>
        <w:trPr>
          <w:trHeight w:val="161"/>
        </w:trPr>
        <w:tc>
          <w:tcPr>
            <w:tcW w:w="2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r>
    </w:tbl>
    <w:p>
      <w:pPr>
        <w:spacing w:after="0" w:line="27" w:lineRule="exact"/>
        <w:rPr>
          <w:sz w:val="20"/>
          <w:szCs w:val="20"/>
          <w:color w:val="auto"/>
        </w:rPr>
      </w:pPr>
    </w:p>
    <w:p>
      <w:pPr>
        <w:sectPr>
          <w:pgSz w:w="11900" w:h="16838" w:orient="portrait"/>
          <w:cols w:equalWidth="0" w:num="1">
            <w:col w:w="11420"/>
          </w:cols>
          <w:pgMar w:left="240" w:top="827" w:right="239" w:bottom="1440" w:gutter="0" w:footer="0" w:header="0"/>
        </w:sectPr>
      </w:pPr>
    </w:p>
    <w:p>
      <w:pPr>
        <w:ind w:left="7260"/>
        <w:spacing w:after="0"/>
        <w:tabs>
          <w:tab w:leader="none" w:pos="8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52070</wp:posOffset>
            </wp:positionV>
            <wp:extent cx="14662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9"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br w:type="column"/>
      </w:r>
    </w:p>
    <w:p>
      <w:pPr>
        <w:spacing w:after="0"/>
        <w:tabs>
          <w:tab w:leader="none" w:pos="11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52070</wp:posOffset>
            </wp:positionV>
            <wp:extent cx="1355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 millions)</w:t>
      </w:r>
    </w:p>
    <w:p>
      <w:pPr>
        <w:spacing w:after="0" w:line="59" w:lineRule="exact"/>
        <w:rPr>
          <w:sz w:val="20"/>
          <w:szCs w:val="20"/>
          <w:color w:val="auto"/>
        </w:rPr>
      </w:pPr>
    </w:p>
    <w:p>
      <w:pPr>
        <w:sectPr>
          <w:pgSz w:w="11900" w:h="16838" w:orient="portrait"/>
          <w:cols w:equalWidth="0" w:num="2">
            <w:col w:w="8880" w:space="720"/>
            <w:col w:w="1820"/>
          </w:cols>
          <w:pgMar w:left="240" w:top="827"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Liabilities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6"/>
                <w:szCs w:val="16"/>
                <w:color w:val="auto"/>
              </w:rPr>
              <w:t>Assumed Reinsurance Liabilities</w:t>
            </w: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6"/>
                <w:szCs w:val="16"/>
                <w:color w:val="auto"/>
              </w:rPr>
              <w:t>Core Hedges</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Macro Overlay Hedges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6"/>
                <w:szCs w:val="16"/>
                <w:color w:val="auto"/>
              </w:rPr>
              <w:t>Ceded Reinsurance</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Hedges and Reinsurance</w:t>
            </w: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6"/>
                <w:szCs w:val="16"/>
                <w:color w:val="auto"/>
              </w:rPr>
              <w:t>Directly Written Fees</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Assumed Reinsurance Fees</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6"/>
                <w:szCs w:val="16"/>
                <w:color w:val="auto"/>
              </w:rPr>
              <w:t>Total Fees (1)</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 before DAC Offsets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0" w:type="dxa"/>
            <w:vAlign w:val="bottom"/>
          </w:tcPr>
          <w:p>
            <w:pPr>
              <w:spacing w:after="0"/>
              <w:rPr>
                <w:sz w:val="1"/>
                <w:szCs w:val="1"/>
                <w:color w:val="auto"/>
              </w:rPr>
            </w:pPr>
          </w:p>
        </w:tc>
      </w:tr>
      <w:tr>
        <w:trPr>
          <w:trHeight w:val="217"/>
        </w:trPr>
        <w:tc>
          <w:tcPr>
            <w:tcW w:w="6840" w:type="dxa"/>
            <w:vAlign w:val="bottom"/>
          </w:tcPr>
          <w:p>
            <w:pPr>
              <w:ind w:left="40"/>
              <w:spacing w:after="0"/>
              <w:rPr>
                <w:sz w:val="20"/>
                <w:szCs w:val="20"/>
                <w:color w:val="auto"/>
              </w:rPr>
            </w:pPr>
            <w:r>
              <w:rPr>
                <w:rFonts w:ascii="Arial" w:cs="Arial" w:eastAsia="Arial" w:hAnsi="Arial"/>
                <w:sz w:val="16"/>
                <w:szCs w:val="16"/>
                <w:color w:val="auto"/>
              </w:rPr>
              <w:t>DAC Offsets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GMLB Riders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308" w:lineRule="auto"/>
        <w:tabs>
          <w:tab w:leader="none" w:pos="282"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Excludes living benefit fees, included as a component of operating earnings, of $18 million and $36 million for the three months and six months ended June 30, 2017, respectively, and $19 million and $38 million for the three months and six months ended June 30, 2016, respectively.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June 30, 2017 Compared with the Three Months Ended June 30, 2016</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GMLB Riders increased income (loss) before provision for income tax by $2.1 billion ($1.4 billion, net of income tax). Of this amount, a favorable change of $2.9 billion ($1.9 billion, net of income tax) was recorded in net derivative gains (losses). Excluding the impact of the annual actuarial assumption review in the prior period, GMLB Riders decreased net income (loss) before provision for income tax by $211 million ($137 million, net of income tax).</w:t>
      </w:r>
    </w:p>
    <w:p>
      <w:pPr>
        <w:spacing w:after="0" w:line="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GMLB Riders Liabilities. </w:t>
      </w:r>
      <w:r>
        <w:rPr>
          <w:rFonts w:ascii="Arial" w:cs="Arial" w:eastAsia="Arial" w:hAnsi="Arial"/>
          <w:sz w:val="17"/>
          <w:szCs w:val="17"/>
          <w:color w:val="auto"/>
        </w:rPr>
        <w:t>A favorable change in the carrying value of GMLB Riders liabilities increased income (loss) before provision for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by $3.8 billion ($2.5 billion, net of income tax), primarily due to the charge recognized in the prior period from changes in actuarial assumptions related to rider utilization combined with favorable impacts from market factors in the current period. Favorable market impacts resulted from higher equity market performance in the current period and interest rates declining less in the current period than in the prior period. Excluding the impact of the annual actuarial assumption review, liabilities increased income (loss) before provision for income tax by $761 million ($495 million, net of income tax).</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GMLB Riders Hedges and Reinsurance. </w:t>
      </w:r>
      <w:r>
        <w:rPr>
          <w:rFonts w:ascii="Arial" w:cs="Arial" w:eastAsia="Arial" w:hAnsi="Arial"/>
          <w:sz w:val="18"/>
          <w:szCs w:val="18"/>
          <w:color w:val="auto"/>
        </w:rPr>
        <w:t>The same market factors that resulted in a favorable impact to the GMLB Riders liabilities had an inverse</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effect on the hedges and reinsurance, decreasing income (loss) before provision for income tax by $980 million ($637 million, net of income tax). Included in this change is a favorable impact of $110 million ($72 million, net of income tax) resulting from the final settlement adjustment related to the 2017 VA Recaptures.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largely unchanged.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related to the impact of changes in each of the individual components of the GMLB Riders discussed above decreased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before provision for income tax by $699 million ($454 million, net of income tax). Excluding the impact of the annual actuarial assumption review, DAC offsets increased income (loss) before provision for income tax by $10 million ($7 million, net of income tax).</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impact from the charge related to the annual actuarial assumption review recognized in the prior period,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amounts discussed above, resulted in an increase in income (loss) before provision for income tax of $2.4 billion ($1.5 billion, net of income tax) in the current period when compared to the prior period, primarily due to the following: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827" w:right="239" w:bottom="1440" w:gutter="0" w:footer="0" w:header="0"/>
          <w:type w:val="continuous"/>
        </w:sectPr>
      </w:pPr>
    </w:p>
    <w:bookmarkStart w:id="99" w:name="page100"/>
    <w:bookmarkEnd w:id="99"/>
    <w:p>
      <w:pPr>
        <w:jc w:val="both"/>
        <w:ind w:left="66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$3.0 billion ($2.0 billion, net of income tax) from the impact of the prior period increase in GMLB Riders liabilities accounted for as embedded derivatives, of which $2.4 million ($1.6 million, net of income tax) was primarily due to changes in behavioral assumptions regarding rider utilization and $571 million ($371 million, net of income tax) was due to changes in risk margins related to these behavioral assumption changes; and</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$57 million ($37 million, net of income tax) from the impact of the prior period increase in GMLB Riders liabilities accounted for as insurance, of which $312 million ($203 million, net of income tax) was due to favorable impacts of economic assumption changes mainly related to lower projected interest rates and long-term separate account returns, reduced by $226 million ($147 million, net of income tax) related to behavioral assumption changes, primarily regarding rider utilization; partially offset by</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 of $709 million ($461 million, net of income tax) from the impact of lower DAC amortization in the prior period, which is inversely related to the assumption changes above.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Six Months Ended June 30, 2017 Compared with the Six Months Ended June 30, 2016</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GMLB Riders increased income (loss) before provision for income tax by $1.3 billion ($859 million, net of income tax). Of this amount, a favorable change of $1.9 billion ($1.2 billion, net of income tax) was recorded in net derivative gains (losses). Excluding the impact of the annual actuarial assumption review in the prior period, GMLB Riders decreased net income (loss) before provision for income tax by $1.0 billion ($693 million, net of income tax).</w:t>
      </w:r>
    </w:p>
    <w:p>
      <w:pPr>
        <w:spacing w:after="0" w:line="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GMLB Riders Liabilities. </w:t>
      </w:r>
      <w:r>
        <w:rPr>
          <w:rFonts w:ascii="Arial" w:cs="Arial" w:eastAsia="Arial" w:hAnsi="Arial"/>
          <w:sz w:val="17"/>
          <w:szCs w:val="17"/>
          <w:color w:val="auto"/>
        </w:rPr>
        <w:t>A favorable change in the carrying value of GMLB Riders liabilities increased income (loss) before provision for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by $5.1 billion ($3.3 billion, net of income tax), primarily due to the charge recognized in the prior period from changes in actuarial assumptions related to rider utilization combined with favorable impacts from market factors in the current period. Favorable market impacts resulted from higher equity market performance in the current period and interest rates declining less in the current period than in the prior period. Excluding the impact of the annual actuarial assumption review, liabilities increased income (loss) before provision for income tax by $2.0 billion ($1.3 billion, net of income tax).</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GMLB Riders Hedges and Reinsurance</w:t>
      </w:r>
      <w:r>
        <w:rPr>
          <w:rFonts w:ascii="Arial" w:cs="Arial" w:eastAsia="Arial" w:hAnsi="Arial"/>
          <w:sz w:val="18"/>
          <w:szCs w:val="18"/>
          <w:color w:val="auto"/>
        </w:rPr>
        <w:t>: An unfavorable change in the fair value of GMLB Riders hedges and reinsurance decreased income (loss)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by $3.4 billion ($2.2 billion, net of income tax), primarily due to the inverse unfavorable impact of the same market factors that impacted the GMLB Riders liabilities. Included in this decrease is the net unfavorable impact of $155 million ($101 million, net of income tax) resulting from the 2017 VA Recapture.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GMLB Riders Fees</w:t>
      </w:r>
      <w:r>
        <w:rPr>
          <w:rFonts w:ascii="Arial" w:cs="Arial" w:eastAsia="Arial" w:hAnsi="Arial"/>
          <w:sz w:val="18"/>
          <w:szCs w:val="18"/>
          <w:color w:val="auto"/>
        </w:rPr>
        <w:t>: Fees from GMLB Riders were largely unchanged.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DAC Offsets. </w:t>
      </w:r>
      <w:r>
        <w:rPr>
          <w:rFonts w:ascii="Arial" w:cs="Arial" w:eastAsia="Arial" w:hAnsi="Arial"/>
          <w:sz w:val="17"/>
          <w:szCs w:val="17"/>
          <w:color w:val="auto"/>
        </w:rPr>
        <w:t>DAC offsets related to the impact of changes in each of the individual components of the GMLB Riders discussed above decreased income</w:t>
      </w:r>
      <w:r>
        <w:rPr>
          <w:rFonts w:ascii="Arial" w:cs="Arial" w:eastAsia="Arial" w:hAnsi="Arial"/>
          <w:sz w:val="17"/>
          <w:szCs w:val="17"/>
          <w:i w:val="1"/>
          <w:iCs w:val="1"/>
          <w:color w:val="auto"/>
        </w:rPr>
        <w:t xml:space="preserve"> </w:t>
      </w:r>
      <w:r>
        <w:rPr>
          <w:rFonts w:ascii="Arial" w:cs="Arial" w:eastAsia="Arial" w:hAnsi="Arial"/>
          <w:sz w:val="17"/>
          <w:szCs w:val="17"/>
          <w:color w:val="auto"/>
        </w:rPr>
        <w:t>(loss) before provision for income tax by $319 million ($207 million, net of income tax). Excluding the impact of the annual actuarial assumption review, DAC offsets increased income (loss) before provision for income tax by $390 million ($254 million, net of income tax).</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impact from the charge related to the annual actuarial assumption review recognized in the prior period,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amounts discussed above, resulted in an increase in income (loss) before provision for income tax of $2.4 billion ($1.5 billion, net of income tax) in the current period when compared to the prior period, primarily due to the following:</w:t>
      </w:r>
    </w:p>
    <w:p>
      <w:pPr>
        <w:spacing w:after="0" w:line="73" w:lineRule="exact"/>
        <w:rPr>
          <w:sz w:val="20"/>
          <w:szCs w:val="20"/>
          <w:color w:val="auto"/>
        </w:rPr>
      </w:pPr>
    </w:p>
    <w:p>
      <w:pPr>
        <w:jc w:val="both"/>
        <w:ind w:left="66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$3.0 billion ($2.0 billion, net of income tax) from the impact of the prior period increase in GMLB Riders liabilities accounted for as embedded derivatives, of which $2.4 million ($1.6 million, net of income tax) was primarily due to changes in behavioral assumptions regarding rider utilization and $571 million ($371 million, net of income tax) was due to changes in risk margins related to these behavioral assumption changes; and</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$57 million ($37 million, net of income tax) from the impact of the prior period increase in GMLB Riders liabilities accounted for as insurance, of which $312 million ($203 million, net of income tax) was due to favorable impacts of economic assumption changes mainly related to lower projected interest rates and long-term separate account returns, reduced by $226 million ($147 million, net of income tax) related to behavioral assumption changes, primarily regarding rider utilization; partially offset by</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$709 million ($461 million, net of income tax) from the impact of lower DAC amortization in the prior period, which is inversely related to the assumption changes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2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while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foreign denominated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Recently, political and/or economic instability in the U.K., Mexico, Turkey, Italy and Puerto Rico have contributed to global market volatility. See “Management’s Discussion and Analysis of Financial Condition and Results of Operations— Industry Trends and Uncertainties — Financial and Economic Environment” included in the Form 10.</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As a U.S. insurance company, we are affected by the monetary policy of the Federal Reserve Board in the United States. Most recently in June 2017, the Federal Open Market Committee increased the federal funds rate.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European Investments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maintain general account investments in Europe for diversification. We have proactively mitigated risk in both direct and indirect exposures by investing in a diversified portfolio of high quality investments with a focus on the higher-rated countries, including the U.K., Germany, the Netherlands, France, Switzerland and Norway. Our total European general account exposure to fixed maturity and perpetual hybrid securities classified as non-redeemable preferred stock was $4.3 billion, or 5% of cash and invested assets at June 30, 2017, which is invested in a diversified portfolio of primarily investment grade non-financial services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14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u w:val="single" w:color="auto"/>
          <w:color w:val="auto"/>
        </w:rPr>
        <w:t>Selected Country and Sector Investments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Recent elevated levels of market volatility have affected the performance of various asset classes. Contributing factors include concerns about economic conditions and capital markets; lower energy and oil prices impacting the energy sector, declining sales and increased online competition in the retail sector and recent country and sector specific volatility due to local economic and/or political concerns have affected the performance of certain of our investments. See “Management’s Discussion and Analysis of Financial Condition and Results of Operations — Industry Trends and Uncertainties — Financial and Economic Environment” included in the Form 10.</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exposure to such volatility, as we maintain general account investments in the U.K., Mexico, Turkey, Italy and Puerto Rico through our global portfolio diversification. Our exposure to sovereign fixed maturity securities and total fixed maturity securities of the U.K., Mexico, Turkey, Italy and Puerto Rico totaled $64 million and $1.7 billion, at estimated fair value, respectively, at June 30, 2017. Our exposure to Puerto Rico political subdivision fixed maturities is in the form of revenue bonds and we have no general obligation bonds. We also have exposure to Illinois political subdivision fixed maturity securities of $190 million, of which, all are investment grade and 91% are revenue bonds at June 30, 2017. See “Management’s Discussion and Analysis of Financial Condition and Results of Operations — Investments — Current Environment — Selected Country Investments” included in the Form 10 for further information by country.</w:t>
      </w:r>
    </w:p>
    <w:p>
      <w:pPr>
        <w:spacing w:after="0" w:line="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has been an increased market focus on energy sector investments as a result of lower energy and oil prices. Our net exposure to energy sector fixed maturity securities was $2.1 billion (comprised of fixed maturity securities of $2.1 billion at estimated fair value and related net written credit default swaps of $10 million at notional value), of which 84% were investment grade, with unrealized gains of $114 million at June 30, 2017.</w:t>
      </w:r>
    </w:p>
    <w:p>
      <w:pPr>
        <w:spacing w:after="0" w:line="5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has been an increased market focus on retail sector investments as a result of declining sales and the effects of online competition. Our exposure to retail sector fixed maturity securities was $1.5 billion, of which 94% were investment grade, with unrealized gains of $82 million at June 30, 2017.</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direct and indirect investment exposure in the selected countries and energy and retail sectors through fundamental credit analysis and we continually monitor and adjust our level of investment exposure. We do not expect that our general account investments in these countries and energy and retail sectors will have a material adverse effect on our results of operations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Current Environment — Summary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All of these factors have had and could continue to have an adverse effect on the financial results of companies in the financial services industry, including us. Such global economic conditions, as well as the global financial markets, continue to impact our net investment income, net investment gains (losses), net derivative gains (losses), level of unrealized gains (losses) within the various asset classes in our investment portfolio, and our level of investment in lower yielding cash equivalents, short-term investments and government securities. See “Management’s Discussion and Analysis of Financial Condition and Results of Operations — Industry Trends and Uncertainties” and “Risk Factors — Economic Environment and Capital Markets-Related Risks — We are exposed to significant financial and capital markets risks which may adversely affect our results of operations, financial condition and liquidity, and may cause our net investment income and net income to vary from period to period” included in the Form 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combined statement of operations. This summary yield table presentation is consistent with how we measure our investment performance for management purposes, and we believe it enhances understanding of our investment portfolio results.</w:t>
      </w: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0" w:type="dxa"/>
            <w:vAlign w:val="bottom"/>
            <w:gridSpan w:val="5"/>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1"/>
        </w:trPr>
        <w:tc>
          <w:tcPr>
            <w:tcW w:w="3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3"/>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67"/>
        </w:trPr>
        <w:tc>
          <w:tcPr>
            <w:tcW w:w="3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gridSpan w:val="3"/>
          </w:tcPr>
          <w:p>
            <w:pPr>
              <w:jc w:val="right"/>
              <w:ind w:right="37"/>
              <w:spacing w:after="0"/>
              <w:rPr>
                <w:sz w:val="20"/>
                <w:szCs w:val="20"/>
                <w:color w:val="auto"/>
              </w:rPr>
            </w:pPr>
            <w:r>
              <w:rPr>
                <w:rFonts w:ascii="Arial" w:cs="Arial" w:eastAsia="Arial" w:hAnsi="Arial"/>
                <w:sz w:val="13"/>
                <w:szCs w:val="13"/>
                <w:b w:val="1"/>
                <w:bCs w:val="1"/>
                <w:color w:val="auto"/>
                <w:w w:val="96"/>
              </w:rPr>
              <w:t>2017</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2"/>
              </w:rPr>
              <w:t>2016</w:t>
            </w:r>
          </w:p>
        </w:tc>
        <w:tc>
          <w:tcPr>
            <w:tcW w:w="600" w:type="dxa"/>
            <w:vAlign w:val="bottom"/>
          </w:tcPr>
          <w:p>
            <w:pPr>
              <w:spacing w:after="0"/>
              <w:rPr>
                <w:sz w:val="14"/>
                <w:szCs w:val="14"/>
                <w:color w:val="auto"/>
              </w:rPr>
            </w:pPr>
          </w:p>
        </w:tc>
      </w:tr>
      <w:tr>
        <w:trPr>
          <w:trHeight w:val="151"/>
        </w:trPr>
        <w:tc>
          <w:tcPr>
            <w:tcW w:w="3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37"/>
        </w:trPr>
        <w:tc>
          <w:tcPr>
            <w:tcW w:w="3240" w:type="dxa"/>
            <w:vAlign w:val="bottom"/>
          </w:tcPr>
          <w:p>
            <w:pPr>
              <w:spacing w:after="0"/>
              <w:rPr>
                <w:sz w:val="11"/>
                <w:szCs w:val="11"/>
                <w:color w:val="auto"/>
              </w:rPr>
            </w:pPr>
          </w:p>
        </w:tc>
        <w:tc>
          <w:tcPr>
            <w:tcW w:w="660" w:type="dxa"/>
            <w:vAlign w:val="bottom"/>
          </w:tcPr>
          <w:p>
            <w:pPr>
              <w:jc w:val="right"/>
              <w:ind w:right="37"/>
              <w:spacing w:after="0" w:line="138" w:lineRule="exact"/>
              <w:rPr>
                <w:sz w:val="20"/>
                <w:szCs w:val="20"/>
                <w:color w:val="auto"/>
              </w:rPr>
            </w:pPr>
            <w:r>
              <w:rPr>
                <w:rFonts w:ascii="Arial" w:cs="Arial" w:eastAsia="Arial" w:hAnsi="Arial"/>
                <w:sz w:val="13"/>
                <w:szCs w:val="13"/>
                <w:b w:val="1"/>
                <w:bCs w:val="1"/>
                <w:color w:val="auto"/>
              </w:rPr>
              <w:t>Yield%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17"/>
              <w:spacing w:after="0" w:line="138" w:lineRule="exact"/>
              <w:rPr>
                <w:sz w:val="20"/>
                <w:szCs w:val="20"/>
                <w:color w:val="auto"/>
              </w:rPr>
            </w:pPr>
            <w:r>
              <w:rPr>
                <w:rFonts w:ascii="Arial" w:cs="Arial" w:eastAsia="Arial" w:hAnsi="Arial"/>
                <w:sz w:val="13"/>
                <w:szCs w:val="13"/>
                <w:b w:val="1"/>
                <w:bCs w:val="1"/>
                <w:color w:val="auto"/>
              </w:rPr>
              <w:t>Yield%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97"/>
              <w:spacing w:after="0" w:line="138" w:lineRule="exact"/>
              <w:rPr>
                <w:sz w:val="20"/>
                <w:szCs w:val="20"/>
                <w:color w:val="auto"/>
              </w:rPr>
            </w:pPr>
            <w:r>
              <w:rPr>
                <w:rFonts w:ascii="Arial" w:cs="Arial" w:eastAsia="Arial" w:hAnsi="Arial"/>
                <w:sz w:val="13"/>
                <w:szCs w:val="13"/>
                <w:b w:val="1"/>
                <w:bCs w:val="1"/>
                <w:color w:val="auto"/>
              </w:rPr>
              <w:t>Yield%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rPr>
              <w:t>Yield%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4"/>
        </w:trPr>
        <w:tc>
          <w:tcPr>
            <w:tcW w:w="3240" w:type="dxa"/>
            <w:vAlign w:val="bottom"/>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r>
      <w:tr>
        <w:trPr>
          <w:trHeight w:val="181"/>
        </w:trPr>
        <w:tc>
          <w:tcPr>
            <w:tcW w:w="3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w w:val="92"/>
              </w:rPr>
              <w:t>(Dollars 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8"/>
        </w:trPr>
        <w:tc>
          <w:tcPr>
            <w:tcW w:w="32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Investment income</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4.55</w:t>
            </w:r>
          </w:p>
        </w:tc>
        <w:tc>
          <w:tcPr>
            <w:tcW w:w="300" w:type="dxa"/>
            <w:vAlign w:val="bottom"/>
            <w:gridSpan w:val="2"/>
            <w:shd w:val="clear" w:color="auto" w:fill="BFE4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819</w:t>
            </w:r>
          </w:p>
        </w:tc>
        <w:tc>
          <w:tcPr>
            <w:tcW w:w="120" w:type="dxa"/>
            <w:vAlign w:val="bottom"/>
            <w:shd w:val="clear" w:color="auto" w:fill="BFE4FF"/>
          </w:tcPr>
          <w:p>
            <w:pPr>
              <w:spacing w:after="0"/>
              <w:rPr>
                <w:sz w:val="24"/>
                <w:szCs w:val="24"/>
                <w:color w:val="auto"/>
              </w:rPr>
            </w:pPr>
          </w:p>
        </w:tc>
        <w:tc>
          <w:tcPr>
            <w:tcW w:w="7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4.91</w:t>
            </w:r>
          </w:p>
        </w:tc>
        <w:tc>
          <w:tcPr>
            <w:tcW w:w="320" w:type="dxa"/>
            <w:vAlign w:val="bottom"/>
            <w:shd w:val="clear" w:color="auto" w:fill="BFE4FF"/>
          </w:tcPr>
          <w:p>
            <w:pPr>
              <w:ind w:lef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BFE4FF"/>
          </w:tcPr>
          <w:p>
            <w:pPr>
              <w:spacing w:after="0"/>
              <w:rPr>
                <w:sz w:val="24"/>
                <w:szCs w:val="24"/>
                <w:color w:val="auto"/>
              </w:rPr>
            </w:pPr>
          </w:p>
        </w:tc>
        <w:tc>
          <w:tcPr>
            <w:tcW w:w="7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4.72</w:t>
            </w:r>
          </w:p>
        </w:tc>
        <w:tc>
          <w:tcPr>
            <w:tcW w:w="320" w:type="dxa"/>
            <w:vAlign w:val="bottom"/>
            <w:shd w:val="clear" w:color="auto" w:fill="BFE4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1,705</w:t>
            </w:r>
          </w:p>
        </w:tc>
        <w:tc>
          <w:tcPr>
            <w:tcW w:w="100" w:type="dxa"/>
            <w:vAlign w:val="bottom"/>
            <w:shd w:val="clear" w:color="auto" w:fill="BFE4FF"/>
          </w:tcPr>
          <w:p>
            <w:pPr>
              <w:spacing w:after="0"/>
              <w:rPr>
                <w:sz w:val="24"/>
                <w:szCs w:val="24"/>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4.88</w:t>
            </w:r>
          </w:p>
        </w:tc>
        <w:tc>
          <w:tcPr>
            <w:tcW w:w="24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1,734</w:t>
            </w:r>
          </w:p>
        </w:tc>
      </w:tr>
      <w:tr>
        <w:trPr>
          <w:trHeight w:val="264"/>
        </w:trPr>
        <w:tc>
          <w:tcPr>
            <w:tcW w:w="324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Investment fees and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(0.15)</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BFE4FF"/>
            </w:tcBorders>
          </w:tcPr>
          <w:p>
            <w:pPr>
              <w:spacing w:after="0"/>
              <w:rPr>
                <w:sz w:val="22"/>
                <w:szCs w:val="22"/>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(0.14)</w:t>
            </w:r>
          </w:p>
        </w:tc>
        <w:tc>
          <w:tcPr>
            <w:tcW w:w="320" w:type="dxa"/>
            <w:vAlign w:val="bottom"/>
            <w:tcBorders>
              <w:bottom w:val="single" w:sz="8" w:color="BFE4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BFE4FF"/>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(0.15)</w:t>
            </w:r>
          </w:p>
        </w:tc>
        <w:tc>
          <w:tcPr>
            <w:tcW w:w="3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BFE4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(0.14)</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r>
      <w:tr>
        <w:trPr>
          <w:trHeight w:val="242"/>
        </w:trPr>
        <w:tc>
          <w:tcPr>
            <w:tcW w:w="3240" w:type="dxa"/>
            <w:vAlign w:val="bottom"/>
            <w:shd w:val="clear" w:color="auto" w:fill="BFE4FF"/>
          </w:tcPr>
          <w:p>
            <w:pPr>
              <w:ind w:left="20"/>
              <w:spacing w:after="0"/>
              <w:rPr>
                <w:sz w:val="20"/>
                <w:szCs w:val="20"/>
                <w:color w:val="auto"/>
              </w:rPr>
            </w:pPr>
            <w:r>
              <w:rPr>
                <w:rFonts w:ascii="Arial" w:cs="Arial" w:eastAsia="Arial" w:hAnsi="Arial"/>
                <w:sz w:val="13"/>
                <w:szCs w:val="13"/>
                <w:color w:val="auto"/>
              </w:rPr>
              <w:t>Net investment income (2),(3)</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4.40</w:t>
            </w:r>
          </w:p>
        </w:tc>
        <w:tc>
          <w:tcPr>
            <w:tcW w:w="400" w:type="dxa"/>
            <w:vAlign w:val="bottom"/>
            <w:gridSpan w:val="3"/>
            <w:shd w:val="clear" w:color="auto" w:fill="BFE4FF"/>
          </w:tcPr>
          <w:p>
            <w:pPr>
              <w:ind w:left="160"/>
              <w:spacing w:after="0"/>
              <w:rPr>
                <w:sz w:val="20"/>
                <w:szCs w:val="20"/>
                <w:color w:val="auto"/>
              </w:rPr>
            </w:pPr>
            <w:r>
              <w:rPr>
                <w:rFonts w:ascii="Arial" w:cs="Arial" w:eastAsia="Arial" w:hAnsi="Arial"/>
                <w:sz w:val="13"/>
                <w:szCs w:val="13"/>
                <w:color w:val="auto"/>
                <w:w w:val="97"/>
              </w:rPr>
              <w:t>% $</w:t>
            </w:r>
          </w:p>
        </w:tc>
        <w:tc>
          <w:tcPr>
            <w:tcW w:w="6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792</w:t>
            </w:r>
          </w:p>
        </w:tc>
        <w:tc>
          <w:tcPr>
            <w:tcW w:w="120" w:type="dxa"/>
            <w:vAlign w:val="bottom"/>
            <w:shd w:val="clear" w:color="auto" w:fill="BFE4FF"/>
          </w:tcPr>
          <w:p>
            <w:pPr>
              <w:spacing w:after="0"/>
              <w:rPr>
                <w:sz w:val="21"/>
                <w:szCs w:val="21"/>
                <w:color w:val="auto"/>
              </w:rPr>
            </w:pPr>
          </w:p>
        </w:tc>
        <w:tc>
          <w:tcPr>
            <w:tcW w:w="7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4.77</w:t>
            </w:r>
          </w:p>
        </w:tc>
        <w:tc>
          <w:tcPr>
            <w:tcW w:w="44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 $</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BFE4FF"/>
          </w:tcPr>
          <w:p>
            <w:pPr>
              <w:spacing w:after="0"/>
              <w:rPr>
                <w:sz w:val="21"/>
                <w:szCs w:val="21"/>
                <w:color w:val="auto"/>
              </w:rPr>
            </w:pPr>
          </w:p>
        </w:tc>
        <w:tc>
          <w:tcPr>
            <w:tcW w:w="7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4.57</w:t>
            </w:r>
          </w:p>
        </w:tc>
        <w:tc>
          <w:tcPr>
            <w:tcW w:w="42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w w:val="97"/>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BFE4FF"/>
          </w:tcPr>
          <w:p>
            <w:pPr>
              <w:spacing w:after="0"/>
              <w:rPr>
                <w:sz w:val="21"/>
                <w:szCs w:val="21"/>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4.74</w:t>
            </w:r>
          </w:p>
        </w:tc>
        <w:tc>
          <w:tcPr>
            <w:tcW w:w="34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w w:val="97"/>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1,682</w:t>
            </w:r>
          </w:p>
        </w:tc>
      </w:tr>
      <w:tr>
        <w:trPr>
          <w:trHeight w:val="20"/>
        </w:trPr>
        <w:tc>
          <w:tcPr>
            <w:tcW w:w="3240" w:type="dxa"/>
            <w:vAlign w:val="bottom"/>
            <w:tcBorders>
              <w:top w:val="single" w:sz="8" w:color="BFE4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420" w:top="828" w:right="239" w:bottom="1440" w:gutter="0" w:footer="0" w:header="0"/>
        </w:sectPr>
      </w:pPr>
    </w:p>
    <w:bookmarkStart w:id="102" w:name="page103"/>
    <w:bookmarkEnd w:id="102"/>
    <w:p>
      <w:pPr>
        <w:jc w:val="both"/>
        <w:ind w:left="660" w:hanging="328"/>
        <w:spacing w:after="0" w:line="279"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Yields are calculated as investment income as a percent of average quarterly asset carrying values. Investment income excludes recognized gains and losses and reflects the adjustments presented in footnote (3) below. Asset carrying values exclude unrealized gains (losses), collateral received in connection with our securities lending program, freestanding derivative assets, collateral received from derivative counterparties and the effects of consolidating certain VIEs under GAAP that are treated as consolidated securitization entities (“CSEs”).</w:t>
      </w:r>
    </w:p>
    <w:p>
      <w:pPr>
        <w:spacing w:after="0" w:line="6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investment income included in yield calculations includes earned income on derivatives and amortization of premium on derivatives that are hedges of investments or that are used to replicate certain investments, but do not qualify for hedge accounting treatment (“investment hedge adjustments”).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Net investment income presented in the yield table varies from the most directly comparable GAAP measure due to certain reclassifications and adjustments and excludes the effects of consolidating certain VIEs under GAAP that are treated as CSEs, as presented below.</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5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9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554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196"/>
        </w:trPr>
        <w:tc>
          <w:tcPr>
            <w:tcW w:w="5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6"/>
        </w:trPr>
        <w:tc>
          <w:tcPr>
            <w:tcW w:w="5540" w:type="dxa"/>
            <w:vAlign w:val="bottom"/>
            <w:shd w:val="clear" w:color="auto" w:fill="BFE4FF"/>
          </w:tcPr>
          <w:p>
            <w:pPr>
              <w:ind w:left="40"/>
              <w:spacing w:after="0"/>
              <w:rPr>
                <w:sz w:val="20"/>
                <w:szCs w:val="20"/>
                <w:color w:val="auto"/>
              </w:rPr>
            </w:pPr>
            <w:r>
              <w:rPr>
                <w:rFonts w:ascii="Arial" w:cs="Arial" w:eastAsia="Arial" w:hAnsi="Arial"/>
                <w:sz w:val="14"/>
                <w:szCs w:val="14"/>
                <w:color w:val="auto"/>
              </w:rPr>
              <w:t>Net investment income — in the above yield table</w:t>
            </w:r>
          </w:p>
        </w:tc>
        <w:tc>
          <w:tcPr>
            <w:tcW w:w="780" w:type="dxa"/>
            <w:vAlign w:val="bottom"/>
            <w:shd w:val="clear" w:color="auto" w:fill="BFE4FF"/>
          </w:tcPr>
          <w:p>
            <w:pPr>
              <w:jc w:val="right"/>
              <w:ind w:right="608"/>
              <w:spacing w:after="0"/>
              <w:rPr>
                <w:sz w:val="20"/>
                <w:szCs w:val="20"/>
                <w:color w:val="auto"/>
              </w:rPr>
            </w:pPr>
            <w:r>
              <w:rPr>
                <w:rFonts w:ascii="Arial" w:cs="Arial" w:eastAsia="Arial" w:hAnsi="Arial"/>
                <w:sz w:val="14"/>
                <w:szCs w:val="14"/>
                <w:color w:val="auto"/>
              </w:rPr>
              <w:t>$</w:t>
            </w:r>
          </w:p>
        </w:tc>
        <w:tc>
          <w:tcPr>
            <w:tcW w:w="3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BFE4FF"/>
          </w:tcPr>
          <w:p>
            <w:pPr>
              <w:spacing w:after="0"/>
              <w:rPr>
                <w:sz w:val="24"/>
                <w:szCs w:val="24"/>
                <w:color w:val="auto"/>
              </w:rPr>
            </w:pPr>
          </w:p>
        </w:tc>
        <w:tc>
          <w:tcPr>
            <w:tcW w:w="2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BFE4FF"/>
          </w:tcPr>
          <w:p>
            <w:pPr>
              <w:spacing w:after="0"/>
              <w:rPr>
                <w:sz w:val="24"/>
                <w:szCs w:val="24"/>
                <w:color w:val="auto"/>
              </w:rPr>
            </w:pPr>
          </w:p>
        </w:tc>
        <w:tc>
          <w:tcPr>
            <w:tcW w:w="2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1,682</w:t>
            </w:r>
          </w:p>
        </w:tc>
      </w:tr>
      <w:tr>
        <w:trPr>
          <w:trHeight w:val="264"/>
        </w:trPr>
        <w:tc>
          <w:tcPr>
            <w:tcW w:w="5540" w:type="dxa"/>
            <w:vAlign w:val="bottom"/>
          </w:tcPr>
          <w:p>
            <w:pPr>
              <w:ind w:left="40"/>
              <w:spacing w:after="0"/>
              <w:rPr>
                <w:sz w:val="20"/>
                <w:szCs w:val="20"/>
                <w:color w:val="auto"/>
              </w:rPr>
            </w:pPr>
            <w:r>
              <w:rPr>
                <w:rFonts w:ascii="Arial" w:cs="Arial" w:eastAsia="Arial" w:hAnsi="Arial"/>
                <w:sz w:val="14"/>
                <w:szCs w:val="14"/>
                <w:color w:val="auto"/>
              </w:rPr>
              <w:t>Investment hedge adjustments</w:t>
            </w: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70"/>
        </w:trPr>
        <w:tc>
          <w:tcPr>
            <w:tcW w:w="554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Incremental net investment income from CSEs</w:t>
            </w:r>
          </w:p>
        </w:tc>
        <w:tc>
          <w:tcPr>
            <w:tcW w:w="780" w:type="dxa"/>
            <w:vAlign w:val="bottom"/>
            <w:tcBorders>
              <w:bottom w:val="single" w:sz="8" w:color="auto"/>
            </w:tcBorders>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3"/>
                <w:szCs w:val="23"/>
                <w:color w:val="auto"/>
              </w:rPr>
            </w:pPr>
          </w:p>
        </w:tc>
        <w:tc>
          <w:tcPr>
            <w:tcW w:w="28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8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3"/>
                <w:szCs w:val="23"/>
                <w:color w:val="auto"/>
              </w:rPr>
            </w:pPr>
          </w:p>
        </w:tc>
        <w:tc>
          <w:tcPr>
            <w:tcW w:w="240" w:type="dxa"/>
            <w:vAlign w:val="bottom"/>
            <w:tcBorders>
              <w:bottom w:val="single" w:sz="8" w:color="auto"/>
            </w:tcBorders>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5540" w:type="dxa"/>
            <w:vAlign w:val="bottom"/>
          </w:tcPr>
          <w:p>
            <w:pPr>
              <w:ind w:left="40"/>
              <w:spacing w:after="0"/>
              <w:rPr>
                <w:sz w:val="20"/>
                <w:szCs w:val="20"/>
                <w:color w:val="auto"/>
              </w:rPr>
            </w:pPr>
            <w:r>
              <w:rPr>
                <w:rFonts w:ascii="Arial" w:cs="Arial" w:eastAsia="Arial" w:hAnsi="Arial"/>
                <w:sz w:val="14"/>
                <w:szCs w:val="14"/>
                <w:color w:val="auto"/>
              </w:rPr>
              <w:t>Net investment income — GAAP combined statements of operations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w:t>
            </w: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See “— Results of Operations — Combined Results for the Three Months and Six Months Ended June 30, 2017 and 2016 — Operating”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and Equity Securities Available-for-Sale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fixed maturity and equity securities available- for- sale (“AFS”) by type (public or private) and information about perpetual and redeemable securities held at:</w:t>
      </w:r>
    </w:p>
    <w:p>
      <w:pPr>
        <w:spacing w:after="0" w:line="270"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December 31, 2016</w:t>
      </w:r>
    </w:p>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2"/>
              </w:rPr>
              <w:t>June 30, 2017</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6"/>
        </w:trPr>
        <w:tc>
          <w:tcPr>
            <w:tcW w:w="5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Estimated</w:t>
            </w:r>
          </w:p>
        </w:tc>
        <w:tc>
          <w:tcPr>
            <w:tcW w:w="8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10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Estimated</w:t>
            </w:r>
          </w:p>
        </w:tc>
        <w:tc>
          <w:tcPr>
            <w:tcW w:w="1180" w:type="dxa"/>
            <w:vAlign w:val="bottom"/>
          </w:tcPr>
          <w:p>
            <w:pPr>
              <w:jc w:val="right"/>
              <w:ind w:right="354"/>
              <w:spacing w:after="0" w:line="147" w:lineRule="exact"/>
              <w:rPr>
                <w:sz w:val="20"/>
                <w:szCs w:val="20"/>
                <w:color w:val="auto"/>
              </w:rPr>
            </w:pPr>
            <w:r>
              <w:rPr>
                <w:rFonts w:ascii="Arial" w:cs="Arial" w:eastAsia="Arial" w:hAnsi="Arial"/>
                <w:sz w:val="14"/>
                <w:szCs w:val="14"/>
                <w:b w:val="1"/>
                <w:bCs w:val="1"/>
                <w:color w:val="auto"/>
              </w:rPr>
              <w:t>% of</w:t>
            </w:r>
          </w:p>
        </w:tc>
      </w:tr>
      <w:tr>
        <w:trPr>
          <w:trHeight w:val="192"/>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196"/>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5"/>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7"/>
                <w:szCs w:val="17"/>
                <w:color w:val="auto"/>
              </w:rPr>
            </w:pPr>
          </w:p>
        </w:tc>
      </w:tr>
      <w:tr>
        <w:trPr>
          <w:trHeight w:val="256"/>
        </w:trPr>
        <w:tc>
          <w:tcPr>
            <w:tcW w:w="5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Fixed maturity securities</w:t>
            </w:r>
          </w:p>
        </w:tc>
        <w:tc>
          <w:tcPr>
            <w:tcW w:w="20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spacing w:after="0"/>
              <w:rPr>
                <w:sz w:val="22"/>
                <w:szCs w:val="22"/>
                <w:color w:val="auto"/>
              </w:rPr>
            </w:pPr>
          </w:p>
        </w:tc>
        <w:tc>
          <w:tcPr>
            <w:tcW w:w="9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spacing w:after="0"/>
              <w:rPr>
                <w:sz w:val="22"/>
                <w:szCs w:val="22"/>
                <w:color w:val="auto"/>
              </w:rPr>
            </w:pPr>
          </w:p>
        </w:tc>
      </w:tr>
      <w:tr>
        <w:trPr>
          <w:trHeight w:val="243"/>
        </w:trPr>
        <w:tc>
          <w:tcPr>
            <w:tcW w:w="5100" w:type="dxa"/>
            <w:vAlign w:val="bottom"/>
          </w:tcPr>
          <w:p>
            <w:pPr>
              <w:ind w:left="260"/>
              <w:spacing w:after="0"/>
              <w:rPr>
                <w:sz w:val="20"/>
                <w:szCs w:val="20"/>
                <w:color w:val="auto"/>
              </w:rPr>
            </w:pPr>
            <w:r>
              <w:rPr>
                <w:rFonts w:ascii="Arial" w:cs="Arial" w:eastAsia="Arial" w:hAnsi="Arial"/>
                <w:sz w:val="18"/>
                <w:szCs w:val="18"/>
                <w:color w:val="auto"/>
              </w:rPr>
              <w:t>Publicly-traded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53,355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51,437</w:t>
            </w:r>
          </w:p>
        </w:tc>
        <w:tc>
          <w:tcPr>
            <w:tcW w:w="1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83.8%</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0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Privately-placed</w:t>
            </w:r>
          </w:p>
        </w:tc>
        <w:tc>
          <w:tcPr>
            <w:tcW w:w="20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10,152</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780" w:type="dxa"/>
            <w:vAlign w:val="bottom"/>
            <w:tcBorders>
              <w:bottom w:val="single" w:sz="8" w:color="BFE4FF"/>
            </w:tcBorders>
            <w:shd w:val="clear" w:color="auto" w:fill="BFE4FF"/>
          </w:tcPr>
          <w:p>
            <w:pPr>
              <w:jc w:val="right"/>
              <w:ind w:right="116"/>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16.2</w:t>
            </w:r>
          </w:p>
        </w:tc>
      </w:tr>
      <w:tr>
        <w:trPr>
          <w:trHeight w:val="297"/>
        </w:trPr>
        <w:tc>
          <w:tcPr>
            <w:tcW w:w="5100" w:type="dxa"/>
            <w:vAlign w:val="bottom"/>
            <w:tcBorders>
              <w:bottom w:val="single" w:sz="8" w:color="BFE4FF"/>
            </w:tcBorders>
          </w:tcPr>
          <w:p>
            <w:pPr>
              <w:ind w:left="600"/>
              <w:spacing w:after="0"/>
              <w:rPr>
                <w:sz w:val="20"/>
                <w:szCs w:val="20"/>
                <w:color w:val="auto"/>
              </w:rPr>
            </w:pPr>
            <w:r>
              <w:rPr>
                <w:rFonts w:ascii="Arial" w:cs="Arial" w:eastAsia="Arial" w:hAnsi="Arial"/>
                <w:sz w:val="18"/>
                <w:szCs w:val="18"/>
                <w:color w:val="auto"/>
              </w:rPr>
              <w:t>Total fixed maturity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63,507</w:t>
            </w:r>
          </w:p>
        </w:tc>
        <w:tc>
          <w:tcPr>
            <w:tcW w:w="100" w:type="dxa"/>
            <w:vAlign w:val="bottom"/>
            <w:tcBorders>
              <w:bottom w:val="single" w:sz="8" w:color="BFE4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61,388</w:t>
            </w:r>
          </w:p>
        </w:tc>
        <w:tc>
          <w:tcPr>
            <w:tcW w:w="100" w:type="dxa"/>
            <w:vAlign w:val="bottom"/>
            <w:tcBorders>
              <w:bottom w:val="single" w:sz="8" w:color="BFE4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1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Percentage of cash and invested assets</w:t>
            </w:r>
          </w:p>
        </w:tc>
        <w:tc>
          <w:tcPr>
            <w:tcW w:w="2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Publicly-traded</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70.7%</w:t>
            </w:r>
          </w:p>
        </w:tc>
      </w:tr>
      <w:tr>
        <w:trPr>
          <w:trHeight w:val="243"/>
        </w:trPr>
        <w:tc>
          <w:tcPr>
            <w:tcW w:w="5100" w:type="dxa"/>
            <w:vAlign w:val="bottom"/>
          </w:tcPr>
          <w:p>
            <w:pPr>
              <w:ind w:left="260"/>
              <w:spacing w:after="0"/>
              <w:rPr>
                <w:sz w:val="20"/>
                <w:szCs w:val="20"/>
                <w:color w:val="auto"/>
              </w:rPr>
            </w:pPr>
            <w:r>
              <w:rPr>
                <w:rFonts w:ascii="Arial" w:cs="Arial" w:eastAsia="Arial" w:hAnsi="Arial"/>
                <w:sz w:val="18"/>
                <w:szCs w:val="18"/>
                <w:color w:val="auto"/>
              </w:rPr>
              <w:t>Privately-held</w:t>
            </w:r>
          </w:p>
        </w:tc>
        <w:tc>
          <w:tcPr>
            <w:tcW w:w="2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29.3</w:t>
            </w:r>
          </w:p>
        </w:tc>
      </w:tr>
      <w:tr>
        <w:trPr>
          <w:trHeight w:val="27"/>
        </w:trPr>
        <w:tc>
          <w:tcPr>
            <w:tcW w:w="5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0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114"/>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auto"/>
            </w:tcBorders>
            <w:shd w:val="clear" w:color="auto" w:fill="BFE4FF"/>
          </w:tcPr>
          <w:p>
            <w:pPr>
              <w:spacing w:after="0"/>
              <w:rPr>
                <w:sz w:val="22"/>
                <w:szCs w:val="22"/>
                <w:color w:val="auto"/>
              </w:rPr>
            </w:pPr>
          </w:p>
        </w:tc>
        <w:tc>
          <w:tcPr>
            <w:tcW w:w="7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BFE4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auto"/>
            </w:tcBorders>
            <w:shd w:val="clear" w:color="auto" w:fill="BFE4FF"/>
          </w:tcPr>
          <w:p>
            <w:pPr>
              <w:jc w:val="right"/>
              <w:ind w:right="114"/>
              <w:spacing w:after="0"/>
              <w:rPr>
                <w:sz w:val="20"/>
                <w:szCs w:val="20"/>
                <w:color w:val="auto"/>
              </w:rPr>
            </w:pPr>
            <w:r>
              <w:rPr>
                <w:rFonts w:ascii="Arial" w:cs="Arial" w:eastAsia="Arial" w:hAnsi="Arial"/>
                <w:sz w:val="18"/>
                <w:szCs w:val="18"/>
                <w:color w:val="auto"/>
              </w:rPr>
              <w:t>100.0%</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5100" w:type="dxa"/>
            <w:vAlign w:val="bottom"/>
          </w:tcPr>
          <w:p>
            <w:pPr>
              <w:ind w:left="600"/>
              <w:spacing w:after="0"/>
              <w:rPr>
                <w:sz w:val="20"/>
                <w:szCs w:val="20"/>
                <w:color w:val="auto"/>
              </w:rPr>
            </w:pPr>
            <w:r>
              <w:rPr>
                <w:rFonts w:ascii="Arial" w:cs="Arial" w:eastAsia="Arial" w:hAnsi="Arial"/>
                <w:sz w:val="18"/>
                <w:szCs w:val="18"/>
                <w:color w:val="auto"/>
              </w:rPr>
              <w:t>Percentage of cash and invested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100" w:type="dxa"/>
            <w:vAlign w:val="bottom"/>
            <w:shd w:val="clear" w:color="auto" w:fill="BFE4FF"/>
          </w:tcPr>
          <w:p>
            <w:pPr>
              <w:ind w:left="20"/>
              <w:spacing w:after="0"/>
              <w:rPr>
                <w:sz w:val="20"/>
                <w:szCs w:val="20"/>
                <w:color w:val="auto"/>
              </w:rPr>
            </w:pPr>
            <w:r>
              <w:rPr>
                <w:rFonts w:ascii="Arial" w:cs="Arial" w:eastAsia="Arial" w:hAnsi="Arial"/>
                <w:sz w:val="18"/>
                <w:szCs w:val="18"/>
                <w:color w:val="auto"/>
              </w:rPr>
              <w:t>Perpetual securities included within fixed maturity and equity</w:t>
            </w:r>
          </w:p>
        </w:tc>
        <w:tc>
          <w:tcPr>
            <w:tcW w:w="200" w:type="dxa"/>
            <w:vAlign w:val="bottom"/>
            <w:shd w:val="clear" w:color="auto" w:fill="BFE4FF"/>
          </w:tcPr>
          <w:p>
            <w:pPr>
              <w:spacing w:after="0"/>
              <w:rPr>
                <w:sz w:val="19"/>
                <w:szCs w:val="19"/>
                <w:color w:val="auto"/>
              </w:rPr>
            </w:pPr>
          </w:p>
        </w:tc>
        <w:tc>
          <w:tcPr>
            <w:tcW w:w="10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180" w:type="dxa"/>
            <w:vAlign w:val="bottom"/>
            <w:shd w:val="clear" w:color="auto" w:fill="BFE4FF"/>
          </w:tcPr>
          <w:p>
            <w:pPr>
              <w:spacing w:after="0"/>
              <w:rPr>
                <w:sz w:val="19"/>
                <w:szCs w:val="19"/>
                <w:color w:val="auto"/>
              </w:rPr>
            </w:pPr>
          </w:p>
        </w:tc>
      </w:tr>
      <w:tr>
        <w:trPr>
          <w:trHeight w:val="237"/>
        </w:trPr>
        <w:tc>
          <w:tcPr>
            <w:tcW w:w="5100" w:type="dxa"/>
            <w:vAlign w:val="bottom"/>
            <w:tcBorders>
              <w:bottom w:val="single" w:sz="8" w:color="BFE4FF"/>
            </w:tcBorders>
            <w:shd w:val="clear" w:color="auto" w:fill="BFE4FF"/>
          </w:tcPr>
          <w:p>
            <w:pPr>
              <w:ind w:left="340"/>
              <w:spacing w:after="0"/>
              <w:rPr>
                <w:sz w:val="20"/>
                <w:szCs w:val="20"/>
                <w:color w:val="auto"/>
              </w:rPr>
            </w:pPr>
            <w:r>
              <w:rPr>
                <w:rFonts w:ascii="Arial" w:cs="Arial" w:eastAsia="Arial" w:hAnsi="Arial"/>
                <w:sz w:val="18"/>
                <w:szCs w:val="18"/>
                <w:color w:val="auto"/>
              </w:rPr>
              <w:t>securities AFS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w w:val="96"/>
              </w:rPr>
              <w:t>Redeemable preferred stock with a stated maturity included within</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fixed maturity securities AFS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2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Perpetual securities are included within fixed maturity and equity securities. Upon acquisition, we classify perpetual securities that have attributes of both debt and equity as fixed maturity securities if the securities have an interest rate step-up feature which, when combined with other qualitative factors, indicates that the securities have more debt-like characteristics; while those with more equity-like characteristics are classified as equity securities. Many of such securities, commonly referred to as “perpetual hybrid securities,” have been issued by non-U.S. financial institutions that are accorded the highest two capital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27" w:right="239" w:bottom="1440" w:gutter="0" w:footer="0" w:header="0"/>
        </w:sectPr>
      </w:pPr>
    </w:p>
    <w:bookmarkStart w:id="103" w:name="page104"/>
    <w:bookmarkEnd w:id="103"/>
    <w:p>
      <w:pPr>
        <w:jc w:val="both"/>
        <w:ind w:left="180"/>
        <w:spacing w:after="0" w:line="277" w:lineRule="auto"/>
        <w:rPr>
          <w:sz w:val="20"/>
          <w:szCs w:val="20"/>
          <w:color w:val="auto"/>
        </w:rPr>
      </w:pPr>
      <w:r>
        <w:rPr>
          <w:rFonts w:ascii="Arial" w:cs="Arial" w:eastAsia="Arial" w:hAnsi="Arial"/>
          <w:sz w:val="18"/>
          <w:szCs w:val="18"/>
          <w:color w:val="auto"/>
        </w:rPr>
        <w:t>treatment categories by their respective regulatory bodies (i.e., core capital, or “Tier 1 capital,” and perpetual deferrable securities, or “Upper Tier 2 capital”).</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 xml:space="preserve">Redeemable preferred stock with a stated maturity is included within fixed maturity securities. These securities, which are commonly referred to as “capital securities,” primarily have cumulative interest deferral features and are primarily issued by U.S. financial institutions. See also “Management’s Discussion and Analysis of Financial Condition and Results of Operations </w:t>
      </w:r>
      <w:r>
        <w:rPr>
          <w:rFonts w:ascii="Arial" w:cs="Arial" w:eastAsia="Arial" w:hAnsi="Arial"/>
          <w:sz w:val="17"/>
          <w:szCs w:val="17"/>
          <w:b w:val="1"/>
          <w:bCs w:val="1"/>
          <w:color w:val="auto"/>
        </w:rPr>
        <w:t>—</w:t>
      </w:r>
      <w:r>
        <w:rPr>
          <w:rFonts w:ascii="Arial" w:cs="Arial" w:eastAsia="Arial" w:hAnsi="Arial"/>
          <w:sz w:val="17"/>
          <w:szCs w:val="17"/>
          <w:color w:val="auto"/>
        </w:rPr>
        <w:t xml:space="preserve"> Investments — Fixed Maturity and Equity Securities AFS — Valuation of Securities” included in the Form 10 for further information on the processes used to value securities and the related controls.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of Fixed Maturity and Equity Securities — AFS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Fixed maturity and equity securities AFS measured at estimated fair value on a recurring basis and their corresponding fair value pricing sources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June 30, 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5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60" w:type="dxa"/>
            <w:vAlign w:val="bottom"/>
            <w:gridSpan w:val="3"/>
          </w:tcPr>
          <w:p>
            <w:pPr>
              <w:jc w:val="center"/>
              <w:ind w:left="261"/>
              <w:spacing w:after="0" w:line="153" w:lineRule="exact"/>
              <w:rPr>
                <w:sz w:val="20"/>
                <w:szCs w:val="20"/>
                <w:color w:val="auto"/>
              </w:rPr>
            </w:pPr>
            <w:r>
              <w:rPr>
                <w:rFonts w:ascii="Arial" w:cs="Arial" w:eastAsia="Arial" w:hAnsi="Arial"/>
                <w:sz w:val="14"/>
                <w:szCs w:val="14"/>
                <w:b w:val="1"/>
                <w:bCs w:val="1"/>
                <w:color w:val="auto"/>
                <w:w w:val="98"/>
              </w:rPr>
              <w:t>Fixed Maturity</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center"/>
              <w:ind w:left="1"/>
              <w:spacing w:after="0" w:line="153"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3"/>
                <w:szCs w:val="13"/>
                <w:color w:val="auto"/>
              </w:rPr>
            </w:pPr>
          </w:p>
        </w:tc>
      </w:tr>
      <w:tr>
        <w:trPr>
          <w:trHeight w:val="192"/>
        </w:trPr>
        <w:tc>
          <w:tcPr>
            <w:tcW w:w="50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4"/>
                <w:szCs w:val="14"/>
                <w:b w:val="1"/>
                <w:bCs w:val="1"/>
                <w:color w:val="auto"/>
                <w:w w:val="89"/>
              </w:rPr>
              <w:t>Securities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880" w:type="dxa"/>
            <w:vAlign w:val="bottom"/>
            <w:tcBorders>
              <w:bottom w:val="single" w:sz="8" w:color="auto"/>
            </w:tcBorders>
          </w:tcPr>
          <w:p>
            <w:pPr>
              <w:spacing w:after="0"/>
              <w:rPr>
                <w:sz w:val="16"/>
                <w:szCs w:val="16"/>
                <w:color w:val="auto"/>
              </w:rPr>
            </w:pPr>
          </w:p>
        </w:tc>
      </w:tr>
      <w:tr>
        <w:trPr>
          <w:trHeight w:val="196"/>
        </w:trPr>
        <w:tc>
          <w:tcPr>
            <w:tcW w:w="5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Quoted prices in active markets for identical assets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8,077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0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51,099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37.1</w:t>
            </w:r>
          </w:p>
        </w:tc>
      </w:tr>
      <w:tr>
        <w:trPr>
          <w:trHeight w:val="33"/>
        </w:trPr>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000" w:type="dxa"/>
            <w:vAlign w:val="bottom"/>
          </w:tcPr>
          <w:p>
            <w:pPr>
              <w:ind w:left="360"/>
              <w:spacing w:after="0"/>
              <w:rPr>
                <w:sz w:val="20"/>
                <w:szCs w:val="20"/>
                <w:color w:val="auto"/>
              </w:rPr>
            </w:pPr>
            <w:r>
              <w:rPr>
                <w:rFonts w:ascii="Arial" w:cs="Arial" w:eastAsia="Arial" w:hAnsi="Arial"/>
                <w:sz w:val="16"/>
                <w:szCs w:val="16"/>
                <w:color w:val="auto"/>
              </w:rPr>
              <w:t>Significant other observable inputs</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51,585</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37.1</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3</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60"/>
        </w:trPr>
        <w:tc>
          <w:tcPr>
            <w:tcW w:w="50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44.6</w:t>
            </w:r>
          </w:p>
        </w:tc>
      </w:tr>
      <w:tr>
        <w:trPr>
          <w:trHeight w:val="33"/>
        </w:trPr>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broker quotations</w:t>
            </w:r>
          </w:p>
        </w:tc>
        <w:tc>
          <w:tcPr>
            <w:tcW w:w="5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Significant unobservable inputs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48.2</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Total estimated fair value</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63,507</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See Note 6 of the Notes to the Interim Condensed Combined Financial Statements for the fixed maturity securities and equity securities AFS fair value hierarchy.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fair value pricing sources for and significant changes in Level 3 securities at June 30, 2017, are as follows:</w:t>
      </w:r>
    </w:p>
    <w:p>
      <w:pPr>
        <w:spacing w:after="0" w:line="117" w:lineRule="exact"/>
        <w:rPr>
          <w:sz w:val="20"/>
          <w:szCs w:val="20"/>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majority of the Level 3 fixed maturity and equity securities AFS were concentrated in three sectors: U.S. and foreign corporate securities and residential mortgage-backed securities (“RMBS”).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Level 3 fixed maturity securities are priced principally through market standard valuation methodologies, independent pricing services and, to a much lesser extent, independent non-binding broker quotations using inputs that are not market observable or cannot be derived principally from or corroborated by observable market data. Level 3 fixed maturity securities consist of less liquid securities with very limited trading activity or where less price transparency exists around the inputs to the valuation methodologies. Level 3 fixed maturity securities include: sub-prime RMBS; certain below investment grade private securities and less liquid investment grade corporate securities (included in U.S. and foreign corporate securities) and less liquid asset-backed securities (“ABS”).</w:t>
      </w:r>
    </w:p>
    <w:p>
      <w:pPr>
        <w:spacing w:after="0" w:line="8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three months ended June 30, 2017, Level 3 fixed maturity securities decreased by $205 million, or 5%. The decrease was driven by sales in excess of purchases and net transfers out of Level 3, partially offset by an increase in estimated fair value recognized in other comprehensive income (“OCI”).</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During the six months ended June 30, 2017, Level 3 fixed maturity securities decreased by $274 million, or 7%. The decrease was driven by net transfers out of Level 3 and sales in excess of purchases, partially offset by an increase in estimated fair value recognized in OCI.</w:t>
      </w: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6 of the Notes to the Interim Condensed Combined Financial Statements for a rollforward of the fair value measurements for fixed maturity securities and equity securities AFS measured at estimated fair value on a recurring basis using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27" w:right="23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significant unobservable (Level 3) inputs; transfers into and/or out of Level 3; and further information about the valuation approaches and inputs by level by major classes of invested assets that affect the amounts reported above.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 4 of the Notes to the Interim Condensed Combined Financial Statements for information about fixed maturity securities AFS by sector, contractual maturities and continuous gross unrealized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and Equity Securities AFS — Fixed Maturity Securities Credit Quality — Ratings” included in the Form 10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revised methodologies adopted by the NAIC for certain structured securities.</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91"/>
              <w:spacing w:after="0"/>
              <w:rPr>
                <w:sz w:val="20"/>
                <w:szCs w:val="20"/>
                <w:color w:val="auto"/>
              </w:rPr>
            </w:pPr>
            <w:r>
              <w:rPr>
                <w:rFonts w:ascii="Arial" w:cs="Arial" w:eastAsia="Arial" w:hAnsi="Arial"/>
                <w:sz w:val="13"/>
                <w:szCs w:val="13"/>
                <w:b w:val="1"/>
                <w:bCs w:val="1"/>
                <w:color w:val="auto"/>
                <w:w w:val="85"/>
              </w:rPr>
              <w:t>June 30, 2017</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Estimated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NAIC</w:t>
            </w: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66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80" w:type="dxa"/>
            <w:vAlign w:val="bottom"/>
          </w:tcPr>
          <w:p>
            <w:pPr>
              <w:spacing w:after="0"/>
              <w:rPr>
                <w:sz w:val="11"/>
                <w:szCs w:val="11"/>
                <w:color w:val="auto"/>
              </w:rPr>
            </w:pPr>
          </w:p>
        </w:tc>
        <w:tc>
          <w:tcPr>
            <w:tcW w:w="7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Fair</w:t>
            </w:r>
          </w:p>
        </w:tc>
        <w:tc>
          <w:tcPr>
            <w:tcW w:w="56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Designation</w:t>
            </w:r>
          </w:p>
        </w:tc>
        <w:tc>
          <w:tcPr>
            <w:tcW w:w="2380" w:type="dxa"/>
            <w:vAlign w:val="bottom"/>
            <w:gridSpan w:val="2"/>
          </w:tcPr>
          <w:p>
            <w:pPr>
              <w:ind w:left="700"/>
              <w:spacing w:after="0"/>
              <w:rPr>
                <w:sz w:val="20"/>
                <w:szCs w:val="20"/>
                <w:color w:val="auto"/>
              </w:rPr>
            </w:pPr>
            <w:r>
              <w:rPr>
                <w:rFonts w:ascii="Arial" w:cs="Arial" w:eastAsia="Arial" w:hAnsi="Arial"/>
                <w:sz w:val="13"/>
                <w:szCs w:val="13"/>
                <w:b w:val="1"/>
                <w:bCs w:val="1"/>
                <w:color w:val="auto"/>
              </w:rPr>
              <w:t>NRSRO Rating</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Gain (Loss)</w:t>
            </w: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660" w:type="dxa"/>
            <w:vAlign w:val="bottom"/>
          </w:tcPr>
          <w:p>
            <w:pPr>
              <w:jc w:val="right"/>
              <w:ind w:right="13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Gain (Loss)</w:t>
            </w:r>
          </w:p>
        </w:tc>
        <w:tc>
          <w:tcPr>
            <w:tcW w:w="28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Value</w:t>
            </w:r>
          </w:p>
        </w:tc>
        <w:tc>
          <w:tcPr>
            <w:tcW w:w="560" w:type="dxa"/>
            <w:vAlign w:val="bottom"/>
          </w:tcPr>
          <w:p>
            <w:pPr>
              <w:jc w:val="right"/>
              <w:ind w:right="7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gridSpan w:val="5"/>
          </w:tcPr>
          <w:p>
            <w:pPr>
              <w:jc w:val="center"/>
              <w:ind w:right="480"/>
              <w:spacing w:after="0"/>
              <w:rPr>
                <w:sz w:val="20"/>
                <w:szCs w:val="20"/>
                <w:color w:val="auto"/>
              </w:rPr>
            </w:pPr>
            <w:r>
              <w:rPr>
                <w:rFonts w:ascii="Arial" w:cs="Arial" w:eastAsia="Arial" w:hAnsi="Arial"/>
                <w:sz w:val="13"/>
                <w:szCs w:val="13"/>
                <w:b w:val="1"/>
                <w:bCs w:val="1"/>
                <w:color w:val="auto"/>
                <w:w w:val="89"/>
              </w:rPr>
              <w:t>(Dollars in millions)</w:t>
            </w:r>
          </w:p>
        </w:tc>
        <w:tc>
          <w:tcPr>
            <w:tcW w:w="6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Aaa/Aa/A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41,891</w:t>
            </w:r>
          </w:p>
        </w:tc>
        <w:tc>
          <w:tcPr>
            <w:tcW w:w="1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3,193</w:t>
            </w:r>
          </w:p>
        </w:tc>
        <w:tc>
          <w:tcPr>
            <w:tcW w:w="1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45,084</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41,070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43,182</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Baa</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14,561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964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15,525</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14,730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15,277</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2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Subtotal investment grade</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56,452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4,157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60,609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58,459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Ba</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2,068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2,128</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Caa and lower</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or near default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gridSpan w:val="4"/>
          </w:tcPr>
          <w:p>
            <w:pPr>
              <w:jc w:val="right"/>
              <w:ind w:right="1200"/>
              <w:spacing w:after="0"/>
              <w:rPr>
                <w:sz w:val="20"/>
                <w:szCs w:val="20"/>
                <w:color w:val="auto"/>
              </w:rPr>
            </w:pPr>
            <w:r>
              <w:rPr>
                <w:rFonts w:ascii="Arial" w:cs="Arial" w:eastAsia="Arial" w:hAnsi="Arial"/>
                <w:sz w:val="14"/>
                <w:szCs w:val="14"/>
                <w:color w:val="auto"/>
              </w:rPr>
              <w:t>Subtotal below investment grade</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2,825</w:t>
            </w: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2,898</w:t>
            </w:r>
          </w:p>
        </w:tc>
        <w:tc>
          <w:tcPr>
            <w:tcW w:w="12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2,929</w:t>
            </w:r>
          </w:p>
        </w:tc>
        <w:tc>
          <w:tcPr>
            <w:tcW w:w="10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gridSpan w:val="4"/>
            <w:shd w:val="clear" w:color="auto" w:fill="CCEEFF"/>
          </w:tcPr>
          <w:p>
            <w:pPr>
              <w:jc w:val="right"/>
              <w:ind w:right="120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59,277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4,230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63,507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58,715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61,388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27" w:right="239" w:bottom="1440" w:gutter="0" w:footer="0" w:header="0"/>
        </w:sectPr>
      </w:pPr>
    </w:p>
    <w:bookmarkStart w:id="105" w:name="page106"/>
    <w:bookmarkEnd w:id="105"/>
    <w:p>
      <w:pPr>
        <w:jc w:val="both"/>
        <w:ind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at:</w:t>
      </w: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15"/>
          </w:tcPr>
          <w:p>
            <w:pPr>
              <w:jc w:val="center"/>
              <w:ind w:right="22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3</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Aaa/Aa/A</w:t>
            </w:r>
          </w:p>
        </w:tc>
        <w:tc>
          <w:tcPr>
            <w:tcW w:w="22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20" w:type="dxa"/>
            <w:vAlign w:val="bottom"/>
          </w:tcPr>
          <w:p>
            <w:pPr>
              <w:spacing w:after="0"/>
              <w:rPr>
                <w:sz w:val="13"/>
                <w:szCs w:val="13"/>
                <w:color w:val="auto"/>
              </w:rPr>
            </w:pPr>
          </w:p>
        </w:tc>
        <w:tc>
          <w:tcPr>
            <w:tcW w:w="6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Ba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Caa and</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In or Near</w:t>
            </w:r>
          </w:p>
        </w:tc>
        <w:tc>
          <w:tcPr>
            <w:tcW w:w="140" w:type="dxa"/>
            <w:vAlign w:val="bottom"/>
          </w:tcPr>
          <w:p>
            <w:pPr>
              <w:spacing w:after="0"/>
              <w:rPr>
                <w:sz w:val="13"/>
                <w:szCs w:val="13"/>
                <w:color w:val="auto"/>
              </w:rPr>
            </w:pPr>
          </w:p>
        </w:tc>
        <w:tc>
          <w:tcPr>
            <w:tcW w:w="92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3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Lower</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6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95"/>
              </w:rPr>
              <w:t>(Dollars in millions)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2017</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10,054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10,322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1,360</w:t>
            </w:r>
          </w:p>
        </w:tc>
        <w:tc>
          <w:tcPr>
            <w:tcW w:w="3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22,412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15,511</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RMBS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8,168</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6,627</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7"/>
        </w:trPr>
        <w:tc>
          <w:tcPr>
            <w:tcW w:w="312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45,084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15,525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2,128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63,507</w:t>
            </w:r>
          </w:p>
        </w:tc>
        <w:tc>
          <w:tcPr>
            <w:tcW w:w="0" w:type="dxa"/>
            <w:vAlign w:val="bottom"/>
          </w:tcPr>
          <w:p>
            <w:pPr>
              <w:spacing w:after="0"/>
              <w:rPr>
                <w:sz w:val="1"/>
                <w:szCs w:val="1"/>
                <w:color w:val="auto"/>
              </w:rPr>
            </w:pPr>
          </w:p>
        </w:tc>
      </w:tr>
      <w:tr>
        <w:trPr>
          <w:trHeight w:val="73"/>
        </w:trPr>
        <w:tc>
          <w:tcPr>
            <w:tcW w:w="3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2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1,466</w:t>
            </w:r>
          </w:p>
        </w:tc>
        <w:tc>
          <w:tcPr>
            <w:tcW w:w="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12,920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13,090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6,393</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2,652</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2,166</w:t>
            </w:r>
          </w:p>
        </w:tc>
        <w:tc>
          <w:tcPr>
            <w:tcW w:w="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61,388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420" w:top="1043" w:right="239" w:bottom="1440" w:gutter="0" w:footer="0" w:header="0"/>
        </w:sectPr>
      </w:pPr>
    </w:p>
    <w:bookmarkStart w:id="106" w:name="page107"/>
    <w:bookmarkEnd w:id="106"/>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June 30, 2017 and December 31, 2016. The tables below present our U.S. and foreign corporate securities holdings by industry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 2017</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3"/>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center"/>
              <w:ind w:right="960"/>
              <w:spacing w:after="0" w:line="153" w:lineRule="exact"/>
              <w:rPr>
                <w:sz w:val="20"/>
                <w:szCs w:val="20"/>
                <w:color w:val="auto"/>
              </w:rPr>
            </w:pPr>
            <w:r>
              <w:rPr>
                <w:rFonts w:ascii="Arial" w:cs="Arial" w:eastAsia="Arial" w:hAnsi="Arial"/>
                <w:sz w:val="14"/>
                <w:szCs w:val="14"/>
                <w:b w:val="1"/>
                <w:bCs w:val="1"/>
                <w:color w:val="auto"/>
                <w:w w:val="95"/>
              </w:rPr>
              <w:t>Estimated</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2000" w:type="dxa"/>
            <w:vAlign w:val="bottom"/>
            <w:gridSpan w:val="3"/>
          </w:tcPr>
          <w:p>
            <w:pPr>
              <w:jc w:val="center"/>
              <w:ind w:right="102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rPr>
              <w:t>Fair</w:t>
            </w: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rPr>
              <w:t>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4"/>
                <w:szCs w:val="14"/>
                <w:b w:val="1"/>
                <w:bCs w:val="1"/>
                <w:color w:val="auto"/>
                <w:w w:val="96"/>
              </w:rPr>
              <w:t>Value</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20" w:type="dxa"/>
            <w:vAlign w:val="bottom"/>
            <w:gridSpan w:val="6"/>
          </w:tcPr>
          <w:p>
            <w:pPr>
              <w:ind w:left="5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9,054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8,790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7,059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Finance</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5,652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5,644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Utility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Communications</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66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29,039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28,704</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We held $13.7 billion and $14.5 billion of structured securities, at estimated fair value, at June 30, 2017 and December 31, 2016, respectively, as presented in the RMBS, commercial mortgage-backed securities (“CMBS”) and ABS sections below.</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our RMBS holdings at:</w:t>
      </w: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June 30, 2017</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5"/>
              </w:rPr>
              <w:t>December 31, 2016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Estimated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1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Unrealized</w:t>
            </w:r>
          </w:p>
        </w:tc>
        <w:tc>
          <w:tcPr>
            <w:tcW w:w="1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Fair</w:t>
            </w:r>
          </w:p>
        </w:tc>
        <w:tc>
          <w:tcPr>
            <w:tcW w:w="126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1"/>
                <w:szCs w:val="11"/>
                <w:color w:val="auto"/>
              </w:rPr>
            </w:pPr>
          </w:p>
        </w:tc>
        <w:tc>
          <w:tcPr>
            <w:tcW w:w="1060" w:type="dxa"/>
            <w:vAlign w:val="bottom"/>
          </w:tcPr>
          <w:p>
            <w:pPr>
              <w:jc w:val="right"/>
              <w:ind w:right="143"/>
              <w:spacing w:after="0" w:line="135" w:lineRule="exact"/>
              <w:rPr>
                <w:sz w:val="20"/>
                <w:szCs w:val="20"/>
                <w:color w:val="auto"/>
              </w:rPr>
            </w:pPr>
            <w:r>
              <w:rPr>
                <w:rFonts w:ascii="Arial" w:cs="Arial" w:eastAsia="Arial" w:hAnsi="Arial"/>
                <w:sz w:val="13"/>
                <w:szCs w:val="13"/>
                <w:b w:val="1"/>
                <w:bCs w:val="1"/>
                <w:color w:val="auto"/>
                <w:w w:val="90"/>
              </w:rPr>
              <w:t>Net Unrealized</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Gains (Losses)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87"/>
              </w:rPr>
              <w:t>Gains (Losses)</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600"/>
              <w:spacing w:after="0"/>
              <w:rPr>
                <w:sz w:val="20"/>
                <w:szCs w:val="20"/>
                <w:color w:val="auto"/>
              </w:rPr>
            </w:pPr>
            <w:r>
              <w:rPr>
                <w:rFonts w:ascii="Arial" w:cs="Arial" w:eastAsia="Arial" w:hAnsi="Arial"/>
                <w:sz w:val="13"/>
                <w:szCs w:val="13"/>
                <w:b w:val="1"/>
                <w:bCs w:val="1"/>
                <w:color w:val="auto"/>
              </w:rPr>
              <w:t>(Dollars 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40" w:type="dxa"/>
            <w:vAlign w:val="bottom"/>
          </w:tcPr>
          <w:p>
            <w:pPr>
              <w:ind w:left="20"/>
              <w:spacing w:after="0"/>
              <w:rPr>
                <w:sz w:val="20"/>
                <w:szCs w:val="20"/>
                <w:color w:val="auto"/>
              </w:rPr>
            </w:pPr>
            <w:r>
              <w:rPr>
                <w:rFonts w:ascii="Arial" w:cs="Arial" w:eastAsia="Arial" w:hAnsi="Arial"/>
                <w:sz w:val="16"/>
                <w:szCs w:val="16"/>
                <w:color w:val="auto"/>
              </w:rPr>
              <w:t>By security type: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mortgage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5,505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Pass-through securities</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20"/>
                <w:szCs w:val="20"/>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20"/>
                <w:szCs w:val="20"/>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RMBS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8,168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By risk profile: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Agency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Prime</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Alt-A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Sub-prime</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0"/>
                <w:szCs w:val="20"/>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RMBS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8,168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Ratings profile: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Rated Aaa/AAA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Designated NAIC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7,726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See also “Management’s Discussion and Analysis of Financial Condition and Results of Operations — Investments — Fixed Maturity and Equity Securities AFS — Structured Securities — RMBS” included in the Form 10 for further information about collateralized mortgage obligations and pass-through mortgage-backed securities, as well as agency, prime, alternative residential mortgage loan and sub-prime RMBS.</w:t>
      </w:r>
    </w:p>
    <w:p>
      <w:pPr>
        <w:spacing w:after="0" w:line="5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Historically, we have managed our exposure to sub-prime RMBS holdings by focusing primarily on senior tranche securities, stress testing the portfolio with severe loss assumptions and closely monitoring the performance of the portfolio. Our sub-prime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827" w:right="239" w:bottom="1440" w:gutter="0" w:footer="0" w:header="0"/>
        </w:sectPr>
      </w:pPr>
    </w:p>
    <w:bookmarkStart w:id="107" w:name="page108"/>
    <w:bookmarkEnd w:id="107"/>
    <w:p>
      <w:pPr>
        <w:jc w:val="both"/>
        <w:ind w:left="60"/>
        <w:spacing w:after="0" w:line="302" w:lineRule="auto"/>
        <w:rPr>
          <w:sz w:val="20"/>
          <w:szCs w:val="20"/>
          <w:color w:val="auto"/>
        </w:rPr>
      </w:pPr>
      <w:r>
        <w:rPr>
          <w:rFonts w:ascii="Arial" w:cs="Arial" w:eastAsia="Arial" w:hAnsi="Arial"/>
          <w:sz w:val="16"/>
          <w:szCs w:val="16"/>
          <w:color w:val="auto"/>
        </w:rPr>
        <w:t>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$1.1 billion and $1.2 billion at June 30, 2017 and December 31, 2016, respectively, with unrealized gains (losses) of $44 million and $17 million at June 30, 2017 and December 31, 2016, respectively.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CMBS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CMBS holdings are diversified by vintage year. The following tables present our CMBS holdings by NRSRO rating and by vintage year at: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40"/>
              <w:spacing w:after="0"/>
              <w:rPr>
                <w:sz w:val="20"/>
                <w:szCs w:val="20"/>
                <w:color w:val="auto"/>
              </w:rPr>
            </w:pPr>
            <w:r>
              <w:rPr>
                <w:rFonts w:ascii="Arial" w:cs="Arial" w:eastAsia="Arial" w:hAnsi="Arial"/>
                <w:sz w:val="11"/>
                <w:szCs w:val="11"/>
                <w:b w:val="1"/>
                <w:bCs w:val="1"/>
                <w:color w:val="auto"/>
                <w:w w:val="86"/>
              </w:rPr>
              <w:t>June 30, 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6"/>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8"/>
              </w:rPr>
              <w:t>Aaa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9"/>
              </w:rPr>
              <w:t>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8"/>
              </w:rPr>
              <w:t>Baa</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7"/>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0"/>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68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500" w:type="dxa"/>
            <w:vAlign w:val="bottom"/>
          </w:tcPr>
          <w:p>
            <w:pPr>
              <w:jc w:val="center"/>
              <w:ind w:left="186"/>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20"/>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2003 — 2010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0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1,163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2,057</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2,089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858</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347</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3,299</w:t>
            </w:r>
          </w:p>
        </w:tc>
        <w:tc>
          <w:tcPr>
            <w:tcW w:w="0" w:type="dxa"/>
            <w:vAlign w:val="bottom"/>
          </w:tcPr>
          <w:p>
            <w:pPr>
              <w:spacing w:after="0"/>
              <w:rPr>
                <w:sz w:val="1"/>
                <w:szCs w:val="1"/>
                <w:color w:val="auto"/>
              </w:rPr>
            </w:pPr>
          </w:p>
        </w:tc>
      </w:tr>
      <w:tr>
        <w:trPr>
          <w:trHeight w:val="77"/>
        </w:trPr>
        <w:tc>
          <w:tcPr>
            <w:tcW w:w="126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3"/>
                <w:szCs w:val="13"/>
                <w:color w:val="auto"/>
              </w:rPr>
              <w:t>Ratings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1260" w:type="dxa"/>
            <w:vAlign w:val="bottom"/>
          </w:tcPr>
          <w:p>
            <w:pPr>
              <w:ind w:left="200"/>
              <w:spacing w:after="0"/>
              <w:rPr>
                <w:sz w:val="20"/>
                <w:szCs w:val="20"/>
                <w:color w:val="auto"/>
              </w:rPr>
            </w:pPr>
            <w:r>
              <w:rPr>
                <w:rFonts w:ascii="Arial" w:cs="Arial" w:eastAsia="Arial" w:hAnsi="Arial"/>
                <w:sz w:val="13"/>
                <w:szCs w:val="13"/>
                <w:color w:val="auto"/>
              </w:rPr>
              <w:t>Distribution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left="40"/>
              <w:spacing w:after="0"/>
              <w:rPr>
                <w:sz w:val="20"/>
                <w:szCs w:val="20"/>
                <w:color w:val="auto"/>
              </w:rPr>
            </w:pPr>
            <w:r>
              <w:rPr>
                <w:rFonts w:ascii="Arial" w:cs="Arial" w:eastAsia="Arial" w:hAnsi="Arial"/>
                <w:sz w:val="11"/>
                <w:szCs w:val="11"/>
                <w:b w:val="1"/>
                <w:bCs w:val="1"/>
                <w:color w:val="auto"/>
                <w:w w:val="86"/>
              </w:rPr>
              <w:t>December 31, 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6"/>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8"/>
              </w:rPr>
              <w:t>Aaa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9"/>
              </w:rPr>
              <w:t>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8"/>
              </w:rPr>
              <w:t>Baa</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7"/>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0"/>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68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500" w:type="dxa"/>
            <w:vAlign w:val="bottom"/>
          </w:tcPr>
          <w:p>
            <w:pPr>
              <w:jc w:val="center"/>
              <w:ind w:left="186"/>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20"/>
              <w:spacing w:after="0"/>
              <w:rPr>
                <w:sz w:val="20"/>
                <w:szCs w:val="20"/>
                <w:color w:val="auto"/>
              </w:rPr>
            </w:pPr>
            <w:r>
              <w:rPr>
                <w:rFonts w:ascii="Arial" w:cs="Arial" w:eastAsia="Arial" w:hAnsi="Arial"/>
                <w:sz w:val="11"/>
                <w:szCs w:val="11"/>
                <w:b w:val="1"/>
                <w:bCs w:val="1"/>
                <w:color w:val="auto"/>
                <w:w w:val="90"/>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2003—2010</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2,536</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2,544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920</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925</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338</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338</w:t>
            </w:r>
          </w:p>
        </w:tc>
        <w:tc>
          <w:tcPr>
            <w:tcW w:w="620" w:type="dxa"/>
            <w:vAlign w:val="bottom"/>
            <w:gridSpan w:val="2"/>
            <w:vMerge w:val="restart"/>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3,799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3,812</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Ratings</w:t>
            </w: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Distribution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The tables above reflect NRSRO ratings, including Moody’s Investor Service, S&amp;P, Fitch and Morningstar, Inc. CMBS designated NAIC 1 were 100.0% of total CMBS at both June 30, 2017 and December 31, 2016.</w:t>
      </w:r>
    </w:p>
    <w:p>
      <w:pPr>
        <w:spacing w:after="0" w:line="19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360" w:top="827" w:right="239" w:bottom="1440" w:gutter="0" w:footer="0" w:header="0"/>
        </w:sectPr>
      </w:pPr>
    </w:p>
    <w:bookmarkStart w:id="108" w:name="page109"/>
    <w:bookmarkEnd w:id="108"/>
    <w:p>
      <w:pPr>
        <w:ind w:left="180"/>
        <w:spacing w:after="0"/>
        <w:rPr>
          <w:sz w:val="20"/>
          <w:szCs w:val="20"/>
          <w:color w:val="auto"/>
        </w:rPr>
      </w:pPr>
      <w:r>
        <w:rPr>
          <w:rFonts w:ascii="Arial" w:cs="Arial" w:eastAsia="Arial" w:hAnsi="Arial"/>
          <w:sz w:val="18"/>
          <w:szCs w:val="18"/>
          <w:b w:val="1"/>
          <w:bCs w:val="1"/>
          <w:i w:val="1"/>
          <w:iCs w:val="1"/>
          <w:u w:val="single" w:color="auto"/>
          <w:color w:val="auto"/>
        </w:rPr>
        <w:t>ABS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ABS holdings are diversified both by collateral type and by issuer. The following table presents our ABS holdings at:</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3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87"/>
              </w:rPr>
              <w:t>June 30, 2017</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93"/>
              </w:rPr>
              <w:t>December 31, 2016</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64"/>
              <w:spacing w:after="0" w:line="144"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Fair</w:t>
            </w:r>
          </w:p>
        </w:tc>
        <w:tc>
          <w:tcPr>
            <w:tcW w:w="102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Fair</w:t>
            </w:r>
          </w:p>
        </w:tc>
        <w:tc>
          <w:tcPr>
            <w:tcW w:w="102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260" w:type="dxa"/>
            <w:vAlign w:val="bottom"/>
          </w:tcPr>
          <w:p>
            <w:pPr>
              <w:jc w:val="center"/>
              <w:ind w:right="164"/>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3"/>
              </w:rPr>
              <w:t>Gains (Losses)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02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83"/>
              </w:rPr>
              <w:t>Gains (Losses)</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800"/>
              <w:spacing w:after="0"/>
              <w:rPr>
                <w:sz w:val="20"/>
                <w:szCs w:val="20"/>
                <w:color w:val="auto"/>
              </w:rPr>
            </w:pPr>
            <w:r>
              <w:rPr>
                <w:rFonts w:ascii="Arial" w:cs="Arial" w:eastAsia="Arial" w:hAnsi="Arial"/>
                <w:sz w:val="13"/>
                <w:szCs w:val="13"/>
                <w:b w:val="1"/>
                <w:bCs w:val="1"/>
                <w:color w:val="auto"/>
              </w:rPr>
              <w:t>(Dollars in millions)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Arial" w:cs="Arial" w:eastAsia="Arial" w:hAnsi="Arial"/>
                <w:sz w:val="16"/>
                <w:szCs w:val="16"/>
                <w:color w:val="auto"/>
              </w:rPr>
              <w:t>By collateral type: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Automobile loans</w:t>
            </w:r>
          </w:p>
        </w:tc>
        <w:tc>
          <w:tcPr>
            <w:tcW w:w="2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Credit card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Student loans</w:t>
            </w:r>
          </w:p>
        </w:tc>
        <w:tc>
          <w:tcPr>
            <w:tcW w:w="2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residential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Other loans</w:t>
            </w:r>
          </w:p>
        </w:tc>
        <w:tc>
          <w:tcPr>
            <w:tcW w:w="2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6"/>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Ratings profile: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Rated Aaa/AAA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Designated NAIC 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2,343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AFS Securities for OTTI and Evaluating Temporarily Impaired AFS Securities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4 of the Notes to the Interim Condensed Combined Financial Statements for information about the evaluation of fixed maturity securities and equity securities AFS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OTTI Losses on Fixed Maturity and Equity Securities AFS Recognized in Earnings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4 of the Notes to the Interim Condensed Combined Financial Statements for information about OTTI losses and gross gains and gross losses on AFS securities sold.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Overview of Fixed Maturity and Equity Security OTTI Losses Recognized in Earnings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Impairments of fixed maturity and equity securities were $1 million for both the three months and six months ended June 30, 2017, and $2 million and $19 million for the three months and six months ended June 30, 2016, respectively. Impairments of fixed maturity securities were $1 million for both the three months and six months ended June 30, 2017, and $2 million and $18 million for the three months and six months ended June 30, 2016, respectively. Impairments of equity securities were less than $1 million for both the three months and six months ended June 30, 2017, and less than $1 million and $1 million for the three months and six months ended June 30, 2016, respectively.</w:t>
      </w:r>
    </w:p>
    <w:p>
      <w:pPr>
        <w:spacing w:after="0" w:line="80"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Credit-related impairments of fixed maturity securities were $1 million for both the three and six months ended June 30, 2017, and $1 million and $17 million for the three and six months ended June 30, 2016, respectively.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Explanations of changes in fixed maturity and equity securities impairments are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Three Months Ended June 30, 2017 Compared with the Three Months Ended June 30, 2016</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change in overall OTTI losses recognized in earnings on fixed maturity and equity securities was not significant for the three months ended June 30, 2017 compared to the three months ended June 30, 2016.</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Six Months Ended June 30, 2017 Compared with the Six Months Ended June 30, 2016</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Overall OTTI losses recognized in earnings on fixed maturity and equity securities were $1 million for the six months ended June 30, 2017 as compared to $19 million for the six months ended June 30, 2016. A decrease of $16 million in OTTI losses on U.S. and foreign corporate industrial securities in the current period primarily reflects impairments on energy sector securities in the prior period.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Future Impairments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Future OTTI will depend primarily on economic fundamentals, issuer performance (including changes in the present value of future cash flows expected to be collected), and changes in credit ratings, collateral valuation, interest rates and credit spreads,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827" w:right="239" w:bottom="1440" w:gutter="0" w:footer="0" w:header="0"/>
        </w:sectPr>
      </w:pPr>
    </w:p>
    <w:bookmarkStart w:id="109" w:name="page110"/>
    <w:bookmarkEnd w:id="109"/>
    <w:p>
      <w:pPr>
        <w:ind w:left="180"/>
        <w:spacing w:after="0" w:line="277" w:lineRule="auto"/>
        <w:rPr>
          <w:sz w:val="20"/>
          <w:szCs w:val="20"/>
          <w:color w:val="auto"/>
        </w:rPr>
      </w:pPr>
      <w:r>
        <w:rPr>
          <w:rFonts w:ascii="Arial" w:cs="Arial" w:eastAsia="Arial" w:hAnsi="Arial"/>
          <w:sz w:val="18"/>
          <w:szCs w:val="18"/>
          <w:color w:val="auto"/>
        </w:rPr>
        <w:t>as well as a change in our intention to hold or sell a security that is in an unrealized loss position. If economic fundamentals deteriorate or if there are adverse changes in the above factors, OTTI may be incurred in upcoming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combined financial statements. These transactions are treated as financing arrangements and the associated cash collateral liability is recorded at the amount of the cash received.</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4 of the Notes to the Interim Condensed Combined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ind w:left="760"/>
              <w:spacing w:after="0"/>
              <w:rPr>
                <w:sz w:val="20"/>
                <w:szCs w:val="20"/>
                <w:color w:val="auto"/>
              </w:rPr>
            </w:pPr>
            <w:r>
              <w:rPr>
                <w:rFonts w:ascii="Arial" w:cs="Arial" w:eastAsia="Arial" w:hAnsi="Arial"/>
                <w:sz w:val="11"/>
                <w:szCs w:val="11"/>
                <w:b w:val="1"/>
                <w:bCs w:val="1"/>
                <w:color w:val="auto"/>
                <w:w w:val="86"/>
              </w:rPr>
              <w:t>June 30, 2017</w:t>
            </w: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1"/>
                <w:szCs w:val="11"/>
                <w:b w:val="1"/>
                <w:bCs w:val="1"/>
                <w:color w:val="auto"/>
              </w:rPr>
              <w:t>December 31, 2016</w:t>
            </w:r>
          </w:p>
        </w:tc>
        <w:tc>
          <w:tcPr>
            <w:tcW w:w="1140" w:type="dxa"/>
            <w:vAlign w:val="bottom"/>
          </w:tcPr>
          <w:p>
            <w:pPr>
              <w:spacing w:after="0"/>
              <w:rPr>
                <w:sz w:val="12"/>
                <w:szCs w:val="12"/>
                <w:color w:val="auto"/>
              </w:rPr>
            </w:pPr>
          </w:p>
        </w:tc>
      </w:tr>
      <w:tr>
        <w:trPr>
          <w:trHeight w:val="22"/>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8"/>
        </w:trPr>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 of</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jc w:val="center"/>
              <w:ind w:left="61"/>
              <w:spacing w:after="0"/>
              <w:rPr>
                <w:sz w:val="20"/>
                <w:szCs w:val="20"/>
                <w:color w:val="auto"/>
              </w:rPr>
            </w:pPr>
            <w:r>
              <w:rPr>
                <w:rFonts w:ascii="Arial" w:cs="Arial" w:eastAsia="Arial" w:hAnsi="Arial"/>
                <w:sz w:val="11"/>
                <w:szCs w:val="11"/>
                <w:b w:val="1"/>
                <w:bCs w:val="1"/>
                <w:color w:val="auto"/>
                <w:w w:val="94"/>
              </w:rPr>
              <w:t>% of</w:t>
            </w:r>
          </w:p>
        </w:tc>
      </w:tr>
      <w:tr>
        <w:trPr>
          <w:trHeight w:val="122"/>
        </w:trPr>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Recorded</w:t>
            </w:r>
          </w:p>
        </w:tc>
        <w:tc>
          <w:tcPr>
            <w:tcW w:w="114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10"/>
                <w:szCs w:val="10"/>
                <w:color w:val="auto"/>
              </w:rPr>
            </w:pPr>
          </w:p>
        </w:tc>
        <w:tc>
          <w:tcPr>
            <w:tcW w:w="740" w:type="dxa"/>
            <w:vAlign w:val="bottom"/>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Valuation</w:t>
            </w:r>
          </w:p>
        </w:tc>
        <w:tc>
          <w:tcPr>
            <w:tcW w:w="12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Recorded</w:t>
            </w: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Recorded</w:t>
            </w:r>
          </w:p>
        </w:tc>
        <w:tc>
          <w:tcPr>
            <w:tcW w:w="112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 of</w:t>
            </w:r>
          </w:p>
        </w:tc>
        <w:tc>
          <w:tcPr>
            <w:tcW w:w="180" w:type="dxa"/>
            <w:vAlign w:val="bottom"/>
          </w:tcPr>
          <w:p>
            <w:pPr>
              <w:spacing w:after="0"/>
              <w:rPr>
                <w:sz w:val="10"/>
                <w:szCs w:val="10"/>
                <w:color w:val="auto"/>
              </w:rPr>
            </w:pPr>
          </w:p>
        </w:tc>
        <w:tc>
          <w:tcPr>
            <w:tcW w:w="820" w:type="dxa"/>
            <w:vAlign w:val="bottom"/>
          </w:tcPr>
          <w:p>
            <w:pPr>
              <w:jc w:val="right"/>
              <w:ind w:right="220"/>
              <w:spacing w:after="0" w:line="122" w:lineRule="exact"/>
              <w:rPr>
                <w:sz w:val="20"/>
                <w:szCs w:val="20"/>
                <w:color w:val="auto"/>
              </w:rPr>
            </w:pPr>
            <w:r>
              <w:rPr>
                <w:rFonts w:ascii="Arial" w:cs="Arial" w:eastAsia="Arial" w:hAnsi="Arial"/>
                <w:sz w:val="11"/>
                <w:szCs w:val="11"/>
                <w:b w:val="1"/>
                <w:bCs w:val="1"/>
                <w:color w:val="auto"/>
              </w:rPr>
              <w:t>Valuation</w:t>
            </w:r>
          </w:p>
        </w:tc>
        <w:tc>
          <w:tcPr>
            <w:tcW w:w="1140" w:type="dxa"/>
            <w:vAlign w:val="bottom"/>
          </w:tcPr>
          <w:p>
            <w:pPr>
              <w:jc w:val="center"/>
              <w:ind w:left="41"/>
              <w:spacing w:after="0" w:line="122" w:lineRule="exact"/>
              <w:rPr>
                <w:sz w:val="20"/>
                <w:szCs w:val="20"/>
                <w:color w:val="auto"/>
              </w:rPr>
            </w:pPr>
            <w:r>
              <w:rPr>
                <w:rFonts w:ascii="Arial" w:cs="Arial" w:eastAsia="Arial" w:hAnsi="Arial"/>
                <w:sz w:val="11"/>
                <w:szCs w:val="11"/>
                <w:b w:val="1"/>
                <w:bCs w:val="1"/>
                <w:color w:val="auto"/>
                <w:w w:val="86"/>
              </w:rPr>
              <w:t>Recorded</w:t>
            </w:r>
          </w:p>
        </w:tc>
      </w:tr>
      <w:tr>
        <w:trPr>
          <w:trHeight w:val="140"/>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Investment</w:t>
            </w:r>
          </w:p>
        </w:tc>
        <w:tc>
          <w:tcPr>
            <w:tcW w:w="1140" w:type="dxa"/>
            <w:vAlign w:val="bottom"/>
            <w:gridSpan w:val="2"/>
          </w:tcPr>
          <w:p>
            <w:pPr>
              <w:ind w:left="400"/>
              <w:spacing w:after="0"/>
              <w:rPr>
                <w:sz w:val="20"/>
                <w:szCs w:val="20"/>
                <w:color w:val="auto"/>
              </w:rPr>
            </w:pPr>
            <w:r>
              <w:rPr>
                <w:rFonts w:ascii="Arial" w:cs="Arial" w:eastAsia="Arial" w:hAnsi="Arial"/>
                <w:sz w:val="11"/>
                <w:szCs w:val="11"/>
                <w:b w:val="1"/>
                <w:bCs w:val="1"/>
                <w:color w:val="auto"/>
              </w:rPr>
              <w:t>Total</w:t>
            </w:r>
          </w:p>
        </w:tc>
        <w:tc>
          <w:tcPr>
            <w:tcW w:w="260" w:type="dxa"/>
            <w:vAlign w:val="bottom"/>
          </w:tcPr>
          <w:p>
            <w:pPr>
              <w:spacing w:after="0"/>
              <w:rPr>
                <w:sz w:val="12"/>
                <w:szCs w:val="12"/>
                <w:color w:val="auto"/>
              </w:rPr>
            </w:pPr>
          </w:p>
        </w:tc>
        <w:tc>
          <w:tcPr>
            <w:tcW w:w="740" w:type="dxa"/>
            <w:vAlign w:val="bottom"/>
          </w:tcPr>
          <w:p>
            <w:pPr>
              <w:jc w:val="right"/>
              <w:ind w:right="200"/>
              <w:spacing w:after="0"/>
              <w:rPr>
                <w:sz w:val="20"/>
                <w:szCs w:val="20"/>
                <w:color w:val="auto"/>
              </w:rPr>
            </w:pPr>
            <w:r>
              <w:rPr>
                <w:rFonts w:ascii="Arial" w:cs="Arial" w:eastAsia="Arial" w:hAnsi="Arial"/>
                <w:sz w:val="11"/>
                <w:szCs w:val="11"/>
                <w:b w:val="1"/>
                <w:bCs w:val="1"/>
                <w:color w:val="auto"/>
                <w:w w:val="84"/>
              </w:rPr>
              <w:t>Allowance</w:t>
            </w:r>
          </w:p>
        </w:tc>
        <w:tc>
          <w:tcPr>
            <w:tcW w:w="12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Investment</w:t>
            </w:r>
          </w:p>
        </w:tc>
        <w:tc>
          <w:tcPr>
            <w:tcW w:w="1120" w:type="dxa"/>
            <w:vAlign w:val="bottom"/>
            <w:gridSpan w:val="2"/>
          </w:tcPr>
          <w:p>
            <w:pPr>
              <w:ind w:left="38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200"/>
              <w:spacing w:after="0"/>
              <w:rPr>
                <w:sz w:val="20"/>
                <w:szCs w:val="20"/>
                <w:color w:val="auto"/>
              </w:rPr>
            </w:pPr>
            <w:r>
              <w:rPr>
                <w:rFonts w:ascii="Arial" w:cs="Arial" w:eastAsia="Arial" w:hAnsi="Arial"/>
                <w:sz w:val="11"/>
                <w:szCs w:val="11"/>
                <w:b w:val="1"/>
                <w:bCs w:val="1"/>
                <w:color w:val="auto"/>
                <w:w w:val="99"/>
              </w:rPr>
              <w:t>Allowance</w:t>
            </w:r>
          </w:p>
        </w:tc>
        <w:tc>
          <w:tcPr>
            <w:tcW w:w="1140" w:type="dxa"/>
            <w:vAlign w:val="bottom"/>
          </w:tcPr>
          <w:p>
            <w:pPr>
              <w:jc w:val="center"/>
              <w:ind w:left="41"/>
              <w:spacing w:after="0"/>
              <w:rPr>
                <w:sz w:val="20"/>
                <w:szCs w:val="20"/>
                <w:color w:val="auto"/>
              </w:rPr>
            </w:pPr>
            <w:r>
              <w:rPr>
                <w:rFonts w:ascii="Arial" w:cs="Arial" w:eastAsia="Arial" w:hAnsi="Arial"/>
                <w:sz w:val="11"/>
                <w:szCs w:val="11"/>
                <w:b w:val="1"/>
                <w:bCs w:val="1"/>
                <w:color w:val="auto"/>
                <w:w w:val="89"/>
              </w:rPr>
              <w:t>Investment</w:t>
            </w:r>
          </w:p>
        </w:tc>
      </w:tr>
      <w:tr>
        <w:trPr>
          <w:trHeight w:val="22"/>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7"/>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60" w:type="dxa"/>
            <w:vAlign w:val="bottom"/>
            <w:gridSpan w:val="5"/>
          </w:tcPr>
          <w:p>
            <w:pPr>
              <w:ind w:left="640"/>
              <w:spacing w:after="0"/>
              <w:rPr>
                <w:sz w:val="20"/>
                <w:szCs w:val="20"/>
                <w:color w:val="auto"/>
              </w:rPr>
            </w:pPr>
            <w:r>
              <w:rPr>
                <w:rFonts w:ascii="Arial" w:cs="Arial" w:eastAsia="Arial" w:hAnsi="Arial"/>
                <w:sz w:val="13"/>
                <w:szCs w:val="13"/>
                <w:b w:val="1"/>
                <w:bCs w:val="1"/>
                <w:color w:val="auto"/>
              </w:rPr>
              <w:t>(Dollars in 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13"/>
        </w:trPr>
        <w:tc>
          <w:tcPr>
            <w:tcW w:w="2380" w:type="dxa"/>
            <w:vAlign w:val="bottom"/>
          </w:tcPr>
          <w:p>
            <w:pPr>
              <w:ind w:left="40"/>
              <w:spacing w:after="0"/>
              <w:rPr>
                <w:sz w:val="20"/>
                <w:szCs w:val="20"/>
                <w:color w:val="auto"/>
              </w:rPr>
            </w:pPr>
            <w:r>
              <w:rPr>
                <w:rFonts w:ascii="Arial" w:cs="Arial" w:eastAsia="Arial" w:hAnsi="Arial"/>
                <w:sz w:val="13"/>
                <w:szCs w:val="13"/>
                <w:color w:val="auto"/>
              </w:rPr>
              <w:t>Commercial</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60"/>
              <w:spacing w:after="0"/>
              <w:rPr>
                <w:sz w:val="20"/>
                <w:szCs w:val="20"/>
                <w:color w:val="auto"/>
              </w:rPr>
            </w:pPr>
            <w:r>
              <w:rPr>
                <w:rFonts w:ascii="Arial" w:cs="Arial" w:eastAsia="Arial" w:hAnsi="Arial"/>
                <w:sz w:val="13"/>
                <w:szCs w:val="13"/>
                <w:color w:val="auto"/>
              </w:rPr>
              <w:t>6,959</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24"/>
                <w:szCs w:val="24"/>
                <w:color w:val="auto"/>
              </w:rPr>
            </w:pP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40"/>
              <w:spacing w:after="0"/>
              <w:rPr>
                <w:sz w:val="20"/>
                <w:szCs w:val="20"/>
                <w:color w:val="auto"/>
              </w:rPr>
            </w:pPr>
            <w:r>
              <w:rPr>
                <w:rFonts w:ascii="Arial" w:cs="Arial" w:eastAsia="Arial" w:hAnsi="Arial"/>
                <w:sz w:val="13"/>
                <w:szCs w:val="13"/>
                <w:color w:val="auto"/>
              </w:rPr>
              <w:t>34</w:t>
            </w:r>
          </w:p>
        </w:tc>
        <w:tc>
          <w:tcPr>
            <w:tcW w:w="11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6,523</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32</w:t>
            </w:r>
          </w:p>
        </w:tc>
        <w:tc>
          <w:tcPr>
            <w:tcW w:w="114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Agricultural</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2,116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Residential</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1,109</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4</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867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3</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0.3%</w:t>
            </w:r>
          </w:p>
        </w:tc>
      </w:tr>
      <w:tr>
        <w:trPr>
          <w:trHeight w:val="242"/>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10,184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9,282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tables herein exclude mortgage loans where we elected the fair value option (“FVO”). Such amounts are presented in Note 4 of the Notes to the Interim Condensed Combined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Of our commercial and agricultural mortgage loan portfolios, at both June 30, 2017 and December 31, 2016, 96%, were collateralized by properties located in the U.S.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740" w:type="dxa"/>
            <w:vAlign w:val="bottom"/>
            <w:gridSpan w:val="2"/>
          </w:tcPr>
          <w:p>
            <w:pPr>
              <w:ind w:left="900"/>
              <w:spacing w:after="0"/>
              <w:rPr>
                <w:sz w:val="20"/>
                <w:szCs w:val="20"/>
                <w:color w:val="auto"/>
              </w:rPr>
            </w:pPr>
            <w:r>
              <w:rPr>
                <w:rFonts w:ascii="Arial" w:cs="Arial" w:eastAsia="Arial" w:hAnsi="Arial"/>
                <w:sz w:val="14"/>
                <w:szCs w:val="14"/>
                <w:b w:val="1"/>
                <w:bCs w:val="1"/>
                <w:color w:val="auto"/>
              </w:rPr>
              <w:t>June 30, 2017</w:t>
            </w:r>
          </w:p>
        </w:tc>
        <w:tc>
          <w:tcPr>
            <w:tcW w:w="2520" w:type="dxa"/>
            <w:vAlign w:val="bottom"/>
          </w:tcPr>
          <w:p>
            <w:pPr>
              <w:jc w:val="right"/>
              <w:ind w:right="60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7"/>
        </w:trPr>
        <w:tc>
          <w:tcPr>
            <w:tcW w:w="6100" w:type="dxa"/>
            <w:vAlign w:val="bottom"/>
          </w:tcPr>
          <w:p>
            <w:pPr>
              <w:ind w:left="40"/>
              <w:spacing w:after="0"/>
              <w:rPr>
                <w:sz w:val="20"/>
                <w:szCs w:val="20"/>
                <w:color w:val="auto"/>
              </w:rPr>
            </w:pPr>
            <w:r>
              <w:rPr>
                <w:rFonts w:ascii="Arial" w:cs="Arial" w:eastAsia="Arial" w:hAnsi="Arial"/>
                <w:sz w:val="14"/>
                <w:szCs w:val="14"/>
                <w:b w:val="1"/>
                <w:bCs w:val="1"/>
                <w:color w:val="auto"/>
              </w:rPr>
              <w:t>State</w:t>
            </w:r>
          </w:p>
        </w:tc>
        <w:tc>
          <w:tcPr>
            <w:tcW w:w="2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6100" w:type="dxa"/>
            <w:vAlign w:val="bottom"/>
            <w:shd w:val="clear" w:color="auto" w:fill="CCEEFF"/>
          </w:tcPr>
          <w:p>
            <w:pPr>
              <w:spacing w:after="0"/>
              <w:rPr>
                <w:sz w:val="6"/>
                <w:szCs w:val="6"/>
                <w:color w:val="auto"/>
              </w:rPr>
            </w:pPr>
          </w:p>
        </w:tc>
        <w:tc>
          <w:tcPr>
            <w:tcW w:w="2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00" w:type="dxa"/>
            <w:vAlign w:val="bottom"/>
          </w:tcPr>
          <w:p>
            <w:pPr>
              <w:ind w:left="40"/>
              <w:spacing w:after="0"/>
              <w:rPr>
                <w:sz w:val="20"/>
                <w:szCs w:val="20"/>
                <w:color w:val="auto"/>
              </w:rPr>
            </w:pPr>
            <w:r>
              <w:rPr>
                <w:rFonts w:ascii="Arial" w:cs="Arial" w:eastAsia="Arial" w:hAnsi="Arial"/>
                <w:sz w:val="14"/>
                <w:szCs w:val="14"/>
                <w:color w:val="auto"/>
              </w:rPr>
              <w:t>New York</w:t>
            </w:r>
          </w:p>
        </w:tc>
        <w:tc>
          <w:tcPr>
            <w:tcW w:w="26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5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610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6100" w:type="dxa"/>
            <w:vAlign w:val="bottom"/>
            <w:shd w:val="clear" w:color="auto" w:fill="CCEEFF"/>
          </w:tcPr>
          <w:p>
            <w:pPr>
              <w:spacing w:after="0"/>
              <w:rPr>
                <w:sz w:val="6"/>
                <w:szCs w:val="6"/>
                <w:color w:val="auto"/>
              </w:rPr>
            </w:pPr>
          </w:p>
        </w:tc>
        <w:tc>
          <w:tcPr>
            <w:tcW w:w="2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27" w:right="239" w:bottom="1440" w:gutter="0" w:footer="0" w:header="0"/>
        </w:sectPr>
      </w:pPr>
    </w:p>
    <w:bookmarkStart w:id="110" w:name="page111"/>
    <w:bookmarkEnd w:id="110"/>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June 30, 2017 and December 31, 2016.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640" w:type="dxa"/>
            <w:vAlign w:val="bottom"/>
            <w:gridSpan w:val="2"/>
          </w:tcPr>
          <w:p>
            <w:pPr>
              <w:ind w:left="840"/>
              <w:spacing w:after="0"/>
              <w:rPr>
                <w:sz w:val="20"/>
                <w:szCs w:val="20"/>
                <w:color w:val="auto"/>
              </w:rPr>
            </w:pPr>
            <w:r>
              <w:rPr>
                <w:rFonts w:ascii="Arial" w:cs="Arial" w:eastAsia="Arial" w:hAnsi="Arial"/>
                <w:sz w:val="14"/>
                <w:szCs w:val="14"/>
                <w:b w:val="1"/>
                <w:bCs w:val="1"/>
                <w:color w:val="auto"/>
              </w:rPr>
              <w:t>June 30, 2017</w:t>
            </w:r>
          </w:p>
        </w:tc>
        <w:tc>
          <w:tcPr>
            <w:tcW w:w="2540" w:type="dxa"/>
            <w:vAlign w:val="bottom"/>
          </w:tcPr>
          <w:p>
            <w:pPr>
              <w:jc w:val="right"/>
              <w:ind w:right="62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7"/>
        </w:trPr>
        <w:tc>
          <w:tcPr>
            <w:tcW w:w="6220" w:type="dxa"/>
            <w:vAlign w:val="bottom"/>
          </w:tcPr>
          <w:p>
            <w:pPr>
              <w:ind w:left="40"/>
              <w:spacing w:after="0"/>
              <w:rPr>
                <w:sz w:val="20"/>
                <w:szCs w:val="20"/>
                <w:color w:val="auto"/>
              </w:rPr>
            </w:pPr>
            <w:r>
              <w:rPr>
                <w:rFonts w:ascii="Arial" w:cs="Arial" w:eastAsia="Arial" w:hAnsi="Arial"/>
                <w:sz w:val="14"/>
                <w:szCs w:val="14"/>
                <w:b w:val="1"/>
                <w:bCs w:val="1"/>
                <w:color w:val="auto"/>
              </w:rPr>
              <w:t>State</w:t>
            </w:r>
          </w:p>
        </w:tc>
        <w:tc>
          <w:tcPr>
            <w:tcW w:w="2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622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20" w:type="dxa"/>
            <w:vAlign w:val="bottom"/>
          </w:tcPr>
          <w:p>
            <w:pPr>
              <w:ind w:left="40"/>
              <w:spacing w:after="0"/>
              <w:rPr>
                <w:sz w:val="20"/>
                <w:szCs w:val="20"/>
                <w:color w:val="auto"/>
              </w:rPr>
            </w:pPr>
            <w:r>
              <w:rPr>
                <w:rFonts w:ascii="Arial" w:cs="Arial" w:eastAsia="Arial" w:hAnsi="Arial"/>
                <w:sz w:val="14"/>
                <w:szCs w:val="14"/>
                <w:color w:val="auto"/>
              </w:rPr>
              <w:t>Florida</w:t>
            </w:r>
          </w:p>
        </w:tc>
        <w:tc>
          <w:tcPr>
            <w:tcW w:w="25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5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622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622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Region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Pacific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Middle Atlantic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 Atlantic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 South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 North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International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Mountain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England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 North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 South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Multi-Region and 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recorded investment</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Less: valuation allowances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Carrying value, net of valuation allowances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Property Type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Office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Apartment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Hotel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Industrial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recorded investment</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Less: valuation allowances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Carrying value, net of valuation allowances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629"/>
              <w:spacing w:after="0"/>
              <w:rPr>
                <w:sz w:val="20"/>
                <w:szCs w:val="20"/>
                <w:color w:val="auto"/>
              </w:rPr>
            </w:pPr>
            <w:r>
              <w:rPr>
                <w:rFonts w:ascii="Arial" w:cs="Arial" w:eastAsia="Arial" w:hAnsi="Arial"/>
                <w:sz w:val="13"/>
                <w:szCs w:val="13"/>
                <w:b w:val="1"/>
                <w:bCs w:val="1"/>
                <w:color w:val="auto"/>
                <w:w w:val="88"/>
              </w:rPr>
              <w:t>June 30,</w:t>
            </w: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549"/>
              <w:spacing w:after="0"/>
              <w:rPr>
                <w:sz w:val="20"/>
                <w:szCs w:val="20"/>
                <w:color w:val="auto"/>
              </w:rPr>
            </w:pPr>
            <w:r>
              <w:rPr>
                <w:rFonts w:ascii="Arial" w:cs="Arial" w:eastAsia="Arial" w:hAnsi="Arial"/>
                <w:sz w:val="13"/>
                <w:szCs w:val="13"/>
                <w:b w:val="1"/>
                <w:bCs w:val="1"/>
                <w:color w:val="auto"/>
                <w:w w:val="87"/>
              </w:rPr>
              <w:t>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2016</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ind w:left="160"/>
              <w:spacing w:after="0" w:line="144" w:lineRule="exact"/>
              <w:rPr>
                <w:sz w:val="20"/>
                <w:szCs w:val="20"/>
                <w:color w:val="auto"/>
              </w:rPr>
            </w:pPr>
            <w:r>
              <w:rPr>
                <w:rFonts w:ascii="Arial" w:cs="Arial" w:eastAsia="Arial" w:hAnsi="Arial"/>
                <w:sz w:val="13"/>
                <w:szCs w:val="13"/>
                <w:b w:val="1"/>
                <w:bCs w:val="1"/>
                <w:color w:val="auto"/>
                <w:w w:val="94"/>
              </w:rPr>
              <w:t>%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449"/>
              <w:spacing w:after="0" w:line="144"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gridSpan w:val="6"/>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3"/>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6,959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2,975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6,959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6,925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-4458970</wp:posOffset>
            </wp:positionV>
            <wp:extent cx="720344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-4116070</wp:posOffset>
            </wp:positionV>
            <wp:extent cx="720344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-3721100</wp:posOffset>
            </wp:positionV>
            <wp:extent cx="720344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-3378200</wp:posOffset>
            </wp:positionV>
            <wp:extent cx="720344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-3035300</wp:posOffset>
            </wp:positionV>
            <wp:extent cx="720344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-2692400</wp:posOffset>
            </wp:positionV>
            <wp:extent cx="720344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-2348865</wp:posOffset>
            </wp:positionV>
            <wp:extent cx="720344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18034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-1980565</wp:posOffset>
            </wp:positionV>
            <wp:extent cx="720344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-1602740</wp:posOffset>
            </wp:positionV>
            <wp:extent cx="720344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-1259840</wp:posOffset>
            </wp:positionV>
            <wp:extent cx="720344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-916940</wp:posOffset>
            </wp:positionV>
            <wp:extent cx="720344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-574040</wp:posOffset>
            </wp:positionV>
            <wp:extent cx="7203440"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18034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-205105</wp:posOffset>
            </wp:positionV>
            <wp:extent cx="720344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20"/>
          </w:cols>
          <w:pgMar w:left="240" w:top="827"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827" w:right="239" w:bottom="1440" w:gutter="0" w:footer="0" w:header="0"/>
          <w:type w:val="continuous"/>
        </w:sectPr>
      </w:pPr>
    </w:p>
    <w:bookmarkStart w:id="111" w:name="page112"/>
    <w:bookmarkEnd w:id="111"/>
    <w:p>
      <w:pPr>
        <w:jc w:val="both"/>
        <w:ind w:firstLine="324"/>
        <w:spacing w:after="0" w:line="286" w:lineRule="auto"/>
        <w:rPr>
          <w:sz w:val="20"/>
          <w:szCs w:val="20"/>
          <w:color w:val="auto"/>
        </w:rPr>
      </w:pPr>
      <w:r>
        <w:rPr>
          <w:rFonts w:ascii="Arial" w:cs="Arial" w:eastAsia="Arial" w:hAnsi="Arial"/>
          <w:sz w:val="17"/>
          <w:szCs w:val="17"/>
          <w:i w:val="1"/>
          <w:iCs w:val="1"/>
          <w:color w:val="auto"/>
        </w:rPr>
        <w:t>Mortgage Loan Credit Quality — Monitoring Process</w:t>
      </w:r>
      <w:r>
        <w:rPr>
          <w:rFonts w:ascii="Arial" w:cs="Arial" w:eastAsia="Arial" w:hAnsi="Arial"/>
          <w:sz w:val="17"/>
          <w:szCs w:val="17"/>
          <w:color w:val="auto"/>
        </w:rPr>
        <w:t>. We monitor our mortgage loan investments on an ongoing basis, including a review of loans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current, past due, restructured and under foreclosure. See Note 4 of the Notes to the Interim Condensed Combined Financial Statements for information on mortgage loans by credit quality indicator, past due and nonaccrual mortgage loans, as well as impaired mortgage loans.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7 of the Notes to the Combined Financial Statements included in the Form 10 for information on our evaluation of residential mortgage loans and related valuation allowance methodology.</w:t>
      </w:r>
    </w:p>
    <w:p>
      <w:pPr>
        <w:spacing w:after="0" w:line="5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Loan-to-value ratios and debt 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 service coverage ratio compares a property’s net operating income to amounts needed to service the principal and interest due under the loan. Generally, the lower the debt service coverage ratio, the higher the risk of experiencing a credit loss. For our commercial mortgage loans, our average loan-to-value ratio was 50% and 49% at June 30, 2017 and December 31, 2016, respectively, and our average debt service coverage ratio was 2.3x and 2.2x at June 30, 2017 and December 31, 2016, respectively.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41% and 40% at June 30, 2017 and December 31, 2016, respectively. The values utilized in calculating the agricultural mortgage loan loan-to-value ratio are developed in connection with the ongoing review of the agricultural loan portfolio and are routinely updated.</w:t>
      </w:r>
    </w:p>
    <w:p>
      <w:pPr>
        <w:spacing w:after="0" w:line="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Valuation Allowances</w:t>
      </w:r>
      <w:r>
        <w:rPr>
          <w:rFonts w:ascii="Arial" w:cs="Arial" w:eastAsia="Arial" w:hAnsi="Arial"/>
          <w:sz w:val="18"/>
          <w:szCs w:val="18"/>
          <w:color w:val="auto"/>
        </w:rPr>
        <w:t>. Our valuation allowances are established both on a loan specific basis for those loans considered impaired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specific or market specific risk has been identified that could likely result in a future loss, as well as for pools of loans with similar risk characteristics where a property specific or market specific risk has not been identified, but for which we expect to incur a loss. Accordingly, a valuation allowance is provided to absorb these estimated probable credit losses.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determination of the amount of valuation allowances is based upon our periodic evaluation and assessment of known and inherent risks associated with our loan portfolios. Such evaluations and assessments are based upon several factors, including our experience for loan losses, defaults and loss severity, and loss expectations for loans with similar risk characteristics. These evaluations and assessments are revised as conditions change and new information becomes available, which can cause the valuation allowances to increase or decrease over time as such evaluations are revised. Negative credit migration, including an actual or expected increase in the level of problem loans, will result in an increase in the valuation allowance. Positive credit migration, including an actual or expected decrease in the level of problem loans, will result in a decrease in the valuation allowance.</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Notes 4 and 6 of the Notes to the Interim Condensed Combined Financial Statements for information about how valuation allowances are established and monitored, activity in and balances of the valuation allowance, and the estimated fair value of impaired mortgage loans and related impairments included within net investment gains (losses) at and for the six months ended June 30, 2017 and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and Real Estate Joint Ventures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Real estate and real estate joint ventures is comprised of wholly-owned real estate and joint ventures with interests in single property income-producing real estate, and to a lesser extent joint ventures with interests in multi-property projects with varying strategies ranging from the development of properties to the operation of income-producing properties, as well as a runoff portfolio of real estate private equity funds. The carrying values of real estate and real estate joint ventures was $302 million and $215 million, or 0.4% and 0.3% of cash and invested assets, at June 30, 2017 and December 31, 2016, respectively. The Company had less than $1 million in real estate and real estate joint venture properties acquired through foreclosure at June 30, 2017. The Company did not have any real estate or real estate joint venture properties acquired through foreclosure at December 31,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827" w:right="239" w:bottom="1440" w:gutter="0" w:footer="0" w:header="0"/>
        </w:sectPr>
      </w:pPr>
    </w:p>
    <w:bookmarkStart w:id="112" w:name="page113"/>
    <w:bookmarkEnd w:id="112"/>
    <w:p>
      <w:pPr>
        <w:jc w:val="both"/>
        <w:ind w:firstLine="324"/>
        <w:spacing w:after="0" w:line="277" w:lineRule="auto"/>
        <w:rPr>
          <w:sz w:val="20"/>
          <w:szCs w:val="20"/>
          <w:color w:val="auto"/>
        </w:rPr>
      </w:pPr>
      <w:r>
        <w:rPr>
          <w:rFonts w:ascii="Arial" w:cs="Arial" w:eastAsia="Arial" w:hAnsi="Arial"/>
          <w:sz w:val="18"/>
          <w:szCs w:val="18"/>
          <w:color w:val="auto"/>
        </w:rPr>
        <w:t>The estimated fair value of the real estate and real estate joint venture investment portfolios was $458 million and $377 million at June 30, 2017 and December 31,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limited partnership interests are comprised of private equity funds and hedge funds. The carrying value of other limited partnership interests was $1.6 billion at both June 30, 2017 and December 31, 2016, which included $106 million and $210 million of hedge funds at June 30, 2017 and December 31, 2016, respectively. Cash distributions on these investments are generated from investment gains, operating income from the underlying investments of the funds and liquidation of the underlying investments of the funds. We estimate that the underlying investments of the funds will be liquidated over the next two to 10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2"/>
              </w:rPr>
              <w:t>June 30, 2017</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2016</w:t>
            </w:r>
          </w:p>
        </w:tc>
      </w:tr>
      <w:tr>
        <w:trPr>
          <w:trHeight w:val="220"/>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280" w:type="dxa"/>
            <w:vAlign w:val="bottom"/>
          </w:tcPr>
          <w:p>
            <w:pPr>
              <w:jc w:val="right"/>
              <w:ind w:right="421"/>
              <w:spacing w:after="0"/>
              <w:rPr>
                <w:sz w:val="20"/>
                <w:szCs w:val="20"/>
                <w:color w:val="auto"/>
              </w:rPr>
            </w:pPr>
            <w:r>
              <w:rPr>
                <w:rFonts w:ascii="Arial" w:cs="Arial" w:eastAsia="Arial" w:hAnsi="Arial"/>
                <w:sz w:val="14"/>
                <w:szCs w:val="14"/>
                <w:b w:val="1"/>
                <w:bCs w:val="1"/>
                <w:color w:val="auto"/>
              </w:rPr>
              <w:t>% of</w:t>
            </w:r>
          </w:p>
        </w:tc>
      </w:tr>
      <w:tr>
        <w:trPr>
          <w:trHeight w:val="192"/>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r>
      <w:tr>
        <w:trPr>
          <w:trHeight w:val="173"/>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gridSpan w:val="5"/>
          </w:tcPr>
          <w:p>
            <w:pPr>
              <w:ind w:left="380"/>
              <w:spacing w:after="0"/>
              <w:rPr>
                <w:sz w:val="20"/>
                <w:szCs w:val="20"/>
                <w:color w:val="auto"/>
              </w:rPr>
            </w:pPr>
            <w:r>
              <w:rPr>
                <w:rFonts w:ascii="Arial" w:cs="Arial" w:eastAsia="Arial" w:hAnsi="Arial"/>
                <w:sz w:val="13"/>
                <w:szCs w:val="13"/>
                <w:b w:val="1"/>
                <w:bCs w:val="1"/>
                <w:color w:val="auto"/>
              </w:rPr>
              <w:t>(Dollars in millions)</w:t>
            </w:r>
          </w:p>
        </w:tc>
        <w:tc>
          <w:tcPr>
            <w:tcW w:w="1280" w:type="dxa"/>
            <w:vAlign w:val="bottom"/>
          </w:tcPr>
          <w:p>
            <w:pPr>
              <w:spacing w:after="0"/>
              <w:rPr>
                <w:sz w:val="15"/>
                <w:szCs w:val="15"/>
                <w:color w:val="auto"/>
              </w:rPr>
            </w:pPr>
          </w:p>
        </w:tc>
      </w:tr>
      <w:tr>
        <w:trPr>
          <w:trHeight w:val="388"/>
        </w:trPr>
        <w:tc>
          <w:tcPr>
            <w:tcW w:w="5880" w:type="dxa"/>
            <w:vAlign w:val="bottom"/>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to affiliates (primarily MetLife, Inc.) (1)</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22.2</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2.3</w:t>
            </w: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0.2</w:t>
            </w: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In April 2017, MetLife, Inc. repaid the loans to affiliate. See Note 4 of the Notes to the Interim Condensed Combined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Combined Financial Statements for:</w:t>
      </w:r>
    </w:p>
    <w:p>
      <w:pPr>
        <w:spacing w:after="0" w:line="73"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June 30, 2017, December 31, 2016 and 2015.</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ended June 30, 2017 and 2016 and the years ended December 31, 2016, 2015 and 2014.</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“Business — Description of our Segments, Products and Operations — Variable Annuity Risk Management” and “Business — Description of our Segments, Products and Operations — Run-off — ULSG Market Risk Exposure Management” both included in the Form 10 for more information about our use of derivatives by major hedge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Combined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827" w:right="239" w:bottom="1440" w:gutter="0" w:footer="0" w:header="0"/>
        </w:sectPr>
      </w:pPr>
    </w:p>
    <w:bookmarkStart w:id="113" w:name="page114"/>
    <w:bookmarkEnd w:id="113"/>
    <w:p>
      <w:pPr>
        <w:jc w:val="both"/>
        <w:ind w:firstLine="324"/>
        <w:spacing w:after="0" w:line="259" w:lineRule="auto"/>
        <w:rPr>
          <w:sz w:val="20"/>
          <w:szCs w:val="20"/>
          <w:color w:val="auto"/>
        </w:rPr>
      </w:pPr>
      <w:r>
        <w:rPr>
          <w:rFonts w:ascii="Arial" w:cs="Arial" w:eastAsia="Arial" w:hAnsi="Arial"/>
          <w:sz w:val="18"/>
          <w:szCs w:val="18"/>
          <w:color w:val="auto"/>
        </w:rPr>
        <w:t>Derivatives categorized as Level 3 at June 30, 2017 include: interest rate total return swaps with unobservable repurchase rates; credit default swaps priced using unobservable credit spreads, or that are priced through independent broker quotations; equity variance swaps with unobservable volatility inputs; and equity index options with unobservable correlation inputs. The estimated fair value of our derivatives priced through independent broker quotations were 2% and 3% at June 30, 2017 and December 31, 2016, respectively.</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6 of the Notes to Interim Condensed Combined Financial Statements for a rollforward of the fair value measurements for derivatives measured at estimated fair value on a recurring basis using significant unobservable (Level 3)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See Note 5 of the Notes to the Interim Condensed Combined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policy is not to offset the fair value amounts recognized for derivatives executed with the same counterparty under the same master netting agreement. This policy applies to the recognition of derivatives in the combined balance sheets, and does not affect our legal right of offset.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440" w:type="dxa"/>
            <w:vAlign w:val="bottom"/>
          </w:tcPr>
          <w:p>
            <w:pPr>
              <w:spacing w:after="0"/>
              <w:rPr>
                <w:sz w:val="13"/>
                <w:szCs w:val="13"/>
                <w:color w:val="auto"/>
              </w:rPr>
            </w:pPr>
          </w:p>
        </w:tc>
        <w:tc>
          <w:tcPr>
            <w:tcW w:w="11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3"/>
                <w:szCs w:val="13"/>
                <w:color w:val="auto"/>
              </w:rPr>
            </w:pP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Notional</w:t>
            </w: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Notional</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4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Written</w:t>
            </w:r>
          </w:p>
        </w:tc>
        <w:tc>
          <w:tcPr>
            <w:tcW w:w="340" w:type="dxa"/>
            <w:vAlign w:val="bottom"/>
          </w:tcPr>
          <w:p>
            <w:pPr>
              <w:spacing w:after="0"/>
              <w:rPr>
                <w:sz w:val="20"/>
                <w:szCs w:val="20"/>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80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In addition, given the shorter tenor of the credit default swaps (generally five-year tenors) versus a long-dated corporate bond, we have more flexibility in managing our credit exposures.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Combined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Combined Financial Statements for a rollforward of the fair value measurements for embedded derivatives measured at estimated fair value on a recurring basis using significant unobservable (Level 3) inputs.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Combined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“Management’s Discussion and Analysis of Financial Condition and Results of Operations — Summary of Critical Accounting Estimates</w:t>
      </w:r>
    </w:p>
    <w:p>
      <w:pPr>
        <w:spacing w:after="0" w:line="35" w:lineRule="exact"/>
        <w:rPr>
          <w:sz w:val="20"/>
          <w:szCs w:val="20"/>
          <w:color w:val="auto"/>
        </w:rPr>
      </w:pPr>
    </w:p>
    <w:p>
      <w:pPr>
        <w:ind w:left="5580" w:right="1940" w:hanging="5574"/>
        <w:spacing w:after="0" w:line="542" w:lineRule="auto"/>
        <w:rPr>
          <w:sz w:val="20"/>
          <w:szCs w:val="20"/>
          <w:color w:val="auto"/>
        </w:rPr>
      </w:pPr>
      <w:r>
        <w:rPr>
          <w:rFonts w:ascii="Arial" w:cs="Arial" w:eastAsia="Arial" w:hAnsi="Arial"/>
          <w:sz w:val="18"/>
          <w:szCs w:val="18"/>
          <w:color w:val="auto"/>
        </w:rPr>
        <w:t>— Derivatives” included in the Form 10 for further information on the estimates and assumptions that affect embedded derivatives. 113</w:t>
      </w:r>
    </w:p>
    <w:p>
      <w:pPr>
        <w:sectPr>
          <w:pgSz w:w="11900" w:h="16838" w:orient="portrait"/>
          <w:cols w:equalWidth="0" w:num="1">
            <w:col w:w="11420"/>
          </w:cols>
          <w:pgMar w:left="240" w:top="827"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Committed Facilities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Separation, we have entered into a term loan facility and a revolving credit facility, which we had access to in connection with the Separation as well as subsequently to support our ongoing operations. Historically, we had access to an unsecured credit facility and certain committed facilities from various banks available to MetLife, Inc. for the benefit of the companies of Brighthouse Financial, Inc., MetLife, Inc. and certain other subsidiaries of MetLife, Inc. See “—Liquidity and Capital Resources — The Company — Primary Sources of Liquidity and Capital — Credit and Committed Facilities” for further descriptions of such arrangements. For the classification of expenses on such credit and committed facilities and the nature of the associated liability for letters of credit issued and drawdowns on these credit and committed facilities, see Note 11 of the Notes to the Combined Financial Statements included in the Form 10.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Repurchase Programs and Derivatives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participate in a securities lending program in the normal course of business for the purpose of enhancing the total return on our investment portfolio. Periodically we receive non-cash collateral for securities lending from counterparties, which cannot be sold or repledged, and which is not recorded on our combined balance sheets. The amount of this collateral was $24 million and $27 million at estimated fair value at June 30, 2017 and December 31, 2016, respectively. See Note 4 of the Notes to the Interim Condensed Combined Financial Statements, as well as “—Investments — Securities Lending” for discussion of our securities lending program, the classification of revenues and expenses, and the nature of the secured financing arrangement and associated liability.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participate in repurchase and reverse repurchase programs. In connection with these transactions, we obtain fixed maturity securities as collateral from unaffiliated financial institutions, which can be repledged, and which are not recorded on our combined balance sheets. We had no pledged or repledged securities at either June 30, 2017, or December 31, 2016.</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combined balance sheets. The amount of this non-cash collateral was $439 million, and $564 million at June 30, 2017 and December 31, 2016, respectively. See “— Liquidity and Capital Resources</w:t>
      </w:r>
    </w:p>
    <w:p>
      <w:pPr>
        <w:jc w:val="both"/>
        <w:spacing w:after="0" w:line="255" w:lineRule="auto"/>
        <w:rPr>
          <w:sz w:val="20"/>
          <w:szCs w:val="20"/>
          <w:color w:val="auto"/>
        </w:rPr>
      </w:pPr>
      <w:r>
        <w:rPr>
          <w:rFonts w:ascii="Arial" w:cs="Arial" w:eastAsia="Arial" w:hAnsi="Arial"/>
          <w:sz w:val="18"/>
          <w:szCs w:val="18"/>
          <w:color w:val="auto"/>
        </w:rPr>
        <w:t>— The Company — Liquidity and Capital Uses — Pledged Collateral” and Note 5 of the Notes to the Interim Condensed Combined Financial Statements for information regarding the earned income on and the gross notional amount, estimated fair value of assets and liabilities and primary underlying risk exposure of our derivatives.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11 of the Notes to the Interim Condensed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enter into commitments in the normal course of business for the purpose of enhancing the total return on our investment portfolio: mortgage loan commitments and commitments to fund partnerships, bank credit facilities and private corporate bond investments. See “Net Investment Income” and “Net Investment Gains (Losses)” in Note 4 of the Notes to the Interim Condensed Combined Financial Statements for information on the investment income, investment expense, gains and losses from such investments. See also “— Investments — Fixed Maturity and Equity Securities AFS” and “— Investments—Mortgage Loans” for information on our investments in fixed maturity securities and mortgage loans. See “— Investments — Real Estate and Real Estate Joint Ventures” and “— Investments — Other Limited Partnership Interests” for information on our partnership investments.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11 of the Notes to the Interim Condensed Combined Financial Statements, there are no other material obligations or liabilities arising from the commitments to fund mortgage loans, partnerships,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Form 10.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payments. Amounts for actuarial liabilities are computed and reported in the interim condensed combined financial statements in conformity with GAAP. For more details on Policyholder Liabilities, see “Management’s Discussion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823" w:right="239" w:bottom="1440" w:gutter="0" w:footer="0" w:header="0"/>
        </w:sectPr>
      </w:pPr>
    </w:p>
    <w:bookmarkStart w:id="115" w:name="page116"/>
    <w:bookmarkEnd w:id="115"/>
    <w:p>
      <w:pPr>
        <w:jc w:val="both"/>
        <w:spacing w:after="0" w:line="264" w:lineRule="auto"/>
        <w:rPr>
          <w:sz w:val="20"/>
          <w:szCs w:val="20"/>
          <w:color w:val="auto"/>
        </w:rPr>
      </w:pPr>
      <w:r>
        <w:rPr>
          <w:rFonts w:ascii="Arial" w:cs="Arial" w:eastAsia="Arial" w:hAnsi="Arial"/>
          <w:sz w:val="18"/>
          <w:szCs w:val="18"/>
          <w:color w:val="auto"/>
        </w:rPr>
        <w:t>Analysis of Financial Condition and Results of Operations — Summary of Critical Accounting Estimates” and “Management’s Discussion and Analysis of Financial Condition and Results of Operations — Policyholder Liabilities” included in the Form 10. Except as otherwise discussed below, there have been no material changes to our actuarial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Combined Financial Statements. A discussion of future policy benefits by segment (as well as Corporate &amp; Other) can be found in “Management’s Discussion and Analysis of Financial Condition and Results of Operations — Policyholder Liabilities” included in the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are generally equal to the account value, which includes accrued interest credited, but excludes the impact of any applicable charge that may be incurred upon surrender. See Note 3 of the Notes to the Interim Condensed Combined Financial Statements. A discussion of policyholder account balances by segment (as well as Corporate &amp; Other) can be found in “Management’s Discussion and Analysis of Financial Condition and Results of Operations — Policyholder Liabilities” included in the Form 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resets. See Note 3 of the Notes to the Interim Condensed Combined Financial Statements. See also “Quantitative and Qualitative Disclosures About Market Risk — Market Risk - Fair Value Exposures — Interest Rates” and “Business — Description of our Segments, Products and Operations — Annuities — Variable Annuities” included in the Form 10 for additional information.</w:t>
      </w:r>
    </w:p>
    <w:p>
      <w:pPr>
        <w:spacing w:after="0" w:line="80"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 (“NAR”)</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guaranteed minimum withdrawal benefit (“GMWB”) and guaranteed minimum accumulation benefits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Description of our Segments, Products and Operations — Annuities — Variable Annuities — Net Amount at Risk” included in the Form 10.</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account values and NAR of contract owners by type of guaranteed minimum benefit for variable annuity contracts are summarized below at June 30, 2017 and December 31,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881" w:right="239" w:bottom="1440" w:gutter="0" w:footer="0" w:header="0"/>
        </w:sectPr>
      </w:pPr>
    </w:p>
    <w:bookmarkStart w:id="116" w:name="page117"/>
    <w:bookmarkEnd w:id="116"/>
    <w:tbl>
      <w:tblPr>
        <w:tblLayout w:type="fixed"/>
        <w:tblInd w:w="2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June 30, 2017 (1)</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 (1)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Account</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Death</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Living</w:t>
            </w:r>
          </w:p>
        </w:tc>
        <w:tc>
          <w:tcPr>
            <w:tcW w:w="14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 of Account</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Account</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Death</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Living</w:t>
            </w:r>
          </w:p>
        </w:tc>
        <w:tc>
          <w:tcPr>
            <w:tcW w:w="134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6"/>
              </w:rPr>
              <w:t>% of Account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Benefit NAR</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In-the-</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Benefit NAR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Benefit NAR</w:t>
            </w:r>
          </w:p>
        </w:tc>
        <w:tc>
          <w:tcPr>
            <w:tcW w:w="13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7"/>
              </w:rPr>
              <w:t>Value In-the-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4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Money (2)</w:t>
            </w: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4"/>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GMIB</w:t>
            </w: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$45,870</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$3,111</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$44,945</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$3,006</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GMIB Max w/ Enhanced DB</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12,745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12,461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&lt;0.1%</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GMIB Max w/o Enhanced DB</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7,283</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&lt;0.1%</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7,098</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&lt;0.1%</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GMWB4L (FlexChoice</w:t>
            </w:r>
            <w:r>
              <w:rPr>
                <w:rFonts w:ascii="Arial" w:cs="Arial" w:eastAsia="Arial" w:hAnsi="Arial"/>
                <w:sz w:val="8"/>
                <w:szCs w:val="8"/>
                <w:color w:val="auto"/>
              </w:rPr>
              <w:t>SM</w:t>
            </w: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3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GMAB</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GMWB (3)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3,374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3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GMWB4L</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17,884</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444</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17,689</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524</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EDB Only</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3,922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940"/>
              <w:spacing w:after="0"/>
              <w:rPr>
                <w:sz w:val="20"/>
                <w:szCs w:val="20"/>
                <w:color w:val="auto"/>
              </w:rPr>
            </w:pPr>
            <w:r>
              <w:rPr>
                <w:rFonts w:ascii="Arial" w:cs="Arial" w:eastAsia="Arial" w:hAnsi="Arial"/>
                <w:sz w:val="14"/>
                <w:szCs w:val="14"/>
                <w:color w:val="auto"/>
              </w:rPr>
              <w:t>N/A</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3,814</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GMDB Only (Other than EDB)</w:t>
            </w: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19,343</w:t>
            </w:r>
          </w:p>
        </w:tc>
        <w:tc>
          <w:tcPr>
            <w:tcW w:w="120" w:type="dxa"/>
            <w:vAlign w:val="bottom"/>
            <w:shd w:val="clear" w:color="auto" w:fill="BFE4FF"/>
          </w:tcPr>
          <w:p>
            <w:pPr>
              <w:spacing w:after="0"/>
              <w:rPr>
                <w:sz w:val="23"/>
                <w:szCs w:val="23"/>
                <w:color w:val="auto"/>
              </w:rPr>
            </w:pP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BFE4FF"/>
          </w:tcPr>
          <w:p>
            <w:pPr>
              <w:ind w:left="940"/>
              <w:spacing w:after="0"/>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18,922</w:t>
            </w: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BFE4FF"/>
          </w:tcPr>
          <w:p>
            <w:pPr>
              <w:spacing w:after="0"/>
              <w:rPr>
                <w:sz w:val="23"/>
                <w:szCs w:val="23"/>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$113,061</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$4,819</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$110,518</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7"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$3.6 billion at June 30, 2017, are less sensitive than derivative instruments to periodic changes to equity and fixed income market returns and the level of interest rates. Guarantees accounted for in this manner include GMDBs as well as the life contingent portion of GMIBs and certain GMWBs. Other guarantees are accounted for as embedded derivatives and recorded on the balance sheet in policyholder account balances with changes reported in net derivative gains (losses). These liabilities, valued at $2.0 billion at June 30, 2017,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See “Management’s Discussion and Analysis of Financial Condition and Results of Operations — Summary of Critical Accounting Estimates” included in the Form 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103" w:right="239" w:bottom="1440" w:gutter="0" w:footer="0" w:header="0"/>
        </w:sectPr>
      </w:pPr>
    </w:p>
    <w:bookmarkStart w:id="117" w:name="page118"/>
    <w:bookmarkEnd w:id="117"/>
    <w:p>
      <w:pPr>
        <w:ind w:left="500"/>
        <w:spacing w:after="0"/>
        <w:rPr>
          <w:sz w:val="20"/>
          <w:szCs w:val="20"/>
          <w:color w:val="auto"/>
        </w:rPr>
      </w:pPr>
      <w:r>
        <w:rPr>
          <w:rFonts w:ascii="Arial" w:cs="Arial" w:eastAsia="Arial" w:hAnsi="Arial"/>
          <w:sz w:val="17"/>
          <w:szCs w:val="17"/>
          <w:color w:val="auto"/>
        </w:rPr>
        <w:t>The table below presents the GAAP reserve balances by guarantee type and accounting model at June 30, 2017 and December 31, 2016:</w:t>
      </w:r>
    </w:p>
    <w:p>
      <w:pPr>
        <w:spacing w:after="0" w:line="200" w:lineRule="exact"/>
        <w:rPr>
          <w:sz w:val="20"/>
          <w:szCs w:val="20"/>
          <w:color w:val="auto"/>
        </w:rPr>
      </w:pP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Reserves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2016</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Future Policy</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Future Policy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Account</w:t>
            </w:r>
          </w:p>
        </w:tc>
        <w:tc>
          <w:tcPr>
            <w:tcW w:w="9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Account</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Benefits</w:t>
            </w: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7"/>
              </w:rPr>
              <w:t>Balances</w:t>
            </w: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Benefits (1)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Balances (2)</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Reserves</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GMDB</w:t>
            </w: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$1,042</w:t>
            </w:r>
          </w:p>
        </w:tc>
        <w:tc>
          <w:tcPr>
            <w:tcW w:w="120" w:type="dxa"/>
            <w:vAlign w:val="bottom"/>
            <w:shd w:val="clear" w:color="auto" w:fill="BFE4FF"/>
          </w:tcPr>
          <w:p>
            <w:pPr>
              <w:spacing w:after="0"/>
              <w:rPr>
                <w:sz w:val="24"/>
                <w:szCs w:val="24"/>
                <w:color w:val="auto"/>
              </w:rPr>
            </w:pPr>
          </w:p>
        </w:tc>
        <w:tc>
          <w:tcPr>
            <w:tcW w:w="116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$987</w:t>
            </w:r>
          </w:p>
        </w:tc>
        <w:tc>
          <w:tcPr>
            <w:tcW w:w="4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24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2380" w:type="dxa"/>
            <w:vAlign w:val="bottom"/>
          </w:tcPr>
          <w:p>
            <w:pPr>
              <w:ind w:left="20"/>
              <w:spacing w:after="0"/>
              <w:rPr>
                <w:sz w:val="20"/>
                <w:szCs w:val="20"/>
                <w:color w:val="auto"/>
              </w:rPr>
            </w:pPr>
            <w:r>
              <w:rPr>
                <w:rFonts w:ascii="Arial" w:cs="Arial" w:eastAsia="Arial" w:hAnsi="Arial"/>
                <w:sz w:val="14"/>
                <w:szCs w:val="14"/>
                <w:color w:val="auto"/>
              </w:rPr>
              <w:t>GMIB</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2,125</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4,050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1280" w:type="dxa"/>
            <w:vAlign w:val="bottom"/>
            <w:gridSpan w:val="3"/>
          </w:tcPr>
          <w:p>
            <w:pPr>
              <w:jc w:val="right"/>
              <w:ind w:right="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276"/>
        </w:trPr>
        <w:tc>
          <w:tcPr>
            <w:tcW w:w="23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GMIB Max</w:t>
            </w:r>
          </w:p>
        </w:tc>
        <w:tc>
          <w:tcPr>
            <w:tcW w:w="104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BFE4FF"/>
          </w:tcPr>
          <w:p>
            <w:pPr>
              <w:spacing w:after="0"/>
              <w:rPr>
                <w:sz w:val="24"/>
                <w:szCs w:val="24"/>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294</w:t>
            </w:r>
          </w:p>
        </w:tc>
        <w:tc>
          <w:tcPr>
            <w:tcW w:w="128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64"/>
        </w:trPr>
        <w:tc>
          <w:tcPr>
            <w:tcW w:w="2380" w:type="dxa"/>
            <w:vAlign w:val="bottom"/>
          </w:tcPr>
          <w:p>
            <w:pPr>
              <w:ind w:left="20"/>
              <w:spacing w:after="0"/>
              <w:rPr>
                <w:sz w:val="20"/>
                <w:szCs w:val="20"/>
                <w:color w:val="auto"/>
              </w:rPr>
            </w:pPr>
            <w:r>
              <w:rPr>
                <w:rFonts w:ascii="Arial" w:cs="Arial" w:eastAsia="Arial" w:hAnsi="Arial"/>
                <w:sz w:val="14"/>
                <w:szCs w:val="14"/>
                <w:color w:val="auto"/>
              </w:rPr>
              <w:t>GMAB</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3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GMWB</w:t>
            </w:r>
          </w:p>
        </w:tc>
        <w:tc>
          <w:tcPr>
            <w:tcW w:w="116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BFE4FF"/>
          </w:tcPr>
          <w:p>
            <w:pPr>
              <w:spacing w:after="0"/>
              <w:rPr>
                <w:sz w:val="24"/>
                <w:szCs w:val="24"/>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BFE4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2380" w:type="dxa"/>
            <w:vAlign w:val="bottom"/>
          </w:tcPr>
          <w:p>
            <w:pPr>
              <w:ind w:left="20"/>
              <w:spacing w:after="0"/>
              <w:rPr>
                <w:sz w:val="20"/>
                <w:szCs w:val="20"/>
                <w:color w:val="auto"/>
              </w:rPr>
            </w:pPr>
            <w:r>
              <w:rPr>
                <w:rFonts w:ascii="Arial" w:cs="Arial" w:eastAsia="Arial" w:hAnsi="Arial"/>
                <w:sz w:val="14"/>
                <w:szCs w:val="14"/>
                <w:color w:val="auto"/>
              </w:rPr>
              <w:t>GMWB4L</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w:t>
            </w:r>
          </w:p>
        </w:tc>
        <w:tc>
          <w:tcPr>
            <w:tcW w:w="1280" w:type="dxa"/>
            <w:vAlign w:val="bottom"/>
            <w:gridSpan w:val="3"/>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70"/>
        </w:trPr>
        <w:tc>
          <w:tcPr>
            <w:tcW w:w="23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GMWB4L (FlexChoice</w:t>
            </w:r>
            <w:r>
              <w:rPr>
                <w:rFonts w:ascii="Arial" w:cs="Arial" w:eastAsia="Arial" w:hAnsi="Arial"/>
                <w:sz w:val="8"/>
                <w:szCs w:val="8"/>
                <w:color w:val="auto"/>
              </w:rPr>
              <w:t>SM</w:t>
            </w:r>
            <w:r>
              <w:rPr>
                <w:rFonts w:ascii="Arial" w:cs="Arial" w:eastAsia="Arial" w:hAnsi="Arial"/>
                <w:sz w:val="14"/>
                <w:szCs w:val="14"/>
                <w:color w:val="auto"/>
              </w:rPr>
              <w:t>)</w:t>
            </w:r>
          </w:p>
        </w:tc>
        <w:tc>
          <w:tcPr>
            <w:tcW w:w="104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3"/>
                <w:szCs w:val="23"/>
                <w:color w:val="auto"/>
              </w:rPr>
            </w:pPr>
          </w:p>
        </w:tc>
        <w:tc>
          <w:tcPr>
            <w:tcW w:w="104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BFE4FF"/>
          </w:tcPr>
          <w:p>
            <w:pPr>
              <w:spacing w:after="0"/>
              <w:rPr>
                <w:sz w:val="23"/>
                <w:szCs w:val="23"/>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14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2380" w:type="dxa"/>
            <w:vAlign w:val="bottom"/>
          </w:tcPr>
          <w:p>
            <w:pPr>
              <w:ind w:left="200"/>
              <w:spacing w:after="0"/>
              <w:rPr>
                <w:sz w:val="20"/>
                <w:szCs w:val="20"/>
                <w:color w:val="auto"/>
              </w:rPr>
            </w:pPr>
            <w:r>
              <w:rPr>
                <w:rFonts w:ascii="Arial" w:cs="Arial" w:eastAsia="Arial" w:hAnsi="Arial"/>
                <w:sz w:val="14"/>
                <w:szCs w:val="14"/>
                <w:color w:val="auto"/>
              </w:rPr>
              <w:t>Total</w:t>
            </w:r>
          </w:p>
        </w:tc>
        <w:tc>
          <w:tcPr>
            <w:tcW w:w="1040" w:type="dxa"/>
            <w:vAlign w:val="bottom"/>
          </w:tcPr>
          <w:p>
            <w:pPr>
              <w:jc w:val="right"/>
              <w:spacing w:after="0"/>
              <w:rPr>
                <w:sz w:val="20"/>
                <w:szCs w:val="20"/>
                <w:color w:val="auto"/>
              </w:rPr>
            </w:pPr>
            <w:r>
              <w:rPr>
                <w:rFonts w:ascii="Arial" w:cs="Arial" w:eastAsia="Arial" w:hAnsi="Arial"/>
                <w:sz w:val="14"/>
                <w:szCs w:val="14"/>
                <w:color w:val="auto"/>
              </w:rPr>
              <w:t>$3,636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$5,621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$3,460</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7"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Does not include amounts assumed from an affiliate of $102 million of insurance liabilities, which were recaptured at January 1, 2017.</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Does not include amounts assumed from an affiliate of $460 million of embedded derivatives, which were recaptured at January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continued to make significant progress towards our target variable annuity exposure management strategy as described in the Form10. The table below presents the gross notional amount, estimated fair value, and primary underlying risk exposure of the derivatives in our existing hedge program for our variable annuity product guarantees at June 30, 2017 and December 31, 2016:</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2"/>
              </w:rPr>
              <w:t>June 30, 2017</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2060" w:type="dxa"/>
            <w:vAlign w:val="bottom"/>
            <w:gridSpan w:val="4"/>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54"/>
        </w:trPr>
        <w:tc>
          <w:tcPr>
            <w:tcW w:w="19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Primary Underlying Risk</w:t>
            </w: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Notional</w:t>
            </w: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Notional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900" w:type="dxa"/>
            <w:vAlign w:val="bottom"/>
            <w:gridSpan w:val="2"/>
            <w:vMerge w:val="continue"/>
          </w:tcPr>
          <w:p>
            <w:pPr>
              <w:spacing w:after="0"/>
              <w:rPr>
                <w:sz w:val="5"/>
                <w:szCs w:val="5"/>
                <w:color w:val="auto"/>
              </w:rPr>
            </w:pPr>
          </w:p>
        </w:tc>
        <w:tc>
          <w:tcPr>
            <w:tcW w:w="21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Instrument Type</w:t>
            </w:r>
          </w:p>
        </w:tc>
        <w:tc>
          <w:tcPr>
            <w:tcW w:w="900" w:type="dxa"/>
            <w:vAlign w:val="bottom"/>
            <w:gridSpan w:val="2"/>
            <w:vMerge w:val="continue"/>
          </w:tcPr>
          <w:p>
            <w:pPr>
              <w:spacing w:after="0"/>
              <w:rPr>
                <w:sz w:val="5"/>
                <w:szCs w:val="5"/>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Assets</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Liabilities</w:t>
            </w:r>
          </w:p>
        </w:tc>
        <w:tc>
          <w:tcPr>
            <w:tcW w:w="8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Exposure</w:t>
            </w:r>
          </w:p>
        </w:tc>
        <w:tc>
          <w:tcPr>
            <w:tcW w:w="2160" w:type="dxa"/>
            <w:vAlign w:val="bottom"/>
            <w:gridSpan w:val="2"/>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w:t>
            </w: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 swaps</w:t>
            </w: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$14,586</w:t>
            </w:r>
          </w:p>
        </w:tc>
        <w:tc>
          <w:tcPr>
            <w:tcW w:w="12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BFE4FF"/>
          </w:tcPr>
          <w:p>
            <w:pPr>
              <w:spacing w:after="0"/>
              <w:rPr>
                <w:sz w:val="24"/>
                <w:szCs w:val="24"/>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$16,551</w:t>
            </w:r>
          </w:p>
        </w:tc>
        <w:tc>
          <w:tcPr>
            <w:tcW w:w="100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Interest rate futures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1,288</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 options</w:t>
            </w:r>
          </w:p>
        </w:tc>
        <w:tc>
          <w:tcPr>
            <w:tcW w:w="7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20,800</w:t>
            </w:r>
          </w:p>
        </w:tc>
        <w:tc>
          <w:tcPr>
            <w:tcW w:w="12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BFE4FF"/>
          </w:tcPr>
          <w:p>
            <w:pPr>
              <w:spacing w:after="0"/>
              <w:rPr>
                <w:sz w:val="24"/>
                <w:szCs w:val="24"/>
                <w:color w:val="auto"/>
              </w:rPr>
            </w:pPr>
          </w:p>
        </w:tc>
        <w:tc>
          <w:tcPr>
            <w:tcW w:w="108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15,520</w:t>
            </w:r>
          </w:p>
        </w:tc>
        <w:tc>
          <w:tcPr>
            <w:tcW w:w="1000" w:type="dxa"/>
            <w:vAlign w:val="bottom"/>
            <w:gridSpan w:val="3"/>
            <w:shd w:val="clear" w:color="auto" w:fill="BFE4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Equity futures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3,337</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8,037</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Equity index options</w:t>
            </w:r>
          </w:p>
        </w:tc>
        <w:tc>
          <w:tcPr>
            <w:tcW w:w="7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61,914</w:t>
            </w:r>
          </w:p>
        </w:tc>
        <w:tc>
          <w:tcPr>
            <w:tcW w:w="12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37,215</w:t>
            </w:r>
          </w:p>
        </w:tc>
        <w:tc>
          <w:tcPr>
            <w:tcW w:w="1000" w:type="dxa"/>
            <w:vAlign w:val="bottom"/>
            <w:gridSpan w:val="3"/>
            <w:shd w:val="clear" w:color="auto" w:fill="BFE4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Equity variance swaps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14,894</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17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Equity total return swaps</w:t>
            </w:r>
          </w:p>
        </w:tc>
        <w:tc>
          <w:tcPr>
            <w:tcW w:w="7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BFE4FF"/>
          </w:tcPr>
          <w:p>
            <w:pPr>
              <w:spacing w:after="0"/>
              <w:rPr>
                <w:sz w:val="23"/>
                <w:szCs w:val="23"/>
                <w:color w:val="auto"/>
              </w:rPr>
            </w:pPr>
          </w:p>
        </w:tc>
        <w:tc>
          <w:tcPr>
            <w:tcW w:w="9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BFE4FF"/>
          </w:tcPr>
          <w:p>
            <w:pPr>
              <w:spacing w:after="0"/>
              <w:rPr>
                <w:sz w:val="23"/>
                <w:szCs w:val="23"/>
                <w:color w:val="auto"/>
              </w:rPr>
            </w:pPr>
          </w:p>
        </w:tc>
        <w:tc>
          <w:tcPr>
            <w:tcW w:w="8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2,855</w:t>
            </w:r>
          </w:p>
        </w:tc>
        <w:tc>
          <w:tcPr>
            <w:tcW w:w="2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3"/>
                <w:szCs w:val="23"/>
                <w:color w:val="auto"/>
              </w:rPr>
            </w:pPr>
          </w:p>
        </w:tc>
        <w:tc>
          <w:tcPr>
            <w:tcW w:w="80" w:type="dxa"/>
            <w:vAlign w:val="bottom"/>
            <w:tcBorders>
              <w:bottom w:val="single" w:sz="8" w:color="auto"/>
            </w:tcBorders>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780" w:type="dxa"/>
            <w:vAlign w:val="bottom"/>
          </w:tcPr>
          <w:p>
            <w:pPr>
              <w:jc w:val="right"/>
              <w:spacing w:after="0"/>
              <w:rPr>
                <w:sz w:val="20"/>
                <w:szCs w:val="20"/>
                <w:color w:val="auto"/>
              </w:rPr>
            </w:pPr>
            <w:r>
              <w:rPr>
                <w:rFonts w:ascii="Arial" w:cs="Arial" w:eastAsia="Arial" w:hAnsi="Arial"/>
                <w:sz w:val="14"/>
                <w:szCs w:val="14"/>
                <w:color w:val="auto"/>
              </w:rPr>
              <w:t>$117,430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$96,360</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$2,399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For hedges of guarantees that are accounted for under the insurance accrual based model the change in estimated fair value of our derivatives is reported in policyholder benefits and claims. For hedges of guarantees that are accounted for as embedded derivatives the change in estimated fair value of our derivatives is recorded in net derivative gains (losses).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the businesses, timing of cash flows on investments and products, general economic conditions, access to the senior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827" w:right="2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unsecured revolving credit facility and the term loan facility described below and access to the capital markets and the alternate sources of liquidity and capital described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In evaluating liquidity it is important to distinguish the cash flow needs of the parent company, Brighthouse Financial, Inc., from the cash flow needs of the combined group of companies. Brighthouse Financial, Inc. is largely dependent on cash flows from its insurance company subsidiaries to meet its obligations. The principal sources of funds available to Brighthouse Financial, Inc. will include dividends and returns of capital from its insurance and non-insurance company subsidiaries, as well as its own cash and short-term investments. Such funds will be paid to Brighthouse Financial, Inc. by BH Holdings, its direct wholly-owned holding company subsidiary. These sources of funds may also be supplemented by alternate sources of liquidity either directly or indirectly through our insurance company subsidiaries. See “Risk Factors — Capital-Related Risks — As a holding company, Brighthouse Financial, Inc. depends on the ability of its subsidiaries to pay dividends” included in the Form 10. See also “— Liquid Assets and Short-term Liquidity.” Additionally, we may be constrained in our payment of dividends from our insurance company subsidiaries pursuant to reserving requirements under actuarial guidelines. See “Management’s Discussion and Analysis of Financial Condition and Results of Operations — Liquidity and Capital Resources — Parent Company — Liquidity — Constraints on Parent Company Liquidity” included in the Form 10 for further information on such constraints.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expect to maintain adequate liquidity at Brighthouse Financial, Inc., a debt-to-capital ratio of approximately 25% and an initial funding of $2.0 billion to $3.0 billion of assets in excess of CTE95 to support our variable annuity contracts, which we expect to result in a combined action level risk-based capital ratio of approximately 650%. We define CTE95 as the amount of assets required to satisfy contract holder obligations across market environments in the average worst five percent of 1,000 capital markets scenarios over the life of the contracts.</w:t>
      </w:r>
    </w:p>
    <w:p>
      <w:pPr>
        <w:spacing w:after="0" w:line="79"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In anticipation of the Separation, in December 2016, we entered into a $2.0 billion senior unsecured credit facility (see “Liquidity and Capital Resources” included in the Form 10). Additionally, in June 2017 and July 2017, respectively, we issued $3.0 billion of senior notes and entered into a $600 million term loan facility. See “— The Company — Outstanding Debt and Collateral Financing Arrangement” for further information on these new financing transactions. On August 3, 2017, $1.8 billion of the pre-Separation financing proceeds were used to fund the distribution to MetLife, Inc.</w:t>
      </w:r>
    </w:p>
    <w:p>
      <w:pPr>
        <w:spacing w:after="0" w:line="46"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We have not yet finalized all of the types of financing we may incur in the future; however, such financings may include the issuance of additional debt securities in one or more registered offerings or private placements and the issuance of common stock.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also “— The Company — Capital” for a discussion of how we manage our capital for the combined group of companies.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do not currently anticipate declaring or paying regular cash dividends on our common stock in the near term. In addition, the declaration of any future cash dividends and, if declared by our Board of Directors, the amount of any such dividends or other distributions of capital, will be subject to our financial condition, results of operations, future prospects, cash and capital requirements, financial covenants and other contractual restrictions.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An integral part of our liquidity management includes managing our levels of liquid assets and short-term liquidity. In connection with the Separation, short-term liquidity and liquid assets were made available from the issuance of the senior notes and from drawdowns under our term loan facility. In addition, any undrawn capacity under our revolving credit facility will be a potential source of liquidity. See “— The Company — Outstanding Debt and Collateral Financing Arrangement.” Finally, in order to manage our capital more efficiently, in the future, as an alternate source of liquidity, we may also have an internal liquidity facility to provide liquidity within and across the combined group of companies.</w:t>
      </w:r>
    </w:p>
    <w:p>
      <w:pPr>
        <w:spacing w:after="0" w:line="64"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At June 30, 2017 and December 31, 2016, Brighthouse Financial, Inc. and certain of its non-insurance company subsidiaries had $2.5 billion and $102 million, respectively, in liquid assets. Of these amounts, $2.3 billion and $0 were held by Brighthouse Financial, Inc. at June 30, 2017 and December 31, 2016, respectively. Non-insurance company liquid assets are generated through dividends and returns of capital from insurance subsidiaries and payments for certain services provided from our insurance and non-insurance subsidiaries, which include but are not limited to, executive oversight, treasury, finance, legal, human resources, tax planning, internal audit, financial reporting, information technology, distribution services and investor relations. Insurance subsidiary dividends are subject to local insurance regulatory requirements, as discussed in “— The Company — Capital — Restrictions on Dividends and Returns of Capital from Insurance Company Subsidiaries.” Liquid assets include cash and cash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881" w:right="239" w:bottom="1440" w:gutter="0" w:footer="0" w:header="0"/>
        </w:sectPr>
      </w:pPr>
    </w:p>
    <w:bookmarkStart w:id="119" w:name="page120"/>
    <w:bookmarkEnd w:id="119"/>
    <w:p>
      <w:pPr>
        <w:jc w:val="both"/>
        <w:ind w:left="180" w:right="20"/>
        <w:spacing w:after="0" w:line="277" w:lineRule="auto"/>
        <w:rPr>
          <w:sz w:val="20"/>
          <w:szCs w:val="20"/>
          <w:color w:val="auto"/>
        </w:rPr>
      </w:pPr>
      <w:r>
        <w:rPr>
          <w:rFonts w:ascii="Arial" w:cs="Arial" w:eastAsia="Arial" w:hAnsi="Arial"/>
          <w:sz w:val="18"/>
          <w:szCs w:val="18"/>
          <w:color w:val="auto"/>
        </w:rPr>
        <w:t>equivalents, short-term investments and publicly-traded securities excluding assets that are pledged or otherwise committed. Assets pledged or otherwise committed include amounts received in connection with derivatives and collateral financing arrangements.</w:t>
      </w:r>
    </w:p>
    <w:p>
      <w:pPr>
        <w:spacing w:after="0" w:line="62"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substantial short-term liquidity position, which was $2.1 billion and $122 million at June 30, 2017 and December 31, 2016, respectively. Short-term liquidity includes cash and cash equivalents and short-term investments, excluding assets that are pledged or otherwise committed, including amounts received in connection with securities lending, repurchase agreements, derivatives, and secured borrowings.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Our principal sources of liquidity are insurance premiums and annuity considerations, net investment income and proceeds from the maturity and sale of investments. The primary uses of these funds are investing activities, payments of policyholder benefits, commissions and operational expenses, and contract maturities, withdrawals and surrenders.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 of the Primary Sources and Uses of Liquidity and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the primary sources and uses of liquidity and capital at:</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8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35"/>
        </w:trPr>
        <w:tc>
          <w:tcPr>
            <w:tcW w:w="8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Operating activities, net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2,134</w:t>
            </w:r>
          </w:p>
        </w:tc>
      </w:tr>
      <w:tr>
        <w:trPr>
          <w:trHeight w:val="27"/>
        </w:trPr>
        <w:tc>
          <w:tcPr>
            <w:tcW w:w="8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 net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Changes in policyholder account balances, net</w:t>
            </w: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Long-term debt issued</w:t>
            </w: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Cash received from MetLife in connection with shareholder’s net investment</w:t>
            </w: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1,660</w:t>
            </w:r>
          </w:p>
        </w:tc>
      </w:tr>
      <w:tr>
        <w:trPr>
          <w:trHeight w:val="27"/>
        </w:trPr>
        <w:tc>
          <w:tcPr>
            <w:tcW w:w="8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6,851</w:t>
            </w:r>
          </w:p>
        </w:tc>
      </w:tr>
      <w:tr>
        <w:trPr>
          <w:trHeight w:val="204"/>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60"/>
        </w:trPr>
        <w:tc>
          <w:tcPr>
            <w:tcW w:w="8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 net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4,513</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Changes in policyholder account balances, net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1,213</w:t>
            </w:r>
          </w:p>
        </w:tc>
      </w:tr>
      <w:tr>
        <w:trPr>
          <w:trHeight w:val="27"/>
        </w:trPr>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Long-term debt repaid</w:t>
            </w: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 financing arrangements repaid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8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to MetLife in connection with shareholder’s net investment (1)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88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uses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6,056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5,900</w:t>
            </w:r>
          </w:p>
        </w:tc>
      </w:tr>
      <w:tr>
        <w:trPr>
          <w:trHeight w:val="217"/>
        </w:trPr>
        <w:tc>
          <w:tcPr>
            <w:tcW w:w="886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6"/>
                <w:szCs w:val="16"/>
                <w:color w:val="auto"/>
              </w:rPr>
              <w:t>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20955</wp:posOffset>
            </wp:positionV>
            <wp:extent cx="14922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-98425</wp:posOffset>
            </wp:positionV>
            <wp:extent cx="14922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93" w:lineRule="exact"/>
        <w:rPr>
          <w:sz w:val="20"/>
          <w:szCs w:val="20"/>
          <w:color w:val="auto"/>
        </w:rPr>
      </w:pPr>
    </w:p>
    <w:p>
      <w:pPr>
        <w:ind w:left="3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 “— Capital — Restrictions on Dividends and Returns of Capital from Insurance Company Subsidiaries” for further information on historical dividends paid to the entities’ parent company, BH Holdings, in the MetLife group of companies.</w:t>
      </w:r>
    </w:p>
    <w:p>
      <w:pPr>
        <w:spacing w:after="0" w:line="62" w:lineRule="exact"/>
        <w:rPr>
          <w:sz w:val="20"/>
          <w:szCs w:val="20"/>
          <w:color w:val="auto"/>
        </w:rPr>
      </w:pPr>
    </w:p>
    <w:p>
      <w:pPr>
        <w:ind w:left="340" w:right="200" w:firstLine="324"/>
        <w:spacing w:after="0" w:line="34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The principal cash inflows from our insurance activities come from insurance premiums, net investment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annuity considerations. The principal cash outflows relate to life insurance and annuity products and operational expenses, as well as interest expense.</w:t>
      </w:r>
    </w:p>
    <w:p>
      <w:pPr>
        <w:spacing w:after="0" w:line="16"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i w:val="1"/>
          <w:iCs w:val="1"/>
          <w:color w:val="auto"/>
        </w:rPr>
        <w:t>Cash Flows from Investments</w:t>
      </w:r>
      <w:r>
        <w:rPr>
          <w:rFonts w:ascii="Arial" w:cs="Arial" w:eastAsia="Arial" w:hAnsi="Arial"/>
          <w:sz w:val="18"/>
          <w:szCs w:val="18"/>
          <w:color w:val="auto"/>
        </w:rPr>
        <w:t>. The principal cash inflows from our investment activities come from repayments of principal,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and sales of investments and settlements of freestanding derivatives. The principal cash outflows relate to purchases of investments and settlements of freestanding derivatives. We typically have a net cash outflow from investing activities because cash inflows from insurance operations are reinvested in accordance with our ALM discipline to fund insurance liabilities.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827" w:right="239" w:bottom="1440" w:gutter="0" w:footer="0" w:header="0"/>
        </w:sectPr>
      </w:pPr>
    </w:p>
    <w:bookmarkStart w:id="120" w:name="page121"/>
    <w:bookmarkEnd w:id="120"/>
    <w:p>
      <w:pPr>
        <w:ind w:left="160" w:right="140" w:firstLine="324"/>
        <w:spacing w:after="0" w:line="259" w:lineRule="auto"/>
        <w:rPr>
          <w:sz w:val="20"/>
          <w:szCs w:val="20"/>
          <w:color w:val="auto"/>
        </w:rPr>
      </w:pPr>
      <w:r>
        <w:rPr>
          <w:rFonts w:ascii="Arial" w:cs="Arial" w:eastAsia="Arial" w:hAnsi="Arial"/>
          <w:sz w:val="18"/>
          <w:szCs w:val="18"/>
          <w:i w:val="1"/>
          <w:iCs w:val="1"/>
          <w:color w:val="auto"/>
        </w:rPr>
        <w:t xml:space="preserve">Cash Flows from Financing: Parent Company. </w:t>
      </w:r>
      <w:r>
        <w:rPr>
          <w:rFonts w:ascii="Arial" w:cs="Arial" w:eastAsia="Arial" w:hAnsi="Arial"/>
          <w:sz w:val="18"/>
          <w:szCs w:val="18"/>
          <w:color w:val="auto"/>
        </w:rPr>
        <w:t>The principal cash inflows from parent company financing activities will be proceeds from our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facility and revolving credit facility and any subsequently issued debt securities, private placements, preferred stock, common stock or any additional bank loans. The principal cash outflows from parent company financing activities will be from repayments of debt, dividends on and repurchases of common or preferred stock and capital contributions to subsidiaries.</w:t>
      </w:r>
    </w:p>
    <w:p>
      <w:pPr>
        <w:spacing w:after="0" w:line="79" w:lineRule="exact"/>
        <w:rPr>
          <w:sz w:val="20"/>
          <w:szCs w:val="20"/>
          <w:color w:val="auto"/>
        </w:rPr>
      </w:pPr>
    </w:p>
    <w:p>
      <w:pPr>
        <w:ind w:left="160" w:right="240" w:firstLine="324"/>
        <w:spacing w:after="0" w:line="257" w:lineRule="auto"/>
        <w:rPr>
          <w:sz w:val="20"/>
          <w:szCs w:val="20"/>
          <w:color w:val="auto"/>
        </w:rPr>
      </w:pPr>
      <w:r>
        <w:rPr>
          <w:rFonts w:ascii="Arial" w:cs="Arial" w:eastAsia="Arial" w:hAnsi="Arial"/>
          <w:sz w:val="18"/>
          <w:szCs w:val="18"/>
          <w:i w:val="1"/>
          <w:iCs w:val="1"/>
          <w:color w:val="auto"/>
        </w:rPr>
        <w:t xml:space="preserve">The Company. </w:t>
      </w:r>
      <w:r>
        <w:rPr>
          <w:rFonts w:ascii="Arial" w:cs="Arial" w:eastAsia="Arial" w:hAnsi="Arial"/>
          <w:sz w:val="18"/>
          <w:szCs w:val="18"/>
          <w:color w:val="auto"/>
        </w:rPr>
        <w:t>The principal cash inflows from our financing activities come from deposits of funds associated with the Federal Home Loan Bank</w:t>
      </w:r>
      <w:r>
        <w:rPr>
          <w:rFonts w:ascii="Arial" w:cs="Arial" w:eastAsia="Arial" w:hAnsi="Arial"/>
          <w:sz w:val="18"/>
          <w:szCs w:val="18"/>
          <w:i w:val="1"/>
          <w:iCs w:val="1"/>
          <w:color w:val="auto"/>
        </w:rPr>
        <w:t xml:space="preserve"> </w:t>
      </w:r>
      <w:r>
        <w:rPr>
          <w:rFonts w:ascii="Arial" w:cs="Arial" w:eastAsia="Arial" w:hAnsi="Arial"/>
          <w:sz w:val="18"/>
          <w:szCs w:val="18"/>
          <w:color w:val="auto"/>
        </w:rPr>
        <w:t>(the “FHLB”) funding agreements reported within policyholder account balances, lending of securities, capital contributions from the parent company and issuances of affiliated debt. The principal cash outflows come from withdrawals associated with FHLB funding agreements reported within policyholder account balances, the return of securities on loan, repayments of affiliated debt or unaffiliated surplus notes and dividends paid and other changes in the shareholder’s net investment.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Liquidity Management</w:t>
      </w:r>
    </w:p>
    <w:p>
      <w:pPr>
        <w:spacing w:after="0" w:line="117" w:lineRule="exact"/>
        <w:rPr>
          <w:sz w:val="20"/>
          <w:szCs w:val="20"/>
          <w:color w:val="auto"/>
        </w:rPr>
      </w:pPr>
    </w:p>
    <w:p>
      <w:pPr>
        <w:jc w:val="both"/>
        <w:ind w:left="160" w:firstLine="324"/>
        <w:spacing w:after="0" w:line="264" w:lineRule="auto"/>
        <w:rPr>
          <w:sz w:val="20"/>
          <w:szCs w:val="20"/>
          <w:color w:val="auto"/>
        </w:rPr>
      </w:pPr>
      <w:r>
        <w:rPr>
          <w:rFonts w:ascii="Arial" w:cs="Arial" w:eastAsia="Arial" w:hAnsi="Arial"/>
          <w:sz w:val="18"/>
          <w:szCs w:val="18"/>
          <w:color w:val="auto"/>
        </w:rPr>
        <w:t>Based upon our capitalization, expectations regarding maintaining our ratings, business mix and funding sources available to us, we believe we have sufficient liquidity to meet business requirements under current market conditions and certain stress scenarios. We continuously monitor and adjust our liquidity and capital plans in light of market conditions, as well as changing needs and opportunities.</w:t>
      </w:r>
    </w:p>
    <w:p>
      <w:pPr>
        <w:spacing w:after="0" w:line="73" w:lineRule="exact"/>
        <w:rPr>
          <w:sz w:val="20"/>
          <w:szCs w:val="20"/>
          <w:color w:val="auto"/>
        </w:rPr>
      </w:pPr>
    </w:p>
    <w:p>
      <w:pPr>
        <w:jc w:val="both"/>
        <w:ind w:left="160" w:firstLine="324"/>
        <w:spacing w:after="0" w:line="253" w:lineRule="auto"/>
        <w:rPr>
          <w:sz w:val="20"/>
          <w:szCs w:val="20"/>
          <w:color w:val="auto"/>
        </w:rPr>
      </w:pPr>
      <w:r>
        <w:rPr>
          <w:rFonts w:ascii="Arial" w:cs="Arial" w:eastAsia="Arial" w:hAnsi="Arial"/>
          <w:sz w:val="18"/>
          <w:szCs w:val="18"/>
          <w:color w:val="auto"/>
        </w:rPr>
        <w:t>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include various scenarios of the potential increase to post or return collateral, reduction to new business sales, and risk of early contractholder and policyholder withdrawals, and lapses and surrenders of existing policies and contracts. We include provisions limiting withdrawal rights on many of our products. Certain of these provisions prevent the customer from making withdrawals prior to the maturity date of the product. In the event of significant cash requirements beyond anticipated liquidity needs, we have various alternatives available depending on market conditions and the amount and timing of the liquidity need. These available alternatives include cash flows from operations, sales of liquid assets, collateralized borrowing arrangements, such as from the FHLB, and any undrawn capacity under our revolving credit facility will be a potential source of liquidity.</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Liquid Assets and Short-term Liquidity</w:t>
      </w:r>
    </w:p>
    <w:p>
      <w:pPr>
        <w:spacing w:after="0" w:line="117" w:lineRule="exact"/>
        <w:rPr>
          <w:sz w:val="20"/>
          <w:szCs w:val="20"/>
          <w:color w:val="auto"/>
        </w:rPr>
      </w:pPr>
    </w:p>
    <w:p>
      <w:pPr>
        <w:jc w:val="both"/>
        <w:ind w:left="320" w:firstLine="324"/>
        <w:spacing w:after="0" w:line="277" w:lineRule="auto"/>
        <w:rPr>
          <w:sz w:val="20"/>
          <w:szCs w:val="20"/>
          <w:color w:val="auto"/>
        </w:rPr>
      </w:pPr>
      <w:r>
        <w:rPr>
          <w:rFonts w:ascii="Arial" w:cs="Arial" w:eastAsia="Arial" w:hAnsi="Arial"/>
          <w:sz w:val="18"/>
          <w:szCs w:val="18"/>
          <w:color w:val="auto"/>
        </w:rPr>
        <w:t>Liquid assets were $36.0 billion and $31.7 billion at June 30, 2017 and December 31, 2016, respectively. Short-term liquidity was $3.2 billion and $5.0 billion at June 30, 2017 and December 31, 2016, respectively.</w:t>
      </w:r>
    </w:p>
    <w:p>
      <w:pPr>
        <w:spacing w:after="0" w:line="62" w:lineRule="exact"/>
        <w:rPr>
          <w:sz w:val="20"/>
          <w:szCs w:val="20"/>
          <w:color w:val="auto"/>
        </w:rPr>
      </w:pPr>
    </w:p>
    <w:p>
      <w:pPr>
        <w:jc w:val="both"/>
        <w:ind w:left="320" w:firstLine="324"/>
        <w:spacing w:after="0" w:line="259" w:lineRule="auto"/>
        <w:rPr>
          <w:sz w:val="20"/>
          <w:szCs w:val="20"/>
          <w:color w:val="auto"/>
        </w:rPr>
      </w:pPr>
      <w:r>
        <w:rPr>
          <w:rFonts w:ascii="Arial" w:cs="Arial" w:eastAsia="Arial" w:hAnsi="Arial"/>
          <w:sz w:val="18"/>
          <w:szCs w:val="18"/>
          <w:color w:val="auto"/>
        </w:rPr>
        <w:t>Short-term liquidity includes cash, cash equivalents and short-term investments, excluding assets that are pledged or otherwise committed. Liquid assets include cash, cash equivalents, short-term investments and publicly-traded securities, excluding assets that are pledged or otherwise committed. Assets pledged or otherwise committed include those in connection with securities lending, derivatives, regulatory deposits and custodial accounts, the collateral financing arrangement and funding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will be supported by our ability to generate cash flows within our insurance companies, our ability to effectively manage the risk of our businesses and our expected ability to borrow funds, and raise additional capital to meet operating and growth needs in the event of adverse market and economic conditions.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Capital Management</w:t>
      </w:r>
    </w:p>
    <w:p>
      <w:pPr>
        <w:spacing w:after="0" w:line="117" w:lineRule="exact"/>
        <w:rPr>
          <w:sz w:val="20"/>
          <w:szCs w:val="20"/>
          <w:color w:val="auto"/>
        </w:rPr>
      </w:pPr>
    </w:p>
    <w:p>
      <w:pPr>
        <w:jc w:val="both"/>
        <w:ind w:left="160" w:firstLine="324"/>
        <w:spacing w:after="0" w:line="279" w:lineRule="auto"/>
        <w:rPr>
          <w:sz w:val="20"/>
          <w:szCs w:val="20"/>
          <w:color w:val="auto"/>
        </w:rPr>
      </w:pPr>
      <w:r>
        <w:rPr>
          <w:rFonts w:ascii="Arial" w:cs="Arial" w:eastAsia="Arial" w:hAnsi="Arial"/>
          <w:sz w:val="17"/>
          <w:szCs w:val="17"/>
          <w:color w:val="auto"/>
        </w:rPr>
        <w:t>Our Board and senior management will be directly involved in the governance of the capital management process, including proposed changes to the annual capital plan and capital targets. In connection with the Separation, we undertook various capitalization activities. For example we have eliminated intercompany financing arrangements with or guaranteed by MetLife. Following the Separation, we are targeting a debt-to-total capitalization ratio commensurate with our parent company credit ratings and our insurance company subsidiaries’ financial strength ratings.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Statutory Capital</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insurance companies have statutory surplus above the level needed to meet current regulatory requirements.</w:t>
      </w: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420" w:top="827" w:right="239" w:bottom="1440" w:gutter="0" w:footer="0" w:header="0"/>
        </w:sectPr>
      </w:pPr>
    </w:p>
    <w:bookmarkStart w:id="121" w:name="page122"/>
    <w:bookmarkEnd w:id="121"/>
    <w:p>
      <w:pPr>
        <w:jc w:val="both"/>
        <w:ind w:left="340" w:firstLine="324"/>
        <w:spacing w:after="0" w:line="277" w:lineRule="auto"/>
        <w:rPr>
          <w:sz w:val="20"/>
          <w:szCs w:val="20"/>
          <w:color w:val="auto"/>
        </w:rPr>
      </w:pPr>
      <w:r>
        <w:rPr>
          <w:rFonts w:ascii="Arial" w:cs="Arial" w:eastAsia="Arial" w:hAnsi="Arial"/>
          <w:sz w:val="18"/>
          <w:szCs w:val="18"/>
          <w:color w:val="auto"/>
        </w:rPr>
        <w:t>At the date of the most recent annual statutory financial statements filed with insurance regulators, the total adjusted capital of each of these insurance company subsidiaries subject to these requirements was in excess of each of those RBC levels.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Restrictions on Dividends and Returns of Capital from Insurance Company Subsidiaries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Our business is primarily conducted through our insurance company subsidiaries. The table below sets forth the dividends permitted to be paid in 2017 by Brighthouse Financial, Inc.’s primary insurance subsidiaries without insurance regulatory approval and the respective dividends paid during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74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Company</w:t>
            </w:r>
          </w:p>
        </w:tc>
        <w:tc>
          <w:tcPr>
            <w:tcW w:w="380" w:type="dxa"/>
            <w:vAlign w:val="bottom"/>
          </w:tcPr>
          <w:p>
            <w:pPr>
              <w:spacing w:after="0"/>
              <w:rPr>
                <w:sz w:val="15"/>
                <w:szCs w:val="15"/>
                <w:color w:val="auto"/>
              </w:rPr>
            </w:pPr>
          </w:p>
        </w:tc>
        <w:tc>
          <w:tcPr>
            <w:tcW w:w="1200" w:type="dxa"/>
            <w:vAlign w:val="bottom"/>
          </w:tcPr>
          <w:p>
            <w:pPr>
              <w:ind w:left="320"/>
              <w:spacing w:after="0"/>
              <w:rPr>
                <w:sz w:val="20"/>
                <w:szCs w:val="20"/>
                <w:color w:val="auto"/>
              </w:rPr>
            </w:pPr>
            <w:r>
              <w:rPr>
                <w:rFonts w:ascii="Arial" w:cs="Arial" w:eastAsia="Arial" w:hAnsi="Arial"/>
                <w:sz w:val="13"/>
                <w:szCs w:val="13"/>
                <w:b w:val="1"/>
                <w:bCs w:val="1"/>
                <w:color w:val="auto"/>
              </w:rPr>
              <w:t>Paid</w:t>
            </w:r>
          </w:p>
        </w:tc>
        <w:tc>
          <w:tcPr>
            <w:tcW w:w="220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Permitted without Approval</w:t>
            </w:r>
          </w:p>
        </w:tc>
        <w:tc>
          <w:tcPr>
            <w:tcW w:w="0" w:type="dxa"/>
            <w:vAlign w:val="bottom"/>
          </w:tcPr>
          <w:p>
            <w:pPr>
              <w:spacing w:after="0"/>
              <w:rPr>
                <w:sz w:val="1"/>
                <w:szCs w:val="1"/>
                <w:color w:val="auto"/>
              </w:rPr>
            </w:pPr>
          </w:p>
        </w:tc>
      </w:tr>
      <w:tr>
        <w:trPr>
          <w:trHeight w:val="262"/>
        </w:trPr>
        <w:tc>
          <w:tcPr>
            <w:tcW w:w="72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93"/>
              <w:spacing w:after="0"/>
              <w:rPr>
                <w:sz w:val="20"/>
                <w:szCs w:val="20"/>
                <w:color w:val="auto"/>
              </w:rPr>
            </w:pPr>
            <w:r>
              <w:rPr>
                <w:rFonts w:ascii="Arial" w:cs="Arial" w:eastAsia="Arial" w:hAnsi="Arial"/>
                <w:sz w:val="13"/>
                <w:szCs w:val="13"/>
                <w:color w:val="auto"/>
                <w:w w:val="93"/>
              </w:rPr>
              <w:t>(In millions)</w:t>
            </w: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Brighthouse Life Insurance Company</w:t>
            </w: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w w:val="99"/>
              </w:rPr>
              <w:t>—</w:t>
            </w:r>
          </w:p>
        </w:tc>
        <w:tc>
          <w:tcPr>
            <w:tcW w:w="1100" w:type="dxa"/>
            <w:vAlign w:val="bottom"/>
            <w:vMerge w:val="restart"/>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80"/>
        </w:trPr>
        <w:tc>
          <w:tcPr>
            <w:tcW w:w="72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New England Life Insurance Company</w:t>
            </w: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ind w:left="1040"/>
              <w:spacing w:after="0"/>
              <w:rPr>
                <w:sz w:val="20"/>
                <w:szCs w:val="20"/>
                <w:color w:val="auto"/>
              </w:rPr>
            </w:pPr>
            <w:r>
              <w:rPr>
                <w:rFonts w:ascii="Arial" w:cs="Arial" w:eastAsia="Arial" w:hAnsi="Arial"/>
                <w:sz w:val="14"/>
                <w:szCs w:val="14"/>
                <w:color w:val="auto"/>
                <w:w w:val="99"/>
              </w:rPr>
              <w:t>—</w:t>
            </w:r>
          </w:p>
        </w:tc>
        <w:tc>
          <w:tcPr>
            <w:tcW w:w="1100" w:type="dxa"/>
            <w:vAlign w:val="bottom"/>
            <w:vMerge w:val="restart"/>
          </w:tcPr>
          <w:p>
            <w:pPr>
              <w:jc w:val="right"/>
              <w:ind w:right="713"/>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36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80" w:right="360" w:firstLine="486"/>
        <w:spacing w:after="0" w:line="375" w:lineRule="auto"/>
        <w:rPr>
          <w:sz w:val="20"/>
          <w:szCs w:val="20"/>
          <w:color w:val="auto"/>
        </w:rPr>
      </w:pPr>
      <w:r>
        <w:rPr>
          <w:rFonts w:ascii="Arial" w:cs="Arial" w:eastAsia="Arial" w:hAnsi="Arial"/>
          <w:sz w:val="18"/>
          <w:szCs w:val="18"/>
          <w:color w:val="auto"/>
        </w:rPr>
        <w:t xml:space="preserve">There were no cash dividends or returns of capital paid by our non-insurance subsidiaries for either the six months ended June 30, 2017 or 2016. </w:t>
      </w:r>
      <w:r>
        <w:rPr>
          <w:rFonts w:ascii="Arial" w:cs="Arial" w:eastAsia="Arial" w:hAnsi="Arial"/>
          <w:sz w:val="18"/>
          <w:szCs w:val="18"/>
          <w:b w:val="1"/>
          <w:bCs w:val="1"/>
          <w:i w:val="1"/>
          <w:iCs w:val="1"/>
          <w:u w:val="single" w:color="auto"/>
          <w:color w:val="auto"/>
        </w:rPr>
        <w:t>Rating Agencies</w:t>
      </w:r>
    </w:p>
    <w:p>
      <w:pPr>
        <w:spacing w:after="0" w:line="1"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insurer financial strength ratings represent each rating agency’s opinion of our principal insurance subsidiaries’ ability to pay obligations under insurance policies and contracts in accordance with their terms and are not evaluations directed toward the protection of investors in our securities. Insurer financial strength ratings are not statements of fact nor are they recommendations to purchase, hold or sell any security, contract or policy. Each rating should be evaluated independently of any other rating.</w:t>
      </w:r>
    </w:p>
    <w:p>
      <w:pPr>
        <w:spacing w:after="0" w:line="7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Our insurer financial strength ratings at the date of this filing are indicated in the following table. All insurance financial strength ratings have a stable outlook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Insurer Financial Strength Ratings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“A++ (superior)” to “S</w:t>
            </w:r>
          </w:p>
        </w:tc>
        <w:tc>
          <w:tcPr>
            <w:tcW w:w="1780" w:type="dxa"/>
            <w:vAlign w:val="bottom"/>
            <w:gridSpan w:val="2"/>
          </w:tcPr>
          <w:p>
            <w:pPr>
              <w:jc w:val="center"/>
              <w:ind w:right="100"/>
              <w:spacing w:after="0" w:line="157" w:lineRule="exact"/>
              <w:rPr>
                <w:sz w:val="20"/>
                <w:szCs w:val="20"/>
                <w:color w:val="auto"/>
              </w:rPr>
            </w:pPr>
            <w:r>
              <w:rPr>
                <w:rFonts w:ascii="Arial" w:cs="Arial" w:eastAsia="Arial" w:hAnsi="Arial"/>
                <w:sz w:val="14"/>
                <w:szCs w:val="14"/>
                <w:i w:val="1"/>
                <w:iCs w:val="1"/>
                <w:color w:val="auto"/>
                <w:w w:val="98"/>
              </w:rPr>
              <w:t>“AAA (exceptionally</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9"/>
              </w:rPr>
              <w:t>“Aaa (highest quality)” to</w:t>
            </w:r>
          </w:p>
        </w:tc>
        <w:tc>
          <w:tcPr>
            <w:tcW w:w="168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8"/>
              </w:rPr>
              <w:t>“AAA (extremely strong)”</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i w:val="1"/>
                <w:iCs w:val="1"/>
                <w:color w:val="auto"/>
              </w:rPr>
              <w:t>strong)” to “C</w:t>
            </w:r>
          </w:p>
        </w:tc>
        <w:tc>
          <w:tcPr>
            <w:tcW w:w="1780" w:type="dxa"/>
            <w:vAlign w:val="bottom"/>
            <w:gridSpan w:val="2"/>
            <w:vMerge w:val="continue"/>
          </w:tcPr>
          <w:p>
            <w:pPr>
              <w:spacing w:after="0"/>
              <w:rPr>
                <w:sz w:val="5"/>
                <w:szCs w:val="5"/>
                <w:color w:val="auto"/>
              </w:rPr>
            </w:pPr>
          </w:p>
        </w:tc>
        <w:tc>
          <w:tcPr>
            <w:tcW w:w="168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8"/>
              </w:rPr>
              <w:t>to “SD (Selective Default)”</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4"/>
              </w:rPr>
              <w:t>(suspended)”</w:t>
            </w:r>
          </w:p>
        </w:tc>
        <w:tc>
          <w:tcPr>
            <w:tcW w:w="1780" w:type="dxa"/>
            <w:vAlign w:val="bottom"/>
            <w:gridSpan w:val="2"/>
            <w:vMerge w:val="continue"/>
          </w:tcPr>
          <w:p>
            <w:pPr>
              <w:spacing w:after="0"/>
              <w:rPr>
                <w:sz w:val="7"/>
                <w:szCs w:val="7"/>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“C (lowest rated)”</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5"/>
              </w:rPr>
              <w:t>(distressed)”</w:t>
            </w:r>
          </w:p>
        </w:tc>
        <w:tc>
          <w:tcPr>
            <w:tcW w:w="1780" w:type="dxa"/>
            <w:vAlign w:val="bottom"/>
            <w:gridSpan w:val="2"/>
            <w:vMerge w:val="continue"/>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4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7"/>
              </w:rPr>
              <w:t>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6th of 19</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7th of 21</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 Life Insurance Company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7"/>
              </w:rPr>
              <w:t>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6th of 19</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7th of 21</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 of 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NR</w:t>
            </w: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NR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20"/>
                <w:szCs w:val="20"/>
                <w:color w:val="auto"/>
              </w:rPr>
            </w:pPr>
            <w:r>
              <w:rPr>
                <w:rFonts w:ascii="Arial" w:cs="Arial" w:eastAsia="Arial" w:hAnsi="Arial"/>
                <w:sz w:val="14"/>
                <w:szCs w:val="14"/>
                <w:color w:val="auto"/>
              </w:rPr>
              <w:t>______________</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Negative outlook.</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Our long-term issuer credit ratings at the date of this filing are indicated in the following table. All long-term issuer credit ratings have a stable outlook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ind w:left="40"/>
              <w:spacing w:after="0"/>
              <w:rPr>
                <w:sz w:val="20"/>
                <w:szCs w:val="20"/>
                <w:color w:val="auto"/>
              </w:rPr>
            </w:pPr>
            <w:r>
              <w:rPr>
                <w:rFonts w:ascii="Arial" w:cs="Arial" w:eastAsia="Arial" w:hAnsi="Arial"/>
                <w:sz w:val="14"/>
                <w:szCs w:val="14"/>
                <w:b w:val="1"/>
                <w:bCs w:val="1"/>
                <w:color w:val="auto"/>
              </w:rPr>
              <w:t>Long-term Issuer Credit Ratings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S&amp;P</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9"/>
              </w:rPr>
              <w:t>“AAA (highest rating)” to</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9"/>
              </w:rPr>
              <w:t>“Aaa (highest quality)” to</w:t>
            </w:r>
          </w:p>
        </w:tc>
        <w:tc>
          <w:tcPr>
            <w:tcW w:w="170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7"/>
              </w:rPr>
              <w:t>“AAA (extremely strong)”</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70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7"/>
              </w:rPr>
              <w:t>to “SD (Selective Default)”</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“D (default)”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9"/>
              </w:rPr>
              <w:t>“C (lowest rated)”</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8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4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Financial, Inc.</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Baa3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BBB+ (1)</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Brighthouse Holdings, LLC</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Baa3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BBB+ (1)</w:t>
            </w:r>
          </w:p>
        </w:tc>
        <w:tc>
          <w:tcPr>
            <w:tcW w:w="0" w:type="dxa"/>
            <w:vAlign w:val="bottom"/>
          </w:tcPr>
          <w:p>
            <w:pPr>
              <w:spacing w:after="0"/>
              <w:rPr>
                <w:sz w:val="1"/>
                <w:szCs w:val="1"/>
                <w:color w:val="auto"/>
              </w:rPr>
            </w:pPr>
          </w:p>
        </w:tc>
      </w:tr>
      <w:tr>
        <w:trPr>
          <w:trHeight w:val="33"/>
        </w:trPr>
        <w:tc>
          <w:tcPr>
            <w:tcW w:w="4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827" w:right="2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Negative outlook.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Additional information about financial strength ratings and issuer credit ratings can be found on the respective websites of the rating agencies.</w:t>
      </w:r>
    </w:p>
    <w:p>
      <w:pPr>
        <w:spacing w:after="0" w:line="12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Rating agencies may continue to review and adjust our ratings. See Note 8 of the Notes to the Combined Financial Statements included in the Form 10 and Note 5 of the Notes to the Interim Condensed Combined Financial Statements. See also “Risk Factors — Risks Related to our Business — A downgrade or a potential downgrade in our financial strength or credit ratings could result in a loss of business and materially adversely affect our financial condition and results of operations” included in the Form 10 for an in-depth description of the impact of a ratings downgrade.</w:t>
      </w:r>
    </w:p>
    <w:p>
      <w:pPr>
        <w:spacing w:after="0" w:line="3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Agency Actions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May 31, 2017, Fitch Ratings downgraded the insurance financial strength ratings of Brighthouse Life Insurance Company and NELICO from “A+” to “A.” The rating outlook remains stable. Fitch Ratings does not currently rate Brighthouse NY.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Affiliated Reinsurance Companies Transactions</w:t>
      </w:r>
    </w:p>
    <w:p>
      <w:pPr>
        <w:spacing w:after="0" w:line="117"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Our reinsurance subsidiary, Brighthouse Reinsurance Company of Delaware (“BRCD”) was formed to manage our capital and risk exposures and to support our various operations, through the use of affiliated reinsurance arrangements and related reserve financing. Simultaneously with the Reinsurance Merger in April 2017, certain existing reserve financing arrangements were terminated and replaced with a single financing arrangement supported by a pool of highly rated third-party reinsurers, which we anticipate will be at a lower cost than the existing financing arrangements. The new financing structure has a total capacity of $10.0 billion and consists of credit-linked notes that each have a term of 20 years. As of August 15, 2017, there were no drawdowns on the facility and there was $8.1 billion of funding available under this arrangement, reflecting an increase of $250 million from the initial funding. See “Risk Factors — Risks Related to Our Business — We may not be able to take credit for reinsurance, our statutory life insurance reserve financings may be subject to cost increases and new financings may be subject to limited market capacity” included in the Form 10 for further information. In April 2017, in connection with the Reinsurance Merger, the $2.8 billion collateral financing arrangement was terminated and the liability was extinguished utilizing $2.8 billion of assets held in trust, which had been repositioned into short-term investments and cash equivalents, with the remaining assets held in trust returned to MetLife, Inc.</w:t>
      </w:r>
    </w:p>
    <w:p>
      <w:pPr>
        <w:spacing w:after="0" w:line="75"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connection with our reinsurance subsidiary restructuring, we were granted approval from the Delaware Insurance Department to pay a dividend from BRCD to its parent, Brighthouse Insurance. The dividend consisted of (i) $535 million in cash, which was paid in May 2017 and (ii) two surplus notes with an aggregate principal balance payable at maturity of $365 million, which have not yet been issued. All payments of principal and interest on these surplus notes would be subject to the prior approval of the Delaware Insurance Department. BRCD can only make distributions of capital to Brighthouse Insurance over time and subject to the approval of the Delaware Insurance Department.</w:t>
      </w:r>
    </w:p>
    <w:p>
      <w:pPr>
        <w:spacing w:after="0" w:line="80"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BRCD is capitalized with cash and invested assets, including funds withheld (“Minimum Initial Target Assets”) at a level that is sufficient to satisfy all of its future cash obligations assuming a permanent level yield curve, consistent with NAIC cash flow testing scenarios. BRCD utilizes the new financing program to cover the difference between full required statutory assets (i.e., XXX/AXXX reserves plus target RBC) and Minimum Initial Target Assets. An admitted deferred tax asset, if any, would also serve to reduce the amount of funding required under the new financing program.</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Liquidity is provided by a variety of funding sources, including funding agreements. Capital is provided by a variety of funding sources, including unaffiliated long-term debt, affiliated surplus notes and reserve financing facilities including affiliated surplus notes debt. The diversity of our funding sources enhances our funding flexibility, limits dependence on any one market or source of funds and generally lowers the cost of funds.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funding sources include: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Brighthouse Insurance is a member of the FHLB of Pittsburgh and has obligations outstanding with certain regional banks in the FHLB system. During the six months ended June 30, 2017 and 2016, we issued $0 and $3.0 billion, respectively, and repaid $0 and $3.0 billion, respectively, under funding agreements with certain regional FHLBs. At both June 30, 2017 and December 31, 2016, total obligations outstanding under these funding agreements were $645 million. See Note 4 of the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15" w:right="239" w:bottom="1440" w:gutter="0" w:footer="0" w:header="0"/>
        </w:sectPr>
      </w:pPr>
    </w:p>
    <w:bookmarkStart w:id="123" w:name="page124"/>
    <w:bookmarkEnd w:id="123"/>
    <w:p>
      <w:pPr>
        <w:ind w:left="340" w:right="720"/>
        <w:spacing w:after="0" w:line="375" w:lineRule="auto"/>
        <w:rPr>
          <w:sz w:val="20"/>
          <w:szCs w:val="20"/>
          <w:color w:val="auto"/>
        </w:rPr>
      </w:pPr>
      <w:r>
        <w:rPr>
          <w:rFonts w:ascii="Arial" w:cs="Arial" w:eastAsia="Arial" w:hAnsi="Arial"/>
          <w:sz w:val="18"/>
          <w:szCs w:val="18"/>
          <w:color w:val="auto"/>
        </w:rPr>
        <w:t xml:space="preserve">to the Combined Financial Statements included in the Form 10. Activity related to these funding agreements is reported in the Run-off segment. </w:t>
      </w:r>
      <w:r>
        <w:rPr>
          <w:rFonts w:ascii="Arial" w:cs="Arial" w:eastAsia="Arial" w:hAnsi="Arial"/>
          <w:sz w:val="18"/>
          <w:szCs w:val="18"/>
          <w:i w:val="1"/>
          <w:iCs w:val="1"/>
          <w:u w:val="single" w:color="auto"/>
          <w:color w:val="auto"/>
        </w:rPr>
        <w:t>Special Purpose Entity Funding Agreements, Reported in Policyholder Account Balances</w:t>
      </w:r>
    </w:p>
    <w:p>
      <w:pPr>
        <w:spacing w:after="0" w:line="1"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Brighthouse Insurance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six months ended June 30, 2017 and 2016, we issued $0 and $1.4 billion, respectively, and repaid $6 million and $3.4 billion, respectively, under such funding agreements. At June 30, 2017 and December 31, 2016, total obligations outstanding under these funding agreements were $132 million and $127 million, respectively. See Note 4 of the Notes to the Combined Financial Statements included in the Form 10. Activity related to these funding agreements is reported in the Run-off segment.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Agricultural Mortgage Corporation Funding Agreements, Reported in Policyholder Account Balances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Brighthouse Insurance issued funding agreements to a subsidiary of the Federal Agricultural Mortgage Corporation. The obligations under all such funding agreements are secured by a pledge of certain eligible agricultural real estate mortgage loans. During the six months ended June 30, 2017 and 2016, there were no issuances or repayments under such funding agreements. At June 30, 2017 and December 31, 2016, there were no obligations outstanding under these funding agreements. See Note 4 of the Notes to the Combined Financial Statements included in the Form 10. Activities related to these funding agreements are reported in the Run-off segment.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and Committed Facilities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 connection with the Separation, we entered into a $2.0 billion senior unsecured revolving credit facility, dated as of December 2, 2016, that matures on December 2, 2021 (the “Revolving Credit Facility”) and a $600 million senior unsecured delayed draw term loan facility, dated as of July 21, 2017, that matures on December 2, 2019 (the “2017 Term Loan Facility.”) See “- Parent Company - Capital.” See Note 11 of the Notes to the Combined Financial Statements in the Form 10 and Note 13 of the Notes to the Interim Condensed Combined Financial Statements for further information about the term loan facility.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new financing arrangement with a pool of highly rated third party reinsurers and a total capacity of $10 billion. This financing arrangement consists of credit-linked notes that each have a term of 20 years. At June 30, 2017, there were no drawdowns on such notes and there was $8.1 billion of funding available under this arrangement.</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Outstanding Debt and Collateral Financing Arrangement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debt and collateral financing arrangement liability at:</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5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4"/>
              </w:rPr>
              <w:t>Interest</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6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84"/>
        </w:trPr>
        <w:tc>
          <w:tcPr>
            <w:tcW w:w="55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3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7"/>
                <w:szCs w:val="7"/>
                <w:color w:val="auto"/>
              </w:rPr>
            </w:pPr>
          </w:p>
        </w:tc>
        <w:tc>
          <w:tcPr>
            <w:tcW w:w="108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13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2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54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92"/>
              </w:rPr>
              <w:t>3.700%</w:t>
            </w:r>
          </w:p>
        </w:tc>
        <w:tc>
          <w:tcPr>
            <w:tcW w:w="1380" w:type="dxa"/>
            <w:vAlign w:val="bottom"/>
            <w:tcBorders>
              <w:bottom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2027</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540" w:type="dxa"/>
            <w:vAlign w:val="bottom"/>
          </w:tcPr>
          <w:p>
            <w:pPr>
              <w:jc w:val="center"/>
              <w:ind w:right="121"/>
              <w:spacing w:after="0"/>
              <w:rPr>
                <w:sz w:val="20"/>
                <w:szCs w:val="20"/>
                <w:color w:val="auto"/>
              </w:rPr>
            </w:pPr>
            <w:r>
              <w:rPr>
                <w:rFonts w:ascii="Arial" w:cs="Arial" w:eastAsia="Arial" w:hAnsi="Arial"/>
                <w:sz w:val="16"/>
                <w:szCs w:val="16"/>
                <w:color w:val="auto"/>
                <w:w w:val="92"/>
              </w:rPr>
              <w:t>4.700%</w:t>
            </w:r>
          </w:p>
        </w:tc>
        <w:tc>
          <w:tcPr>
            <w:tcW w:w="1380" w:type="dxa"/>
            <w:vAlign w:val="bottom"/>
          </w:tcPr>
          <w:p>
            <w:pPr>
              <w:jc w:val="center"/>
              <w:ind w:right="101"/>
              <w:spacing w:after="0"/>
              <w:rPr>
                <w:sz w:val="20"/>
                <w:szCs w:val="20"/>
                <w:color w:val="auto"/>
              </w:rPr>
            </w:pPr>
            <w:r>
              <w:rPr>
                <w:rFonts w:ascii="Arial" w:cs="Arial" w:eastAsia="Arial" w:hAnsi="Arial"/>
                <w:sz w:val="16"/>
                <w:szCs w:val="16"/>
                <w:color w:val="auto"/>
                <w:w w:val="89"/>
              </w:rPr>
              <w:t>2047</w:t>
            </w:r>
          </w:p>
        </w:tc>
        <w:tc>
          <w:tcPr>
            <w:tcW w:w="2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Surplus notes — affiliated with MetLife, Inc.</w:t>
            </w:r>
          </w:p>
        </w:tc>
        <w:tc>
          <w:tcPr>
            <w:tcW w:w="154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92"/>
              </w:rPr>
              <w:t>8.595%</w:t>
            </w:r>
          </w:p>
        </w:tc>
        <w:tc>
          <w:tcPr>
            <w:tcW w:w="1380" w:type="dxa"/>
            <w:vAlign w:val="bottom"/>
            <w:tcBorders>
              <w:bottom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2038</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Surplus note — affiliated with MetLife, Inc.</w:t>
            </w:r>
          </w:p>
        </w:tc>
        <w:tc>
          <w:tcPr>
            <w:tcW w:w="1540" w:type="dxa"/>
            <w:vAlign w:val="bottom"/>
          </w:tcPr>
          <w:p>
            <w:pPr>
              <w:jc w:val="center"/>
              <w:ind w:right="121"/>
              <w:spacing w:after="0"/>
              <w:rPr>
                <w:sz w:val="20"/>
                <w:szCs w:val="20"/>
                <w:color w:val="auto"/>
              </w:rPr>
            </w:pPr>
            <w:r>
              <w:rPr>
                <w:rFonts w:ascii="Arial" w:cs="Arial" w:eastAsia="Arial" w:hAnsi="Arial"/>
                <w:sz w:val="16"/>
                <w:szCs w:val="16"/>
                <w:color w:val="auto"/>
                <w:w w:val="92"/>
              </w:rPr>
              <w:t>5.130%</w:t>
            </w:r>
          </w:p>
        </w:tc>
        <w:tc>
          <w:tcPr>
            <w:tcW w:w="1380" w:type="dxa"/>
            <w:vAlign w:val="bottom"/>
          </w:tcPr>
          <w:p>
            <w:pPr>
              <w:jc w:val="center"/>
              <w:ind w:right="101"/>
              <w:spacing w:after="0"/>
              <w:rPr>
                <w:sz w:val="20"/>
                <w:szCs w:val="20"/>
                <w:color w:val="auto"/>
              </w:rPr>
            </w:pPr>
            <w:r>
              <w:rPr>
                <w:rFonts w:ascii="Arial" w:cs="Arial" w:eastAsia="Arial" w:hAnsi="Arial"/>
                <w:sz w:val="16"/>
                <w:szCs w:val="16"/>
                <w:color w:val="auto"/>
                <w:w w:val="89"/>
              </w:rPr>
              <w:t>2032</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Surplus note — affiliated with MetLife, Inc.</w:t>
            </w:r>
          </w:p>
        </w:tc>
        <w:tc>
          <w:tcPr>
            <w:tcW w:w="154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92"/>
              </w:rPr>
              <w:t>6.000%</w:t>
            </w:r>
          </w:p>
        </w:tc>
        <w:tc>
          <w:tcPr>
            <w:tcW w:w="1380" w:type="dxa"/>
            <w:vAlign w:val="bottom"/>
            <w:tcBorders>
              <w:bottom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89"/>
              </w:rPr>
              <w:t>2033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Long-term debt — unaffiliated (1), (2)</w:t>
            </w:r>
          </w:p>
        </w:tc>
        <w:tc>
          <w:tcPr>
            <w:tcW w:w="1540" w:type="dxa"/>
            <w:vAlign w:val="bottom"/>
          </w:tcPr>
          <w:p>
            <w:pPr>
              <w:jc w:val="center"/>
              <w:ind w:right="121"/>
              <w:spacing w:after="0"/>
              <w:rPr>
                <w:sz w:val="20"/>
                <w:szCs w:val="20"/>
                <w:color w:val="auto"/>
              </w:rPr>
            </w:pPr>
            <w:r>
              <w:rPr>
                <w:rFonts w:ascii="Arial" w:cs="Arial" w:eastAsia="Arial" w:hAnsi="Arial"/>
                <w:sz w:val="16"/>
                <w:szCs w:val="16"/>
                <w:color w:val="auto"/>
                <w:w w:val="92"/>
              </w:rPr>
              <w:t>7.028%</w:t>
            </w:r>
          </w:p>
        </w:tc>
        <w:tc>
          <w:tcPr>
            <w:tcW w:w="1380" w:type="dxa"/>
            <w:vAlign w:val="bottom"/>
          </w:tcPr>
          <w:p>
            <w:pPr>
              <w:jc w:val="center"/>
              <w:ind w:right="101"/>
              <w:spacing w:after="0"/>
              <w:rPr>
                <w:sz w:val="20"/>
                <w:szCs w:val="20"/>
                <w:color w:val="auto"/>
              </w:rPr>
            </w:pPr>
            <w:r>
              <w:rPr>
                <w:rFonts w:ascii="Arial" w:cs="Arial" w:eastAsia="Arial" w:hAnsi="Arial"/>
                <w:sz w:val="16"/>
                <w:szCs w:val="16"/>
                <w:color w:val="auto"/>
                <w:w w:val="89"/>
              </w:rPr>
              <w:t>2030</w:t>
            </w:r>
          </w:p>
        </w:tc>
        <w:tc>
          <w:tcPr>
            <w:tcW w:w="2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long-term debt</w:t>
            </w:r>
          </w:p>
        </w:tc>
        <w:tc>
          <w:tcPr>
            <w:tcW w:w="1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7"/>
              </w:rPr>
              <w:t>3-month LIBOR</w:t>
            </w:r>
          </w:p>
        </w:tc>
        <w:tc>
          <w:tcPr>
            <w:tcW w:w="13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financing arrangement</w:t>
            </w:r>
          </w:p>
        </w:tc>
        <w:tc>
          <w:tcPr>
            <w:tcW w:w="154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plus 0.70%</w:t>
            </w:r>
          </w:p>
        </w:tc>
        <w:tc>
          <w:tcPr>
            <w:tcW w:w="138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2037</w:t>
            </w:r>
          </w:p>
        </w:tc>
        <w:tc>
          <w:tcPr>
            <w:tcW w:w="26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17" w:lineRule="exact"/>
        <w:rPr>
          <w:sz w:val="20"/>
          <w:szCs w:val="20"/>
          <w:color w:val="auto"/>
        </w:rPr>
      </w:pPr>
    </w:p>
    <w:p>
      <w:pPr>
        <w:jc w:val="both"/>
        <w:ind w:left="340" w:hanging="332"/>
        <w:spacing w:after="0" w:line="26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$16 million and $23 million at June 30, 2017 and December 31, 2016, respectively, of long-term debt relating to CSEs — FVO. See Note 4 of the Notes to the Interim Condensed Combined Financial Statements. For more information regarding long-term debt, see Note 11 of the Notes to the Combined Financial Statements included in the Form 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827" w:right="239" w:bottom="1440" w:gutter="0" w:footer="0" w:header="0"/>
        </w:sectPr>
      </w:pPr>
    </w:p>
    <w:bookmarkStart w:id="124" w:name="page125"/>
    <w:bookmarkEnd w:id="124"/>
    <w:p>
      <w:pPr>
        <w:ind w:left="340" w:right="2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Senior Notes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June 22, 2017, Brighthouse Financial, Inc. issued (i) $1.5 billion aggregate principal amount of 3.700% Senior Notes due 2027 (the “2027 Senior Notes), which mature in June 2027 and bear interest at a fixed rate of 3.70%, payable semi-annually and (ii) $1.5 billion aggregate principal amount of 4.700% Senior Notes due 2047 (the “2047 Senior Notes” and together with the 2027 Senior Notes, the “Senior Notes”), which mature in June 2047 and bear interest at a fixed rate of 4.70%, payable semi-annually.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Surplus Notes — Affiliated</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June 16, 2017, MetLife, Inc. forgave our obligation to pay the principal under the $750 million aggregate principal amount, 8.595% surplus notes issued by Brighthouse Insurance. The forgiveness of the surplus notes was treated as a capital transaction and recorded as an increase to additional paid-in-capital.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Reserve Financing Surplus Notes — Affiliated</w:t>
      </w:r>
    </w:p>
    <w:p>
      <w:pPr>
        <w:spacing w:after="0" w:line="11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On April 28, 2017, surplus note obligations with MetLife, Inc. totaling $1.1 billion, which were due on September 30, 2032 and December 31, 2033 and bore interest at 5.13% and 6.00%, respectively, were satisfied in a noncash exchange for $1.1 billion of loans outstanding from MetLife.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April 28, 2017, MetLife, Inc. and MetLife Reinsurance Company of South Carolina (“MRSC”) terminated the collateral financing arrangement associated with secondary guarantees. As a result, the $2.8 billion collateral financing arrangement liability outstanding was extinguished utilizing $2.8 billion of assets held in trust, which had been repositioned into short-term investments and cash equivalents, with the remaining assets held in trust returned to MetLife, Inc. See “— Affiliated Reinsurance Companies Transactions.”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Committed Facilities and Reinsurance Financing Arrangement</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On April 28, 2017, MetLife, Inc. and MetLife Reinsurance Company of Vermont (“MRV”) terminated the $4.3 billion committed facility, and MetLife, Inc. and MRSC terminated the $3.5 billion committed facility.</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new financing arrangement with a pool of highly rated third party reinsurers and a total capacity of $10.0 billion. This financing arrangement consists of credit-linked notes that each have a term of 20 years. At June 30, 2017, there were no drawdowns on such notes and there was $8.1 billion of funding available under this arrangement.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Term Loan Facilities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Effective with the issuances of the Senior Notes, total commitments under the 2016 Term Loan Facility were reduced by approximately $2.5 billion. On July 21, 2017, concurrently with entering into the 2017 Term Loan Facility, we terminated the 2016 Term Loan Facility, without penalty. We will expense $7 million of capitalized costs related to the termination in the third quarter of 2017.</w:t>
      </w:r>
    </w:p>
    <w:p>
      <w:pPr>
        <w:spacing w:after="0" w:line="73"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On July 21, 2017, Brighthouse Financial, Inc. entered into the 2017 Term Loan Facility. Under the 2017 Term Loan Facility, Brighthouse may borrow up to a maximum of $600 million which may be used for general corporate purposes, including in connection with the Separation, of which $500 million was available prior to the Separation. The 2017 Term Loan Facility contains certain covenants that could restrict the operations and use of funds. On August 2, 2017, Brighthouse Financial, Inc. borrowed $500 million under the 2017 Term Loan Facility in connection with the Separation. On August 14, 2017, Brighthouse Financial, Inc. borrowed the remaining $100 million available under the 2017 Term Loan Facility.</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Certain of the Company’s debt instruments and committed facilities contain financial covenants. Additionally, the 2017 Term Loan Facility and the Revolving Credit Facility contain certain administrative, reporting, legal and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The Company is not aware of any non-compliance with these financial covenants at June 30, 2017.</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827" w:right="239" w:bottom="1440" w:gutter="0" w:footer="0" w:header="0"/>
        </w:sectPr>
      </w:pPr>
    </w:p>
    <w:bookmarkStart w:id="125" w:name="page126"/>
    <w:bookmarkEnd w:id="125"/>
    <w:p>
      <w:pPr>
        <w:jc w:val="both"/>
        <w:ind w:left="16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debt through cash purchases and/or exchanges for other securities, in open market purchases, privately negotiated transactions or otherwise. Any such repurchases or exchanges will be dependent upon several factors, including our liquidity requirements, contractual restrictions, general market conditions, and applicable regulatory, legal and accounting factors. Whether or not to repurchase any debt and the size and timing of any such repurchases will be determined at our discretion.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Uses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the general description of liquidity and capital uses in “ Management’s Discussion and Analysis of Financial Condition and Results of Operations — Liquidity and Capital Resources — The Company — Historical Primary Sources of Liquidity and Capital,” and “Management’s Discussion and Analysis of Financial Condition and Results of Operations — Liquidity and Capital Resources — The Company — Contractual Obligations” included in the Form 10, the following additional information is provided regarding our historical primary uses of liquidity and capital:</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Debt Repayments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 Outstanding Debt and Collateral Financing Arrangement” for information on long-term debt.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160" w:firstLine="324"/>
        <w:spacing w:after="0" w:line="279"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life insurance products, and annuity products, as well as payments for policy surrenders, withdrawals and loans. For annuity or deposit type products, surrender or lapse behavior differs somewhat by segment. In the Annuities segment, lapses and surrenders tend to occur in the normal course of business. During the six months ended June 30, 2017 and 2016, general account surrenders and withdrawals from annuity products were $1.1 billion and $1.2 billion, respectively.</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160" w:firstLine="324"/>
        <w:spacing w:after="0" w:line="279" w:lineRule="auto"/>
        <w:rPr>
          <w:sz w:val="20"/>
          <w:szCs w:val="20"/>
          <w:color w:val="auto"/>
        </w:rPr>
      </w:pPr>
      <w:r>
        <w:rPr>
          <w:rFonts w:ascii="Arial" w:cs="Arial" w:eastAsia="Arial" w:hAnsi="Arial"/>
          <w:sz w:val="17"/>
          <w:szCs w:val="17"/>
          <w:color w:val="auto"/>
        </w:rPr>
        <w:t>We pledge collateral to, and have collateral pledged to us by, counterparties in connection with our derivatives. At June 30, 2017 and December 31, 2016, we were obligated to return cash collateral pledged to the Company of $371 million and $749 million, respectively. At June 30, 2017 and December 31, 2016, we had pledged cash collateral of $22 million and $765 million, respectively. See Note 5 of the Notes to the Interim Condensed Combined Financial Statements for additional information about collateral pledged to us and collateral we pledge.</w:t>
      </w:r>
    </w:p>
    <w:p>
      <w:pPr>
        <w:spacing w:after="0" w:line="63" w:lineRule="exact"/>
        <w:rPr>
          <w:sz w:val="20"/>
          <w:szCs w:val="20"/>
          <w:color w:val="auto"/>
        </w:rPr>
      </w:pPr>
    </w:p>
    <w:p>
      <w:pPr>
        <w:jc w:val="both"/>
        <w:ind w:left="160" w:firstLine="324"/>
        <w:spacing w:after="0" w:line="277" w:lineRule="auto"/>
        <w:rPr>
          <w:sz w:val="20"/>
          <w:szCs w:val="20"/>
          <w:color w:val="auto"/>
        </w:rPr>
      </w:pPr>
      <w:r>
        <w:rPr>
          <w:rFonts w:ascii="Arial" w:cs="Arial" w:eastAsia="Arial" w:hAnsi="Arial"/>
          <w:sz w:val="18"/>
          <w:szCs w:val="18"/>
          <w:color w:val="auto"/>
        </w:rPr>
        <w:t>We pledged collateral from time to time in connection with funding agreements. See Note 4 of the Notes to the Combined Financial Statements included in the Form 10.</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160" w:firstLine="324"/>
        <w:spacing w:after="0" w:line="271" w:lineRule="auto"/>
        <w:rPr>
          <w:sz w:val="20"/>
          <w:szCs w:val="20"/>
          <w:color w:val="auto"/>
        </w:rPr>
      </w:pPr>
      <w:r>
        <w:rPr>
          <w:rFonts w:ascii="Arial" w:cs="Arial" w:eastAsia="Arial" w:hAnsi="Arial"/>
          <w:sz w:val="17"/>
          <w:szCs w:val="17"/>
          <w:color w:val="auto"/>
        </w:rPr>
        <w:t>We participate in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$6.8 billion and $6.6 billion at June 30, 2017 and December 31, 2016, respectively. Of these amounts, $2.2 billion and $2.1 billion at June 30, 2017 and December 31, 2016, respectively, were on open, meaning that the related loaned security could be returned to us on the next business day requiring the immediate return of cash collateral we hold. The estimated fair value of the securities on loan related to the cash collateral on open at both June 30, 2017 and December 31, 2016 was $2.1 billion, all of which were U.S. government and agency securities which, if put to us, could be immediately sold to satisfy the cash requirements to immediately return the cash collateral. See Note 4 of the Notes to the Interim Condensed Combined Financial Statements.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160" w:firstLine="324"/>
        <w:spacing w:after="0" w:line="255" w:lineRule="auto"/>
        <w:rPr>
          <w:sz w:val="20"/>
          <w:szCs w:val="20"/>
          <w:color w:val="auto"/>
        </w:rPr>
      </w:pPr>
      <w:r>
        <w:rPr>
          <w:rFonts w:ascii="Arial" w:cs="Arial" w:eastAsia="Arial" w:hAnsi="Arial"/>
          <w:sz w:val="18"/>
          <w:szCs w:val="18"/>
          <w:color w:val="auto"/>
        </w:rPr>
        <w:t>Putative or certified class action litigation and other litigation, and claims and assessments against us, in addition to those discussed elsewhere herein and those otherwise provided for in the combined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16 of the Notes to the Combined Financial Statements included in the Form 10 and Note 11 of the Notes to the Interim Condensed Combined Financial Statements.</w:t>
      </w:r>
    </w:p>
    <w:p>
      <w:pPr>
        <w:spacing w:after="0" w:line="85" w:lineRule="exact"/>
        <w:rPr>
          <w:sz w:val="20"/>
          <w:szCs w:val="20"/>
          <w:color w:val="auto"/>
        </w:rPr>
      </w:pPr>
    </w:p>
    <w:p>
      <w:pPr>
        <w:jc w:val="both"/>
        <w:ind w:left="160" w:firstLine="324"/>
        <w:spacing w:after="0" w:line="264" w:lineRule="auto"/>
        <w:rPr>
          <w:sz w:val="20"/>
          <w:szCs w:val="20"/>
          <w:color w:val="auto"/>
        </w:rPr>
      </w:pPr>
      <w:r>
        <w:rPr>
          <w:rFonts w:ascii="Arial" w:cs="Arial" w:eastAsia="Arial" w:hAnsi="Arial"/>
          <w:sz w:val="18"/>
          <w:szCs w:val="18"/>
          <w:color w:val="auto"/>
        </w:rPr>
        <w:t>We establish liabilities for litigation and regulatory loss contingencies when it is probable that a loss has been incurred and the amount of the loss can be reasonably estimated. For material matters where a loss is believed to be reasonably possible but not probable, no accrual is made but we disclose the nature of the contingency and an aggregate estimate of the reasonably</w:t>
      </w:r>
    </w:p>
    <w:p>
      <w:pPr>
        <w:spacing w:after="0" w:line="20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420" w:top="827" w:right="239" w:bottom="1440" w:gutter="0" w:footer="0" w:header="0"/>
        </w:sectPr>
      </w:pPr>
    </w:p>
    <w:bookmarkStart w:id="126" w:name="page127"/>
    <w:bookmarkEnd w:id="126"/>
    <w:p>
      <w:pPr>
        <w:jc w:val="both"/>
        <w:ind w:left="340"/>
        <w:spacing w:after="0" w:line="272" w:lineRule="auto"/>
        <w:rPr>
          <w:sz w:val="20"/>
          <w:szCs w:val="20"/>
          <w:color w:val="auto"/>
        </w:rPr>
      </w:pPr>
      <w:r>
        <w:rPr>
          <w:rFonts w:ascii="Arial" w:cs="Arial" w:eastAsia="Arial" w:hAnsi="Arial"/>
          <w:sz w:val="17"/>
          <w:szCs w:val="17"/>
          <w:color w:val="auto"/>
        </w:rPr>
        <w:t>possible range of loss in excess of amounts accrued, when such an estimate can be made. It is not possible to predict or determine the ultimate outcome of all pending investigations and legal proceedings. In some of the matters referred to herein, very large and/or indeterminate amounts, including punitive and treble damages, are sought. Although in light of these considerations, it is possible that an adverse outcome in certain cases could have a material adverse effect upon our financial position, based on information currently known by us, in our opinion, the outcome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adverse effect on our combined net income or cash flows in particular quarterly or annual periods.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Historical Support Agreements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Historically, the affiliated reinsurance companies of Brighthouse were party to various capital support commitments and guarantees with MetLife, Inc. Under these arrangements, MetLife, Inc. has historically agreed to cause each such entity to meet specified capital and surplus levels. MetLife, Inc. also guaranteed the obligations of certain of its subsidiaries including certain Brighthouse entities under committed facilities with third-party banks. See Note 11 of the Notes to the Combined Financial Statements included in the Form 10. In connection with the Separation, these support agreements in whole, or in part as applicable were canceled.</w:t>
      </w:r>
    </w:p>
    <w:p>
      <w:pPr>
        <w:spacing w:after="0" w:line="8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Historically, MetLife, Inc. has had a net worth maintenance agreement with Brighthouse NY. Under this agreement, as amended, MetLife, Inc. has historically agreed to cause Brighthouse NY to meet specified capital and surplus levels and liquidity necessary to enable it to meet its current obligations on a timely basis. In connection with the Separation, this support agreement was terminated.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the Notes to the Interim Condensed Combined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the Notes to the Interim Condensed Combined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82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may contain information that includes or is based upon forward-looking statements within the meaning of the Private Securities Litigation Reform Act of 1995. Forward-looking statements give expectations or forecasts of future events. These statements can be identified by the fact that they do not relate strictly to historical or current facts. They use words such as “anticipate,” “estimate,” “expect,” “project,” “intend,” “plan,” “believe” and other words and terms of similar meaning, or are tied to future periods, in connection with a discussion of future operating or financial performance. In particular, these include statements relating to future actions, statements regarding the Separation including the expected benefits thereof, the recapitalization actions, including expected benefits thereof, prospective services or products, future performance or results of current and anticipated services or products, sales efforts, expenses, the outcome of contingencies such as legal proceedings, trends in operations and financial results.</w:t>
      </w:r>
    </w:p>
    <w:p>
      <w:pPr>
        <w:spacing w:after="0" w:line="1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Any or all forward-looking statements may turn out to be wrong. They can be affected by inaccurate assumptions or by known or unknown risks and uncertainties. Many such factors will be important in determining the actual future results of Brighthouse, its subsidiaries and affiliates.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Risks, uncertainties, and other factors that may cause such differences include the risks, uncertainties and other factors identified in Brighthouse’s subsequent filings with the SEC. Although it is not possible to identify all of these risks and factors, they include, among others:</w:t>
      </w:r>
    </w:p>
    <w:p>
      <w:pPr>
        <w:spacing w:after="0" w:line="57" w:lineRule="exact"/>
        <w:rPr>
          <w:sz w:val="20"/>
          <w:szCs w:val="20"/>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degree of leverage following the Separation due to indebtedness incurred in connection with the Separation;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effectiveness of our proposed exposure management strategy, and the timing of its implementation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additional reserves we will be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impact of regulatory, legislative or tax changes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823" w:right="239" w:bottom="1440" w:gutter="0" w:footer="0" w:header="0"/>
        </w:sectPr>
      </w:pPr>
    </w:p>
    <w:bookmarkStart w:id="128" w:name="page129"/>
    <w:bookmarkEnd w:id="128"/>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the Form 10, including in the section entitled “Risk Factors” and elsewhere in this Quarterly Report on Form 10-Q.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Brighthouse Financial Inc. makes on related subjects in reports to the SEC.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announce financial and other information about Brighthouse to our investors through the Brighthouse Investor Relations web page at www.brighthousefinancial.com, as well as SEC filings, news releases, public conference calls and webcasts. Brighthouse encourages investors to visit the Investor Relations web page from time to time, as information is updated and new information is posted. The information found on our website is not incorporated by reference into this Quarterly Report on Form 10-Q or in any other report or document we file with the SEC, and any references to our website are intended to be inactive textual references only.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regularly analyze our exposure to interest rate, equity market price and foreign currency exchange rate risks. As a result of that analysis, we have determined that the estimated fair values of certain assets and liabilities are materially exposed to changes in interest rates, foreign currency exchange rates and changes in the equity markets. We have exposure to market risk through our insurance operations and investment activities. We use a variety of strategies to manage interest rate, foreign currency exchange rate and equity market risk, including the use of derivatives. A description of our market risk exposures may be found under “Quantitative and Qualitative Disclosures About Market Risk” included in the Form 10. There have been no material changes to our market risk exposures from the market risk exposures previously disclosed in the Form 10.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has evaluated the effectiveness of the design and operation of the Company’s disclosure controls and procedures as defined in Rule 13(a)-15(e) under the Securities Exchange Act of 1934, (“Exchange Act”), at the end of the period covered by this report. Based on that evaluation, the Chief Executive Officer and Chief Financial Officer have concluded that these disclosure controls and procedures are effective.</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were no changes to the Company’s internal control over financial reporting as defined in Exchange Act Rule 13a-15 (f) during the quarter ended June 30, 2017 that have materially affected, or are reasonably likely to materially affect, the Company’s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881"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should be read in conjunction with (i) ”Business — Litigation and Regulatory Matters ” included in the Form 10; and (ii) Note 11 of the Notes to the Interim Condensed Combined Financial Statements in Part I of this report.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Various litigation, claims and assessments against the Company, in addition to those discussed previously and those otherwise provided for in the Company’s combined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should be read in conjunction with, and supplements and amends, the factors that may affect the Company’s business or operations described under the section entitled “Risk Factors” included in the Form 10. Other than as described in this Item 1A, there have been no other material changes to our risk factors from the risk factors previously disclosed in the Form 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updates and replaces in its entirety the risk factor entitled “We will incur significant indebtedness in connection with the Separation that for a period of time will not provide us with liquidity or interest-expense tax deductions and the terms of which could restrict our operations and use of funds that may result in a material adverse effect on our results of operations and financial condition” included in the Form 10.</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incurred significant indebtedness in connection with the separation that for a period of time will not provide us with liquidity or interest-expense tax deductions and the terms of which could restrict our operations and use of funds that may result in a material adverse effect on our results of operations and financial condition</w:t>
      </w:r>
    </w:p>
    <w:p>
      <w:pPr>
        <w:spacing w:after="0" w:line="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borrowed a significant amount of funds in connection with the separation in the form of bank debt or debt securities issued to third-party lenders or investors. These initial borrowings may reduce our capacity to access credit markets for additional liquidity until such time as our equity and credit position are strengthened. We have used a significant portion of the proceeds of these initial borrowings to make a distribution to MetLife as partial consideration for MetLife’s transfer of assets to Brighthouse and, accordingly, we are required to service the initial borrowings with cash at Brighthouse and dividends from our insurance companies and other operating company subsidiaries. These borrowings have allowed us to achieve the following goals at the time of the distribution: (i) adequate liquidity at the Brighthouse holding company level; (ii) a debt-to-capital ratio of approximately 25%; and (iii) $2.0 billion to $3.0 billion of assets in excess of CTE95 to support our variable annuity contracts. The funds needed to service these initial borrowings will not be available to meet any short-term liquidity needs we may have, invest in our business or pay dividends on our common stock. Furthermore, Brighthouse Financial, Inc. was incorporated in 2016 and our life insurance subsidiaries were transferred to it on July 28, 2017. Pursuant to current IRS regulations, Brighthouse Financial, Inc. will not be permitted to join in the filing of a U.S. consolidated federal income tax return with our insurance subsidiaries for a period of five taxable years following the Distribution. As a result, during such time we may not be able to fully deduct the interest payments on certain initial indebtedness we incur at the Brighthouse Financial, Inc. level in connection with the separation or certain other borrowings from the taxable income of our insurance subsidiaries during such five-year period. See “Risk Factors — Risks Relating to the Distribution — We will incur substantial indebtedness in connection with the separation, and the degree to which we will be leveraged following completion of the Distribution and Separation may materially and adversely affect our results of operations and financial condition” included in the Form 10.</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entered into a $2.0 billion unsecured revolving credit facility, dated as of December 2, 2016, that matures on December 2, 2021 (the “Revolving Credit Facility”) and a $600 million senior unsecured term loan facility, dated as of July 21, 2017, that matures on December 2, 2019 (the “2017 Term Loan Facility” and together with the Revolving Credit Facility, the “Brighthouse Credit Facilities”). We have borrowed the full $600 million under the 2017 Term Loan Facility and issued $1.5 billion aggregate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824" w:right="239" w:bottom="1440" w:gutter="0" w:footer="0" w:header="0"/>
        </w:sectPr>
      </w:pPr>
    </w:p>
    <w:bookmarkStart w:id="130" w:name="page131"/>
    <w:bookmarkEnd w:id="130"/>
    <w:p>
      <w:pPr>
        <w:jc w:val="both"/>
        <w:spacing w:after="0" w:line="289" w:lineRule="auto"/>
        <w:rPr>
          <w:sz w:val="20"/>
          <w:szCs w:val="20"/>
          <w:color w:val="auto"/>
        </w:rPr>
      </w:pPr>
      <w:r>
        <w:rPr>
          <w:rFonts w:ascii="Arial" w:cs="Arial" w:eastAsia="Arial" w:hAnsi="Arial"/>
          <w:sz w:val="16"/>
          <w:szCs w:val="16"/>
          <w:color w:val="auto"/>
        </w:rPr>
        <w:t>principal amount of 3.700% Senior Notes due 2027 (the “2027 Senior Notes”) and $1.5 billion aggregate principal amount of 4.700% Senior Notes due 2047 (the “2047 Senior Notes” and together with the 2027 Senior Notes, the “Senior Notes”) on July 22, 2017 to third party investors. The proceeds of the Senior Notes reduced the commitments under our $3.0 billion three-year senior unsecured delayed draw term loan, dated December 2, 2016, by approximately $2.5 billion and the remaining commitments were refinanced by the 2017 Term Loan Facility. The Revolving Credit Facility is intended to provide significant support to our liquidity position at the holding company when alternative sources of credit are limited. The Brighthouse Credit Facilities contain certain administrative, reporting, legal and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See “Recapitalization” and “Management’s Discussion and Analysis of Financial Condition and Results of Operations — Liquidity and Capital Resources — Parent Company — Capital” included in the Form 10.</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 to borrow funds under the Revolving Credit Facility will be subject to the fulfillment of certain conditions, including compliance with all covenants.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the ability to access the when needed and, consequently, could have a material adverse effect on our liquidity,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updates and replaces the “Department of Labor and ERISA considerations” section of the risk factor entitled “Our insurance business is highly regulated, and changes in regulation and in supervisory and enforcement policies may materially impact our capitalization or cash flows, reduce our profitability and limit our growth” included in the Form 10. There have been no material changes to other sections of such risk factor, which include: “NAIC</w:t>
      </w:r>
    </w:p>
    <w:p>
      <w:pPr>
        <w:ind w:right="1680"/>
        <w:spacing w:after="0" w:line="367" w:lineRule="auto"/>
        <w:rPr>
          <w:sz w:val="20"/>
          <w:szCs w:val="20"/>
          <w:color w:val="auto"/>
        </w:rPr>
      </w:pPr>
      <w:r>
        <w:rPr>
          <w:rFonts w:ascii="Arial" w:cs="Arial" w:eastAsia="Arial" w:hAnsi="Arial"/>
          <w:sz w:val="18"/>
          <w:szCs w:val="18"/>
          <w:color w:val="auto"/>
        </w:rPr>
        <w:t xml:space="preserve">— Existing and proposed insurance regulation,” “State insurance guaranty associations,” “Federal - Insurance regulation” and “Other.” </w:t>
      </w:r>
      <w:r>
        <w:rPr>
          <w:rFonts w:ascii="Arial" w:cs="Arial" w:eastAsia="Arial" w:hAnsi="Arial"/>
          <w:sz w:val="18"/>
          <w:szCs w:val="18"/>
          <w:b w:val="1"/>
          <w:bCs w:val="1"/>
          <w:i w:val="1"/>
          <w:iCs w:val="1"/>
          <w:color w:val="auto"/>
        </w:rPr>
        <w:t>Department of Labor and ERISA considerations</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IRAs, as well as individual retirement annuities sold to individuals that are subject to ERISA or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must perform their duties solely in the interests of ERISA plan participants and beneficiaries, and those fiduciaries may not cause a covered plan to engage in certain prohibited transactions. The prohibited transaction rules of ERISA and the Code generally restrict the provision of investment advice to ERISA plans and participants and individual retirement accounts and individual retirement annuities (collectively, “IRAs”) if the investment recommendation results in fees paid to the individual advisor, the firm that employs the advisor or their affiliates that vary according to the investment recommendation chosen. Similarly, without an exemption, fiduciary advisors are prohibited from receiving compensation from third parties in connection with their advice. ERISA also affects certain of our in-force insurance policies and annuity contracts as well as insurance policies and annuity contracts we may sell in the future.</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DOL issued new regulations on April 6, 2016 with an original applicable date for most provisions of April 10, 2017, although on April 4, 2017, the DOL released its final rule delaying the original applicable date for 60 days from April 10, 2017 until June 9, 2017. Further, on June 29, 2017, the DOL issued a request for information regarding its final rule defining who is a “fiduciary” for purposes of ERISA and the Code, and also the DOL’s new and amended exemptions (as described further below) that were published in conjunction with the final rule. The request for information seeks public input that could lead to new exemptions or changes and revisions to the final rule. These rules substantially expand the definition “investment advice” and require that an impartial or “best interests” standard be met in providing such advice, thereby broadening the circumstances under which we or our representatives, in providing investment advice with respect to ERISA plans, plan participants or IRAs, could be deemed a fiduciary under ERISA or the Code.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noted above, the DOL also issued amendments to certain of its prohibited transaction exemptions, and issued Best Interest Contract Exemption (“BIC”), a new exemption that applies more onerous disclosure and contact requirements to, and increase fiduciary requirements and liability exposure in respect of, transactions involving ERISA plans, plan participants and IRAs. The DOL indicated that the BIC contract and point of sale disclosures required under BIC and prohibited transaction exemption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827" w:right="239" w:bottom="1440" w:gutter="0" w:footer="0" w:header="0"/>
        </w:sectPr>
      </w:pPr>
    </w:p>
    <w:bookmarkStart w:id="131" w:name="page132"/>
    <w:bookmarkEnd w:id="131"/>
    <w:p>
      <w:pPr>
        <w:jc w:val="both"/>
        <w:spacing w:after="0" w:line="277" w:lineRule="auto"/>
        <w:rPr>
          <w:sz w:val="20"/>
          <w:szCs w:val="20"/>
          <w:color w:val="auto"/>
        </w:rPr>
      </w:pPr>
      <w:r>
        <w:rPr>
          <w:rFonts w:ascii="Arial" w:cs="Arial" w:eastAsia="Arial" w:hAnsi="Arial"/>
          <w:sz w:val="18"/>
          <w:szCs w:val="18"/>
          <w:color w:val="auto"/>
        </w:rPr>
        <w:t>84-24 would be delayed until January 1, 2018, except for the impartial conduct standards (i.e., compliance with the “best interest” standard, reasonable compensation, and no misleading statements), which are applicable as of June 9, 2017.</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fiduciary rule and providing for a 30-day comment period on all issues raised by its request for information (excepting the 15-day comment period on delaying the January 1, 2018 applicability date discussed above). On August 9, 2017, the DOL filed a public notice in the case of Thrivent Financial v. the DOL alerting the court that the DOL has submitted to the Office of Management and Budget proposed amendments to several prohibited transaction exemptions (including BIC and 84-24) further delaying application of these exemptions as re-written by the DOL, from January 1, 2018 to July 1, 2019. While we continue to analyze the impact of the final regulations on our business,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of administration and the DOL’s June 29, 2017 request for information related to the fiduciary rule and related exemptions leaves uncertainty over whether the regulations will be substantially modified or repealed. Application of the rules on June 9, 2017, in light of the DOL’s request for information and the overall reconsideration of the rules requested by President Trump, could create confusion among our distribution partners, which could negatively impact product sales. We cannot predict what other proposals may be made, what legislation may be introduced or enacted, or what impact any such legislation may have on our business, results of operations and financial condition.</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final rule also provides that, to a limited extent, contracts sold and advice provided prior to the applicable date would not have to be modified to comply with the new investment advice regulations, there is lack of clarity surrounding some of the conditions for qualifying for this limited exception. There can be no assurance that the DOL will agree with our interpretation of these provisions, in which case the DOL and IRS could assess significant penalties against a portion of products sold prior to the applicable date of the new regulations. The assessment of such penalties could also trigger substantial litigation risk. Any such penalties and related litigation could adversely affect our results of operations and financial condition.</w:t>
      </w:r>
    </w:p>
    <w:p>
      <w:pPr>
        <w:spacing w:after="0" w:line="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While we continue to analyze the impact of the final regulation on our business, we believe it could have an adverse effect on sales of annuity products to ERISA qualified plans such as IRAs through our independent distribution partners. A significant portion of our annuity sales are to IRAs. The new regulation deems advisors, including independent distributors, who sell fixed index-linked annuities to IRAs, IRA rollovers or 401(k) plans, fiduciaries and prohibits them from receiving compensation unless they comply with a prohibited transaction exemption. The exemption requires advisors to comply with impartial conduct standards and may require us to exercise additional oversight of the sales process. Compliance with the prohibited transaction exemptions will likely result in increased regulatory burdens on us and our independent distribution partners, changes to our compensation practices and product offerings and increased litigation risk, which could adversely affect our results of operations and financial condition. See “Management’s Discussion and Analysis of Financial Condition and Results of Operations — Industry Trends — Regulatory Developments — Department of Labor and ERISA Considerations.”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9, 2017, the Board of Directors (the “Board”) of Brighthouse Financial, Inc. (the “Company”), on the recommendation of the Compensation Committee of the Board, established compensation arrangements for the Company’s President and Chief Executive Officer, Eric T. Steigerwalt. Mr. Steigerwalt will receive an annual base salary of $900,000 and will be eligible for an annual target bonus equal to 200% of his base salary. In addition, Mr. Steigerwalt’s annual long-term equity incentive award target will be in an amount equal to 500% of his base salary.</w:t>
      </w:r>
    </w:p>
    <w:p>
      <w:pPr>
        <w:spacing w:after="0" w:line="63" w:lineRule="exact"/>
        <w:rPr>
          <w:sz w:val="20"/>
          <w:szCs w:val="20"/>
          <w:color w:val="auto"/>
        </w:rPr>
      </w:pPr>
    </w:p>
    <w:p>
      <w:pPr>
        <w:jc w:val="both"/>
        <w:ind w:firstLine="390"/>
        <w:spacing w:after="0" w:line="264" w:lineRule="auto"/>
        <w:rPr>
          <w:sz w:val="20"/>
          <w:szCs w:val="20"/>
          <w:color w:val="auto"/>
        </w:rPr>
      </w:pPr>
      <w:r>
        <w:rPr>
          <w:rFonts w:ascii="Arial" w:cs="Arial" w:eastAsia="Arial" w:hAnsi="Arial"/>
          <w:sz w:val="18"/>
          <w:szCs w:val="18"/>
          <w:color w:val="auto"/>
        </w:rPr>
        <w:t>Also on August 9, 2017, the Compensation Committee established compensation arrangements for the Company’s Chief Financial Officer, Anant Bhalla. Mr. Bhalla will receive an annual base salary of $600,000 and will be eligible for an annual target bonus equal to 140% of his base salary. In addition, Mr. Bhalla’s annual long-term equity incentive award target will be in an amount equal to 175% of his base salary.</w:t>
      </w:r>
    </w:p>
    <w:p>
      <w:pPr>
        <w:spacing w:after="0" w:line="73"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In addition, on August 9, equity awards were authorized to be made to the Company’s executive officers, independent non-employee members of the Board and certain other employees of the Company, which will be converted into a number of restricted stock units based upon the closing price of the Company’s common stock at a future date (the “Founders’ Grants”). The Board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827" w:right="239" w:bottom="1440" w:gutter="0" w:footer="0" w:header="0"/>
        </w:sectPr>
      </w:pPr>
    </w:p>
    <w:bookmarkStart w:id="132" w:name="page133"/>
    <w:bookmarkEnd w:id="132"/>
    <w:p>
      <w:pPr>
        <w:jc w:val="both"/>
        <w:spacing w:after="0" w:line="293" w:lineRule="auto"/>
        <w:rPr>
          <w:sz w:val="20"/>
          <w:szCs w:val="20"/>
          <w:color w:val="auto"/>
        </w:rPr>
      </w:pPr>
      <w:r>
        <w:rPr>
          <w:rFonts w:ascii="Arial" w:cs="Arial" w:eastAsia="Arial" w:hAnsi="Arial"/>
          <w:sz w:val="16"/>
          <w:szCs w:val="16"/>
          <w:color w:val="auto"/>
        </w:rPr>
        <w:t>authorized a Founders’ Grant to Mr. Steigerwalt with a value equal to $9,000,000 and the Compensation Committee authorized a Founders’ Grant to Mr. Bhalla with a value equal to $2,100,000. The Compensation Committee authorized Founders’ Grants to certain other executive officers of the Company with a value equal to two times the annual target value of the executive’s long-term equity incentive awards (expressed as a percentage of base salary) as approved by the Compensation Committee on August 9. The Board authorized a Founders’ Grant to each of the six independent non-employee members of the Board with a value equal to the annual equity retainer approved by the Board, or $120,000. Certain other employees of the Company will receive Founders’ Grants equal to the annual target value of the long-term equity incentive awards (expressed as a percentage of base salary) established for such employees.</w:t>
      </w:r>
    </w:p>
    <w:p>
      <w:pPr>
        <w:spacing w:after="0" w:line="57" w:lineRule="exact"/>
        <w:rPr>
          <w:sz w:val="20"/>
          <w:szCs w:val="20"/>
          <w:color w:val="auto"/>
        </w:rPr>
      </w:pPr>
    </w:p>
    <w:p>
      <w:pPr>
        <w:jc w:val="both"/>
        <w:ind w:firstLine="388"/>
        <w:spacing w:after="0" w:line="308" w:lineRule="auto"/>
        <w:rPr>
          <w:sz w:val="20"/>
          <w:szCs w:val="20"/>
          <w:color w:val="auto"/>
        </w:rPr>
      </w:pPr>
      <w:r>
        <w:rPr>
          <w:rFonts w:ascii="Arial" w:cs="Arial" w:eastAsia="Arial" w:hAnsi="Arial"/>
          <w:sz w:val="17"/>
          <w:szCs w:val="17"/>
          <w:color w:val="auto"/>
        </w:rPr>
        <w:t>All long-term equity awards, including the Founders’ Grants, will be made pursuant to an equity compensation plan that will be presented to the Company’s stockholders for approval at the Company’s first annual meeting of stockholders, and all such awards will be contingent upon such approval.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827"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(Note Regarding Reliance on Statements in Our Contracts: </w:t>
      </w:r>
      <w:r>
        <w:rPr>
          <w:rFonts w:ascii="Arial" w:cs="Arial" w:eastAsia="Arial" w:hAnsi="Arial"/>
          <w:sz w:val="16"/>
          <w:szCs w:val="16"/>
          <w:i w:val="1"/>
          <w:iCs w:val="1"/>
          <w:color w:val="auto"/>
        </w:rPr>
        <w:t>In reviewing the agreements included as exhibits to this Quarterly Report on Form 10-Q,</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at the date of the applicable agreement or such other date or dates as may be specified in the agreement and are subject to more recent developments. Accordingly, these representations and warranties may not describe the actual state of affairs at the date they were made or at any other time. Additional information about Brighthouse Financial, Inc. and its subsidiaries and affiliates may be found elsewhere in this Quarterly Report on Form 10-Q and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823"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19"/>
                <w:szCs w:val="19"/>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Master Separation Agreement dated as of August 4, 2017 by and between MetLife, Inc. and Brighthouse Financial, Inc. is incorporated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by reference to our Current Report on Form 8-K filed on August 9, 2017 (File No. 001-37905).</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Brighthouse Financial, Inc.</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Bylaws of Brighthouse Financial, Inc.</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Transition Services Agreement, dated as of January 1, 2017, between MetLife Services and Solutions, LLC and Brighthouse Services,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LLC and for purposes of Article VII only, MetLife, Inc. and Brighthouse Financial, Inc. is incorporated by reference to our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Registration Rights Agreement, dated as of August 4, 2017, between MetLife, Inc. and Brighthouse Financial, Inc. is incorporated by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Investment Management Agreement, dated as of January 1, 2017, between MetLife Investment Advisors, LLC and Brighthouse Life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Insurance Company (formerly known as MetLife Insurance Company USA) is incorporated by reference to our Current Report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Intellectual Property License Agreement, dated as of August 4, 2017, by and among Metropolitan Life Insurance Company, on behalf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of itself and its Affiliates other than the Brighthouse Company Group, and Brighthouse Services LLC  is incorporated by reference to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Tax Receivables Agreement, dated as of July 27, 2017, between MetLife, Inc. and Brighthouse Financial, Inc. is incorporated by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Tax Separation Agreement, dated as of July 27, 2017, by and among MetLife, Inc. and its Affiliates and Brighthouse Financial, Inc.</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and its Affiliates is incorporated by 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Term Loan Agreement, dated as of July 21, 2017, among Brighthouse Financial, Inc., Bank of America, N.A., as administrative agent,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and the other lenders party thereto is incorporated by reference to our Current Report on Form 8-K filed on July 21, 2017 (File No.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001-37905).</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Brighthouse Services, LLC Auxiliary Savings Plan.</w:t>
            </w:r>
          </w:p>
        </w:tc>
        <w:tc>
          <w:tcPr>
            <w:tcW w:w="0" w:type="dxa"/>
            <w:vAlign w:val="bottom"/>
          </w:tcPr>
          <w:p>
            <w:pPr>
              <w:spacing w:after="0"/>
              <w:rPr>
                <w:sz w:val="1"/>
                <w:szCs w:val="1"/>
                <w:color w:val="auto"/>
              </w:rPr>
            </w:pPr>
          </w:p>
        </w:tc>
      </w:tr>
      <w:tr>
        <w:trPr>
          <w:trHeight w:val="48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Amendment Number One to the Brighthouse Services, LLC Auxiliary Savings Plan.</w:t>
            </w:r>
          </w:p>
        </w:tc>
        <w:tc>
          <w:tcPr>
            <w:tcW w:w="0" w:type="dxa"/>
            <w:vAlign w:val="bottom"/>
          </w:tcPr>
          <w:p>
            <w:pPr>
              <w:spacing w:after="0"/>
              <w:rPr>
                <w:sz w:val="1"/>
                <w:szCs w:val="1"/>
                <w:color w:val="auto"/>
              </w:rPr>
            </w:pPr>
          </w:p>
        </w:tc>
      </w:tr>
      <w:tr>
        <w:trPr>
          <w:trHeight w:val="48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Brighthouse Services, LLC Annual Variable Incentive Plan.</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023" w:right="239" w:bottom="1440" w:gutter="0" w:footer="0" w:header="0"/>
        </w:sectPr>
      </w:pPr>
    </w:p>
    <w:bookmarkStart w:id="135" w:name="page136"/>
    <w:bookmarkEnd w:id="135"/>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60" w:type="dxa"/>
            <w:vAlign w:val="bottom"/>
            <w:gridSpan w:val="2"/>
          </w:tcPr>
          <w:p>
            <w:pPr>
              <w:jc w:val="right"/>
              <w:ind w:right="910"/>
              <w:spacing w:after="0"/>
              <w:rPr>
                <w:sz w:val="20"/>
                <w:szCs w:val="20"/>
                <w:color w:val="auto"/>
              </w:rPr>
            </w:pPr>
            <w:r>
              <w:rPr>
                <w:rFonts w:ascii="Arial" w:cs="Arial" w:eastAsia="Arial" w:hAnsi="Arial"/>
                <w:sz w:val="18"/>
                <w:szCs w:val="18"/>
                <w:color w:val="auto"/>
              </w:rPr>
              <w:t>By:</w:t>
            </w:r>
          </w:p>
        </w:tc>
        <w:tc>
          <w:tcPr>
            <w:tcW w:w="5420" w:type="dxa"/>
            <w:vAlign w:val="bottom"/>
          </w:tcPr>
          <w:p>
            <w:pPr>
              <w:ind w:left="160"/>
              <w:spacing w:after="0"/>
              <w:rPr>
                <w:sz w:val="20"/>
                <w:szCs w:val="20"/>
                <w:color w:val="auto"/>
              </w:rPr>
            </w:pPr>
            <w:r>
              <w:rPr>
                <w:rFonts w:ascii="Arial" w:cs="Arial" w:eastAsia="Arial" w:hAnsi="Arial"/>
                <w:sz w:val="18"/>
                <w:szCs w:val="18"/>
                <w:color w:val="auto"/>
              </w:rPr>
              <w:t>/s/ Anant Bhalla</w:t>
            </w:r>
          </w:p>
        </w:tc>
      </w:tr>
      <w:tr>
        <w:trPr>
          <w:trHeight w:val="243"/>
        </w:trPr>
        <w:tc>
          <w:tcPr>
            <w:tcW w:w="49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420" w:type="dxa"/>
            <w:vAlign w:val="bottom"/>
            <w:tcBorders>
              <w:bottom w:val="single" w:sz="8" w:color="auto"/>
            </w:tcBorders>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5420" w:type="dxa"/>
            <w:vAlign w:val="bottom"/>
          </w:tcPr>
          <w:p>
            <w:pPr>
              <w:ind w:left="160"/>
              <w:spacing w:after="0"/>
              <w:rPr>
                <w:sz w:val="20"/>
                <w:szCs w:val="20"/>
                <w:color w:val="auto"/>
              </w:rPr>
            </w:pPr>
            <w:r>
              <w:rPr>
                <w:rFonts w:ascii="Arial" w:cs="Arial" w:eastAsia="Arial" w:hAnsi="Arial"/>
                <w:sz w:val="18"/>
                <w:szCs w:val="18"/>
                <w:color w:val="auto"/>
              </w:rPr>
              <w:t>Anant Bhalla</w:t>
            </w:r>
          </w:p>
        </w:tc>
      </w:tr>
      <w:tr>
        <w:trPr>
          <w:trHeight w:val="486"/>
        </w:trPr>
        <w:tc>
          <w:tcPr>
            <w:tcW w:w="49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542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(Authorized Signatory and Principal Financial Officer)</w:t>
            </w:r>
          </w:p>
        </w:tc>
      </w:tr>
      <w:tr>
        <w:trPr>
          <w:trHeight w:val="459"/>
        </w:trPr>
        <w:tc>
          <w:tcPr>
            <w:tcW w:w="5660" w:type="dxa"/>
            <w:vAlign w:val="bottom"/>
            <w:gridSpan w:val="2"/>
          </w:tcPr>
          <w:p>
            <w:pPr>
              <w:jc w:val="right"/>
              <w:ind w:right="3950"/>
              <w:spacing w:after="0"/>
              <w:rPr>
                <w:sz w:val="20"/>
                <w:szCs w:val="20"/>
                <w:color w:val="auto"/>
              </w:rPr>
            </w:pPr>
            <w:r>
              <w:rPr>
                <w:rFonts w:ascii="Arial" w:cs="Arial" w:eastAsia="Arial" w:hAnsi="Arial"/>
                <w:sz w:val="18"/>
                <w:szCs w:val="18"/>
                <w:color w:val="auto"/>
                <w:w w:val="89"/>
              </w:rPr>
              <w:t>Date: August 15, 2017</w:t>
            </w:r>
          </w:p>
        </w:tc>
        <w:tc>
          <w:tcPr>
            <w:tcW w:w="5420" w:type="dxa"/>
            <w:vAlign w:val="bottom"/>
          </w:tcPr>
          <w:p>
            <w:pPr>
              <w:spacing w:after="0"/>
              <w:rPr>
                <w:sz w:val="24"/>
                <w:szCs w:val="24"/>
                <w:color w:val="auto"/>
              </w:rPr>
            </w:pPr>
          </w:p>
        </w:tc>
      </w:tr>
      <w:tr>
        <w:trPr>
          <w:trHeight w:val="459"/>
        </w:trPr>
        <w:tc>
          <w:tcPr>
            <w:tcW w:w="566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c>
          <w:tcPr>
            <w:tcW w:w="5420" w:type="dxa"/>
            <w:vAlign w:val="bottom"/>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6" w:name="page137"/>
    <w:bookmarkEnd w:id="136"/>
    <w:p>
      <w:pPr>
        <w:jc w:val="center"/>
        <w:ind w:left="340"/>
        <w:spacing w:after="0"/>
        <w:rPr>
          <w:sz w:val="20"/>
          <w:szCs w:val="20"/>
          <w:color w:val="auto"/>
        </w:rPr>
      </w:pPr>
      <w:r>
        <w:rPr>
          <w:rFonts w:ascii="Arial" w:cs="Arial" w:eastAsia="Arial" w:hAnsi="Arial"/>
          <w:sz w:val="18"/>
          <w:szCs w:val="18"/>
          <w:b w:val="1"/>
          <w:bCs w:val="1"/>
          <w:color w:val="auto"/>
        </w:rPr>
        <w:t>Exhibit Index</w:t>
      </w:r>
    </w:p>
    <w:p>
      <w:pPr>
        <w:spacing w:after="0" w:line="1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(Note Regarding Reliance on Statements in Our Contracts: </w:t>
      </w:r>
      <w:r>
        <w:rPr>
          <w:rFonts w:ascii="Arial" w:cs="Arial" w:eastAsia="Arial" w:hAnsi="Arial"/>
          <w:sz w:val="16"/>
          <w:szCs w:val="16"/>
          <w:i w:val="1"/>
          <w:iCs w:val="1"/>
          <w:color w:val="auto"/>
        </w:rPr>
        <w:t>In reviewing the agreements included as exhibits to this Quarterly Report on Form 10-Q,</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at the date of the applicable agreement or such other date or dates as may be specified in the agreement and are subject to more recent developments. Accordingly, these representations and warranties may not describe the actual state of affairs at the date they were made or at any other time. Additional information about Brighthouse Financial, Inc. and its subsidiaries and affiliates may be found elsewhere in this Quarterly Report on Form 10-Q and Brighthouse Financial, Inc.’s other public filings, which are available without charge through the U.S. Securities and Exchange Commission website at www.sec.gov.)</w:t>
      </w:r>
    </w:p>
    <w:p>
      <w:pPr>
        <w:spacing w:after="0" w:line="36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878"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19"/>
                <w:szCs w:val="19"/>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Master Separation Agreement dated as of August 4, 2017 by and between MetLife, Inc. and Brighthouse Financial, Inc. is incorporated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by reference to our Current Report on Form 8-K filed on August 9, 2017 (File No. 001-37905).</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Brighthouse Financial, Inc.</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Bylaws of Brighthouse Financial, Inc.</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Transition Services Agreement, dated as of January 1, 2017, between MetLife Services and Solutions, LLC and Brighthouse Services,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LLC and for purposes of Article VII only, MetLife, Inc. and Brighthouse Financial, Inc. is incorporated by reference to our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Registration Rights Agreement, dated as of August 4, 2017, between MetLife, Inc. and Brighthouse Financial, Inc. is incorporated by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Investment Management Agreement, dated as of January 1, 2017, between MetLife Investment Advisors, LLC and Brighthouse Life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Insurance Company (formerly known as MetLife Insurance Company USA) is incorporated by reference to our Current Report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Intellectual Property License Agreement, dated as of August 4, 2017, by and among Metropolitan Life Insurance Company, on behalf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of itself and its Affiliates other than the Brighthouse Company Group, and Brighthouse Services LLC  is incorporated by reference to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Tax Receivables Agreement, dated as of July 27, 2017, between MetLife, Inc. and Brighthouse Financial, Inc. is incorporated by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Tax Separation Agreement, dated as of July 27, 2017, by and among MetLife, Inc. and its Affiliates and Brighthouse Financial, Inc.</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and its Affiliates is incorporated by reference to our Current Report on Form 8-K filed on August 9, 2017 (File No. 001-37905).</w:t>
            </w:r>
          </w:p>
        </w:tc>
        <w:tc>
          <w:tcPr>
            <w:tcW w:w="0" w:type="dxa"/>
            <w:vAlign w:val="bottom"/>
          </w:tcPr>
          <w:p>
            <w:pPr>
              <w:spacing w:after="0"/>
              <w:rPr>
                <w:sz w:val="1"/>
                <w:szCs w:val="1"/>
                <w:color w:val="auto"/>
              </w:rPr>
            </w:pP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Term Loan Agreement, dated as of July 21, 2017, among Brighthouse Financial, Inc., Bank of America, N.A., as administrative agent,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and the other lenders party thereto is incorporated by reference to our Current Report on Form 8-K filed on July 21, 2017 (File No.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001-37905).</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Brighthouse Services, LLC Auxiliary Savings Plan.</w:t>
            </w:r>
          </w:p>
        </w:tc>
        <w:tc>
          <w:tcPr>
            <w:tcW w:w="0" w:type="dxa"/>
            <w:vAlign w:val="bottom"/>
          </w:tcPr>
          <w:p>
            <w:pPr>
              <w:spacing w:after="0"/>
              <w:rPr>
                <w:sz w:val="1"/>
                <w:szCs w:val="1"/>
                <w:color w:val="auto"/>
              </w:rPr>
            </w:pPr>
          </w:p>
        </w:tc>
      </w:tr>
      <w:tr>
        <w:trPr>
          <w:trHeight w:val="48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Amendment Number One to the Brighthouse Services, LLC Auxiliary Savings Plan.</w:t>
            </w:r>
          </w:p>
        </w:tc>
        <w:tc>
          <w:tcPr>
            <w:tcW w:w="0" w:type="dxa"/>
            <w:vAlign w:val="bottom"/>
          </w:tcPr>
          <w:p>
            <w:pPr>
              <w:spacing w:after="0"/>
              <w:rPr>
                <w:sz w:val="1"/>
                <w:szCs w:val="1"/>
                <w:color w:val="auto"/>
              </w:rPr>
            </w:pPr>
          </w:p>
        </w:tc>
      </w:tr>
      <w:tr>
        <w:trPr>
          <w:trHeight w:val="48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Amended and Restated Brighthouse Services, LLC Annual Variable Incentive Plan.</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 Filed herewith</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E-2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6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BRIGHTHOUSE FINANCIAL, INC., a corporation organized and existing under the laws of the State of Delaware, hereby certifies as follows:</w:t>
      </w:r>
    </w:p>
    <w:p>
      <w:pPr>
        <w:spacing w:after="0" w:line="237" w:lineRule="exact"/>
        <w:rPr>
          <w:sz w:val="20"/>
          <w:szCs w:val="20"/>
          <w:color w:val="auto"/>
        </w:rPr>
      </w:pPr>
    </w:p>
    <w:p>
      <w:pPr>
        <w:ind w:left="760" w:hanging="320"/>
        <w:spacing w:after="0"/>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present name of the corporation is Brighthouse Financial,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original Certificate of Incorporation of the Corporation was filed with the Secretary of State of the State of Delaware on August 1, 2016.</w:t>
      </w:r>
    </w:p>
    <w:p>
      <w:pPr>
        <w:spacing w:after="0" w:line="236" w:lineRule="exact"/>
        <w:rPr>
          <w:rFonts w:ascii="Arial" w:cs="Arial" w:eastAsia="Arial" w:hAnsi="Arial"/>
          <w:sz w:val="17"/>
          <w:szCs w:val="17"/>
          <w:color w:val="auto"/>
        </w:rPr>
      </w:pPr>
    </w:p>
    <w:p>
      <w:pPr>
        <w:jc w:val="both"/>
        <w:ind w:firstLine="440"/>
        <w:spacing w:after="0" w:line="264" w:lineRule="auto"/>
        <w:tabs>
          <w:tab w:leader="none" w:pos="7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Corporation’s Certificate of Incorporation is hereby further amended and restated pursuant to Sections 242 and 245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so as to read in its entirety in the form attached hereto as Exhibit A and incorporated herein by this reference.</w:t>
      </w:r>
    </w:p>
    <w:p>
      <w:pPr>
        <w:spacing w:after="0" w:line="181" w:lineRule="exact"/>
        <w:rPr>
          <w:rFonts w:ascii="Arial" w:cs="Arial" w:eastAsia="Arial" w:hAnsi="Arial"/>
          <w:sz w:val="18"/>
          <w:szCs w:val="18"/>
          <w:color w:val="auto"/>
        </w:rPr>
      </w:pPr>
    </w:p>
    <w:p>
      <w:pPr>
        <w:ind w:firstLine="440"/>
        <w:spacing w:after="0" w:line="277" w:lineRule="auto"/>
        <w:tabs>
          <w:tab w:leader="none" w:pos="76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amendment and restatement of the Certificate of Incorporation of the Corporation has been duly adopted in accordance with the provisions of Sections 228, 242 and 245 of the DGCL.</w:t>
      </w:r>
    </w:p>
    <w:p>
      <w:pPr>
        <w:spacing w:after="0" w:line="170" w:lineRule="exact"/>
        <w:rPr>
          <w:rFonts w:ascii="Arial" w:cs="Arial" w:eastAsia="Arial" w:hAnsi="Arial"/>
          <w:sz w:val="18"/>
          <w:szCs w:val="18"/>
          <w:color w:val="auto"/>
        </w:rPr>
      </w:pPr>
    </w:p>
    <w:p>
      <w:pPr>
        <w:ind w:firstLine="440"/>
        <w:spacing w:after="0" w:line="277" w:lineRule="auto"/>
        <w:tabs>
          <w:tab w:leader="none" w:pos="8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shall become effective as of 12:01 a.m., Eastern time, on August 4, 2017 pursuant to Sections 242 and 245 of the DGCL.</w:t>
      </w:r>
    </w:p>
    <w:p>
      <w:pPr>
        <w:spacing w:after="0" w:line="17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[Signature page on next page]</w:t>
      </w:r>
    </w:p>
    <w:p>
      <w:pPr>
        <w:sectPr>
          <w:pgSz w:w="11900" w:h="16838" w:orient="portrait"/>
          <w:cols w:equalWidth="0" w:num="1">
            <w:col w:w="11420"/>
          </w:cols>
          <w:pgMar w:left="240" w:top="580" w:right="239" w:bottom="1440" w:gutter="0" w:footer="0" w:header="0"/>
        </w:sectPr>
      </w:pPr>
    </w:p>
    <w:bookmarkStart w:id="139" w:name="page140"/>
    <w:bookmarkEnd w:id="139"/>
    <w:p>
      <w:pPr>
        <w:ind w:firstLine="432"/>
        <w:spacing w:after="0" w:line="277" w:lineRule="auto"/>
        <w:rPr>
          <w:sz w:val="20"/>
          <w:szCs w:val="20"/>
          <w:color w:val="auto"/>
        </w:rPr>
      </w:pPr>
      <w:r>
        <w:rPr>
          <w:rFonts w:ascii="Arial" w:cs="Arial" w:eastAsia="Arial" w:hAnsi="Arial"/>
          <w:sz w:val="18"/>
          <w:szCs w:val="18"/>
          <w:color w:val="auto"/>
        </w:rPr>
        <w:t>IN WITNESS WHEREOF, the undersigned officer of the Corporation has signed this amended and restated Certificate of Incorporation on this 3rd day of August,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Christine M. DeBiase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Christine M. DeBiase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Executive Vice President, General Counsel and</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00"/>
          </w:cols>
          <w:pgMar w:left="240" w:top="800" w:right="2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CORPORATION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is Brighthouse Financial,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REGISTERED OFFICE; REGISTERED AGENT</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address of the Corporation’s registered office in the State of Delaware is c/o The Corporation Trust Company, Corporation Trust Center, 1209 Orange Street in the City of Wilmington, County of New Castle, 19801, and the name of its registered agent in the State of Delaware at such address is The Corporation Trust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“DGCL”).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SECTION 1. CAPITAL STOCK. (a) The total number of shares of capital stock which the Corporation shall have authority to issue is one billion one hundred million (1,100,000,000), which shall be divided into two classes, consisting of one billion (1,000,000,000) shares of Common Stock, par value of $0.01 per share (the “Common Stock”), and one hundred million (100,000,000) shares of Preferred Stock, par value of $0.01 per share (the “Preferred Stock”).</w:t>
      </w:r>
    </w:p>
    <w:p>
      <w:pPr>
        <w:spacing w:after="0" w:line="187" w:lineRule="exact"/>
        <w:rPr>
          <w:sz w:val="20"/>
          <w:szCs w:val="20"/>
          <w:color w:val="auto"/>
        </w:rPr>
      </w:pPr>
    </w:p>
    <w:p>
      <w:pPr>
        <w:jc w:val="both"/>
        <w:ind w:firstLine="656"/>
        <w:spacing w:after="0" w:line="255" w:lineRule="auto"/>
        <w:tabs>
          <w:tab w:leader="none" w:pos="9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the rights of the holders of any outstanding series of Preferred Stock provided by this Amended and Restated Certificate of Incorporation (as the same may be amended from time to time, this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the number of authorized shares of any of the Common Stock or the Preferred Stock may be increased or decreased (but not below the number of shares thereof then outstanding) by the affirmative vote of the holders of a majority in voting power of the outstanding shares of stock of the Corporation entitled to vote thereon irrespective of the provisions of Section 242(b)(2) of the DGCL, and no vote of the holders of any of the Common Stock or Preferred Stock voting separately as a class shall be required therefor.</w:t>
      </w:r>
    </w:p>
    <w:p>
      <w:pPr>
        <w:spacing w:after="0" w:line="193" w:lineRule="exact"/>
        <w:rPr>
          <w:rFonts w:ascii="Arial" w:cs="Arial" w:eastAsia="Arial" w:hAnsi="Arial"/>
          <w:sz w:val="18"/>
          <w:szCs w:val="18"/>
          <w:color w:val="auto"/>
        </w:rPr>
      </w:pPr>
    </w:p>
    <w:p>
      <w:pPr>
        <w:ind w:left="900" w:hanging="244"/>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Provisions Relating to the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980"/>
        <w:spacing w:after="0" w:line="264" w:lineRule="auto"/>
        <w:tabs>
          <w:tab w:leader="none" w:pos="14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otherwise provided in this Certificate of Incorporation or by the DGCL, each holder of shares of Common Stock shall be entitled, with respect to each share of Common Stock held by such holder, to one vote in person or by proxy on all matters submitted to a vote of the holders of Common Stock, whether voting separately as a class or otherwise.</w:t>
      </w:r>
    </w:p>
    <w:p>
      <w:pPr>
        <w:spacing w:after="0" w:line="181" w:lineRule="exact"/>
        <w:rPr>
          <w:rFonts w:ascii="Arial" w:cs="Arial" w:eastAsia="Arial" w:hAnsi="Arial"/>
          <w:sz w:val="18"/>
          <w:szCs w:val="18"/>
          <w:color w:val="auto"/>
        </w:rPr>
      </w:pPr>
    </w:p>
    <w:p>
      <w:pPr>
        <w:jc w:val="both"/>
        <w:ind w:firstLine="980"/>
        <w:spacing w:after="0" w:line="259" w:lineRule="auto"/>
        <w:tabs>
          <w:tab w:leader="none" w:pos="137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Subject to the preferences and rights, if any, applicable to shares of Preferred Stock or any series thereof, the holders of shares of Common Stock shall be entitled to receive such dividends and other distributions in cash, property, stock or otherwise, as may be declared thereon by the Board of Directors at any time and from time to time out of assets or funds of the Corporation legally available therefor, and shall share equally on a per share basis in such dividends and distributions.</w:t>
      </w:r>
    </w:p>
    <w:p>
      <w:pPr>
        <w:sectPr>
          <w:pgSz w:w="11900" w:h="16838" w:orient="portrait"/>
          <w:cols w:equalWidth="0" w:num="1">
            <w:col w:w="11420"/>
          </w:cols>
          <w:pgMar w:left="240" w:top="584" w:right="239" w:bottom="1440" w:gutter="0" w:footer="0" w:header="0"/>
        </w:sectPr>
      </w:pPr>
    </w:p>
    <w:bookmarkStart w:id="141" w:name="page142"/>
    <w:bookmarkEnd w:id="141"/>
    <w:p>
      <w:pPr>
        <w:jc w:val="both"/>
        <w:ind w:firstLine="980"/>
        <w:spacing w:after="0" w:line="259" w:lineRule="auto"/>
        <w:tabs>
          <w:tab w:leader="none" w:pos="14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preferences and rights, if any, applicable to shares of Preferred Stock or any series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86" w:lineRule="exact"/>
        <w:rPr>
          <w:rFonts w:ascii="Arial" w:cs="Arial" w:eastAsia="Arial" w:hAnsi="Arial"/>
          <w:sz w:val="18"/>
          <w:szCs w:val="18"/>
          <w:color w:val="auto"/>
        </w:rPr>
      </w:pPr>
    </w:p>
    <w:p>
      <w:pPr>
        <w:ind w:left="1240" w:hanging="260"/>
        <w:spacing w:after="0"/>
        <w:tabs>
          <w:tab w:leader="none" w:pos="12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holders of shares of Common Stock shall not have cumulative voting rights.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Provisions Relating to the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93" w:lineRule="auto"/>
        <w:tabs>
          <w:tab w:leader="none" w:pos="1454" w:val="left"/>
        </w:tabs>
        <w:numPr>
          <w:ilvl w:val="1"/>
          <w:numId w:val="90"/>
        </w:numPr>
        <w:rPr>
          <w:rFonts w:ascii="Arial" w:cs="Arial" w:eastAsia="Arial" w:hAnsi="Arial"/>
          <w:sz w:val="16"/>
          <w:szCs w:val="16"/>
          <w:color w:val="auto"/>
        </w:rPr>
      </w:pPr>
      <w:r>
        <w:rPr>
          <w:rFonts w:ascii="Arial" w:cs="Arial" w:eastAsia="Arial" w:hAnsi="Arial"/>
          <w:sz w:val="16"/>
          <w:szCs w:val="16"/>
          <w:color w:val="auto"/>
        </w:rPr>
        <w:t>Shares of Preferred Stock may be issued at any time and from time to time in one or more series. The Board of Directors is hereby authorized to provide for the issuance of shares of Preferred Stock in one or more series and, by filing a certificate of designation pursuant to the applicable provisions of the DGCL (hereinafter referred to as a “Preferred Stock Certificate of Designation”), to establish from time to time the number of shares to be included in each such series, and to fix the designation, powers (including the voting powers, whether full, limited or no voting powers), preferences and the relative participating, optional or other special rights, and the qualifications, limitations and restrictions thereof, of each such series, including, without limitation, dividend rights, dividend rates, conversion rights, exchange rights, voting rights, terms of redemption and liquidation preferences.</w:t>
      </w:r>
    </w:p>
    <w:p>
      <w:pPr>
        <w:spacing w:after="0" w:line="164" w:lineRule="exact"/>
        <w:rPr>
          <w:rFonts w:ascii="Arial" w:cs="Arial" w:eastAsia="Arial" w:hAnsi="Arial"/>
          <w:sz w:val="16"/>
          <w:szCs w:val="16"/>
          <w:color w:val="auto"/>
        </w:rPr>
      </w:pPr>
    </w:p>
    <w:p>
      <w:pPr>
        <w:ind w:left="1360" w:hanging="380"/>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Common Stock shall be subject to the express terms of the Preferred Stock and any series thereof.</w:t>
      </w:r>
    </w:p>
    <w:p>
      <w:pPr>
        <w:spacing w:after="0" w:line="225" w:lineRule="exact"/>
        <w:rPr>
          <w:rFonts w:ascii="Arial" w:cs="Arial" w:eastAsia="Arial" w:hAnsi="Arial"/>
          <w:sz w:val="18"/>
          <w:szCs w:val="18"/>
          <w:color w:val="auto"/>
        </w:rPr>
      </w:pPr>
    </w:p>
    <w:p>
      <w:pPr>
        <w:jc w:val="both"/>
        <w:ind w:firstLine="980"/>
        <w:spacing w:after="0" w:line="257" w:lineRule="auto"/>
        <w:tabs>
          <w:tab w:leader="none" w:pos="1374"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Except as otherwise required by law, holders of Common Stock, as such, shall not be entitled to vote on any amendment to this Certificate of Incorporation that alters or changes the powers, preferences, rights or other terms of one or more outstanding series of Preferred Stock if the holders of such affected series are entitled, either separately or together with the holders of one or more other series of Preferred Stock, to vote thereon pursuant to this Certificate of Incorporation or a Preferred Stock Certificate of Designation or pursuant to the DGCL as currently in effect or as the same may hereafter be amended.</w:t>
      </w:r>
    </w:p>
    <w:p>
      <w:pPr>
        <w:spacing w:after="0" w:line="188" w:lineRule="exact"/>
        <w:rPr>
          <w:rFonts w:ascii="Arial" w:cs="Arial" w:eastAsia="Arial" w:hAnsi="Arial"/>
          <w:sz w:val="18"/>
          <w:szCs w:val="18"/>
          <w:color w:val="auto"/>
        </w:rPr>
      </w:pPr>
    </w:p>
    <w:p>
      <w:pPr>
        <w:jc w:val="both"/>
        <w:ind w:firstLine="656"/>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hereof and the bylaws of the Corporation (as the same may be amended and/or restated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the term “Certificate of Incorporation” includes the Certificate of Incorporation as it may be amended by any Preferred Stock Certificate of Designation from time to time.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SECTION 2. VOTING IN ELECTION OF DIRECTORS. Except as may be required by law or as provided in this Certificate of Incorporation,</w:t>
      </w:r>
    </w:p>
    <w:p>
      <w:pPr>
        <w:spacing w:after="0" w:line="35" w:lineRule="exact"/>
        <w:rPr>
          <w:sz w:val="20"/>
          <w:szCs w:val="20"/>
          <w:color w:val="auto"/>
        </w:rPr>
      </w:pPr>
    </w:p>
    <w:p>
      <w:pPr>
        <w:jc w:val="both"/>
        <w:ind w:right="20" w:firstLine="8"/>
        <w:spacing w:after="0" w:line="255" w:lineRule="auto"/>
        <w:tabs>
          <w:tab w:leader="none" w:pos="2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holders of Common Stock shall have the exclusive right to vote for the election of directors and for all other purposes and (b) holders of Preferred Stock shall not be entitled to vote on any matter or receive notice of any meeting of stockholders. Unless and except to the extent that the Bylaws shall so require, the election of directors need not be taken by written ballot.</w:t>
      </w:r>
    </w:p>
    <w:p>
      <w:pPr>
        <w:spacing w:after="0" w:line="19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SECTION 3. OWNER. 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4. SPECIAL MEETING OF STOCKHOLDERS. Special meetings of stockholders of the Corporation may be called for any purpose and may be held at such date, time and place either within or outside the State of Delaware as shall be stated in a notice of meeting or in a duly executed waiver of notice thereof. Such meetings may be called only by the Chairman of the Board of Directors or the Chief Executive Officer or pursuant to a resolution of the Board of Directors adopted by at least a majority of the directors then in office. The only matters that may be considered at any special meeting of the stockholders are the matters specified in the notice of the meeting.</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SECTION 5. NO STOCKHOLDER ACTIONS BY WRITTEN CONSENT. Any action required or permitted to be taken by the stockholders of the Corporation must be effected at a duly called annual or special meeting of the stockholders of the Corporation, and the ability of the stockholders to consent in writing to the taking of any action is specifically denied.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provisions are inserted for the management of the business, for the conduct of the affairs of the Corporation and for the purpose of creating, defining, limiting and regulating the powers of the Corporation and its directors and stockholders:</w:t>
      </w:r>
    </w:p>
    <w:p>
      <w:pPr>
        <w:sectPr>
          <w:pgSz w:w="11900" w:h="16838" w:orient="portrait"/>
          <w:cols w:equalWidth="0" w:num="1">
            <w:col w:w="11420"/>
          </w:cols>
          <w:pgMar w:left="240" w:top="800" w:right="239" w:bottom="1440" w:gutter="0" w:footer="0" w:header="0"/>
        </w:sectPr>
      </w:pPr>
    </w:p>
    <w:bookmarkStart w:id="142" w:name="page143"/>
    <w:bookmarkEnd w:id="142"/>
    <w:p>
      <w:pPr>
        <w:ind w:right="20" w:firstLine="656"/>
        <w:spacing w:after="0" w:line="277" w:lineRule="auto"/>
        <w:tabs>
          <w:tab w:leader="none" w:pos="11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may otherwise be provided by this Certificate of Incorporation or the DGCL, the business and affairs of the Corporation shall be managed by or under the direction of the Board of Directors.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total number of directors constituting the Board of Directors shall be fixed from time to time exclusively by resolution of the Board of Directors; provided, however, that in no event shall the total number of directors constituting the Board of Directors be less than three (3) nor more than fifteen (15) directors.</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091" w:val="left"/>
        </w:tabs>
        <w:numPr>
          <w:ilvl w:val="0"/>
          <w:numId w:val="92"/>
        </w:numPr>
        <w:rPr>
          <w:rFonts w:ascii="Arial" w:cs="Arial" w:eastAsia="Arial" w:hAnsi="Arial"/>
          <w:sz w:val="16"/>
          <w:szCs w:val="16"/>
          <w:color w:val="auto"/>
        </w:rPr>
      </w:pPr>
      <w:r>
        <w:rPr>
          <w:rFonts w:ascii="Arial" w:cs="Arial" w:eastAsia="Arial" w:hAnsi="Arial"/>
          <w:sz w:val="16"/>
          <w:szCs w:val="16"/>
          <w:color w:val="auto"/>
        </w:rPr>
        <w:t>From the effective date of this Certificate of Incorporation (the “Effective Date”), the directors of the Corporation, subject to the special rights of any holders of shares of any series of Preferred Stock then outstanding, shall be divided into three classes, designated Class I, Class II and Class III. For so long as there are three classes of directors, each class shall consist, as nearly as possible, of one-third of the total number of directors constituting the entire Board of Directors (excluding any directors elected pursuant to any special rights of any holders of shares of any series of Preferred Stock then outstanding). The initial assignment of directors to each such class shall be made by the Board of Directors. The term of office of the Class I directors shall expire at the first annual meeting of stockholders of the Corporation following the Effective Date (the “2018 Annual Meeting”), the term of office of the Class II directors shall expire at the second annual meeting of stockholders of the Corporation following the Effective Date (the “2019 Annual Meeting”) and the term of office of the Class III directors shall expire at the third annual meeting of stockholders of the Corporation following the Effective Date (the “2020 Annual Meeting”). Commencing with the 2018 Annual Meeting, the directors shall be divided into two classes, with the directors elected to succeed those directors whose terms then expire (i.e., the former Class I directors) being elected for a term of office to expire at the 2020 Annual Meeting (i.e., as Class III directors), with each such director to hold office until his or her successor shall have been duly elected and qualified or his or her death, resignation, retirement, disqualification or removal from office. Commencing with the 2019 Annual Meeting, there shall be a single class of directors, with directors elected to succeed those directors whose terms then expire (i.e., the former Class II directors) being elected for a term of office to expire at the 2020 Annual Meeting, with each director to hold office until his or her successor shall have been duly elected and qualified or his or her death, resignation, retirement, disqualification or removal from office. Commencing with the 2020 Annual Meeting, each director elected to succeed those directors whose terms then expire shall be elected annually and for a term of office to expire at the next annual meeting of stockholders of the Corporation with each director to hold office until his or her successor shall have been duly elected and qualified or his or her death, resignation, retirement, disqualification or removal from office.</w:t>
      </w:r>
    </w:p>
    <w:p>
      <w:pPr>
        <w:spacing w:after="0" w:line="175" w:lineRule="exact"/>
        <w:rPr>
          <w:rFonts w:ascii="Arial" w:cs="Arial" w:eastAsia="Arial" w:hAnsi="Arial"/>
          <w:sz w:val="16"/>
          <w:szCs w:val="16"/>
          <w:color w:val="auto"/>
        </w:rPr>
      </w:pPr>
    </w:p>
    <w:p>
      <w:pPr>
        <w:jc w:val="both"/>
        <w:ind w:firstLine="656"/>
        <w:spacing w:after="0" w:line="297" w:lineRule="auto"/>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any rights granted to the holders of shares of any series of Preferred Stock then outstanding, (x) for so long as the directors are divided into classes, any director may be removed from office only for cause and only upon the affirmative vote of the holders of at least two-thirds (66 2⁄3%) in voting power of the outstanding shares of capital stock entitled to vote in an election of such director and (y) from and after the time at which the directors are no longer divided into classes, any director may be removed at any time, either with or without cause, upon the affirmative vote of the holders of at least two-thirds (66 2⁄3%) of the outstanding shares of capital stock of the Corporation then entitled to vote in an election of such director.</w:t>
      </w:r>
    </w:p>
    <w:p>
      <w:pPr>
        <w:spacing w:after="0" w:line="158" w:lineRule="exact"/>
        <w:rPr>
          <w:rFonts w:ascii="Arial" w:cs="Arial" w:eastAsia="Arial" w:hAnsi="Arial"/>
          <w:sz w:val="16"/>
          <w:szCs w:val="16"/>
          <w:color w:val="auto"/>
        </w:rPr>
      </w:pPr>
    </w:p>
    <w:p>
      <w:pPr>
        <w:jc w:val="both"/>
        <w:ind w:firstLine="656"/>
        <w:spacing w:after="0" w:line="293" w:lineRule="auto"/>
        <w:tabs>
          <w:tab w:leader="none" w:pos="11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any rights granted to the holders of shares of any series of Preferred Stock then outstanding, and except as otherwise expressly required by applicable law, vacancies in the Board of Directors resulting from death, resignation, retirement, disqualification, removal from office or other cause, and newly created directorships resulting from any increase in the total number of directors constituting the Board of Directors, shall be filled by, and only by, a majority of the directors then in office, even if less than a quorum, or by the sole remaining director. Any director appointed to fill a vacancy or a newly created directorship shall hold office for the remainder of the term of the class, if any, that such director has been appointed to, and until his or her successor is elected and qualified or until his or her earlier death, resignation, retirement, disqualification, removal from office or other cause.</w:t>
      </w:r>
    </w:p>
    <w:p>
      <w:pPr>
        <w:spacing w:after="0" w:line="164" w:lineRule="exact"/>
        <w:rPr>
          <w:rFonts w:ascii="Arial" w:cs="Arial" w:eastAsia="Arial" w:hAnsi="Arial"/>
          <w:sz w:val="16"/>
          <w:szCs w:val="16"/>
          <w:color w:val="auto"/>
        </w:rPr>
      </w:pPr>
    </w:p>
    <w:p>
      <w:pPr>
        <w:ind w:firstLine="656"/>
        <w:spacing w:after="0" w:line="277"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Advance notice of nominations for the election of directors and other business proposed to be brought by stockholders before any meeting of the stockholders of the Corporation shall be given in the manner and to the extent provided in the Bylaws.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OF LIABILITY OF DIRECTORS</w:t>
      </w:r>
    </w:p>
    <w:p>
      <w:pPr>
        <w:spacing w:after="0" w:line="2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SECTION 1. INDEMNIFICATION AND ADVANCEMENT OF EXPENSES. The Corporation, to the fullest extent permitted by law, shall indemnify and advance expenses to any person made or threatened to be made a party to an action, suit or proceeding, whether criminal, civil, administrative or investigative, by reason of the fact that he or she is or was a director of the Corporation, or, while serving as a director of the Corporation, serves or served at any other enterprise as a director or officer at the request of the Corporation; provided, however, that the Corporation shall indemnify any such person seeking indemnification in connection with a proceeding (or part thereof) initiated by such person only if such proceeding (or part thereof) was authorized in advance by the Board of Directors. Such rights to indemnification and advancement of expenses shall continue as to a person</w:t>
      </w:r>
    </w:p>
    <w:p>
      <w:pPr>
        <w:sectPr>
          <w:pgSz w:w="11900" w:h="16838" w:orient="portrait"/>
          <w:cols w:equalWidth="0" w:num="1">
            <w:col w:w="11420"/>
          </w:cols>
          <w:pgMar w:left="240" w:top="800" w:right="23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18"/>
          <w:szCs w:val="18"/>
          <w:color w:val="auto"/>
        </w:rPr>
        <w:t>who has ceased to be a director of the Corporation and shall inure to the benefit of the heirs, executors and administrators of such person. The rights to indemnification and advancement of expenses provided for herein shall not be deemed exclusive of any other rights to which those seeking indemnification or an advancement of expenses hereunder may be entitled under the Bylaws, any agreement between the Corporation and such person, vote of stockholders or disinterested directors or otherwise.</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SECTION 2. LIMITATION OF LIABILITY OF DIRECTORS. 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after approval of this Article VI to authorize corporate action further eliminating or limiting the personal liability of directors, then the liability of a director shall be eliminated or limited to the fullest extent permitted by the DGCL, as so amended. No amendment, modification or repeal of this Article VI, nor the adoption of any provision of this Certificate of Incorporation inconsistent with this Article VI, shall adversely affect any right or protection of a director of the Corporation with respect to any acts or omissions of such director occurring prior to the time of such amendment, modification, repeal or adoptions of inconsistent provision.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EXCLUSIVE FORUM</w:t>
      </w:r>
    </w:p>
    <w:p>
      <w:pPr>
        <w:spacing w:after="0" w:line="21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current or former director, officer, or stockholder of the Corporation to the Corporation or the Corporation’s stockholders, (iii) any action asserting a claim arising out of or pursuant to any provision of the DGCL, or as to which the DGCL confers jurisdiction on the Court of Chancery (including, without limitation, any action asserting a claim arising out of or pursuant to this Certificate of Incorporation or the Bylaws), or (iv) any action asserting a claim governed by the internal affairs doctrine. Any person or entity holding, purchasing or otherwise acquiring any interest in shares of capital stock of the Corporation shall be deemed to have notice of and consented to the provisions of this Article VII.</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TO THE CERTIFICATE OF INCORPORATION AND BYLAWS</w:t>
      </w:r>
    </w:p>
    <w:p>
      <w:pPr>
        <w:spacing w:after="0" w:line="21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SECTION 1. AMENDMENTS TO THE CERTIFICATE OF INCORPORATION. The Corporation reserves the right to amend, alter, change or repeal any provision contained in this Certificate of Incorporation, in the manner now or hereafter prescribed by this Certificate of Incorporation and the DGCL, and all rights, preferences and privileges herein conferred upon stockholders by and pursuant to this Certificate of Incorporation in its current form or as hereafter amended are granted subject to the right reserved in this Article VIII. Notwithstanding the foregoing or any other provisions of this Certificate of Incorporation or any provision of law which might otherwise permit a lesser vote or no vote, but in addition to any affirmative vote of the holders of any particular class or series of the capital stock of the Corporation required by law or by this Certificate of Incorporation, the affirmative vote of the holders of at least two-thirds (66 2⁄3%) of the voting power of all of the outstanding shares of capital stock of the Corporation entitled to vote thereon, voting together as a single class, shall be required to alter, amend or repeal, or to adopt any provision inconsistent with, Section 1(d), Section 4 or Section 5 of Article IV of this Certificate of Incorporation, Article V, Article VI, or Article VII of this Certificate of Incorporation, or this Article VIII.</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SECTION 2. AMENDMENTS TO THE BYLAWS. The Board of Directors shall have the power without the assent or vote of the stockholders to adopt, amend, alter or repeal the Bylaws. Notwithstanding any other provision of this Certificate of Incorporation or any provision of law that might otherwise permit a lesser vote or no vote, but in addition to any affirmative vote of the holders of any particular class or series of the capital stock of the Corporation required by law or by this Certificate of Incorporation or the Bylaws, the affirmative vote of the holders of at least two-thirds (66 2⁄3%) of the voting power of all of the outstanding shares of capital stock of the Corporation entitled to vote thereon, voting together as a single class, shall be required in order for the stockholders of the Corporation to alter, amend or repeal, in whole or in part, any provision of the Bylaws or to adopt any provision inconsistent therewith.</w:t>
      </w:r>
    </w:p>
    <w:p>
      <w:pPr>
        <w:sectPr>
          <w:pgSz w:w="11900" w:h="16838" w:orient="portrait"/>
          <w:cols w:equalWidth="0" w:num="1">
            <w:col w:w="11420"/>
          </w:cols>
          <w:pgMar w:left="240" w:top="80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Effective August 4, 2017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Brighthouse Financial, Inc. (the “Corporation”) in the State of Delaware shall be located at the address provided in the certificate of incorporation of the Corporation (as the same may be amended from time to time, the “Certificate of Incorporation”).</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maintain other offices or places of business at such other locations within or outside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Place and Time of Meetings</w:t>
      </w:r>
      <w:r>
        <w:rPr>
          <w:rFonts w:ascii="Arial" w:cs="Arial" w:eastAsia="Arial" w:hAnsi="Arial"/>
          <w:sz w:val="16"/>
          <w:szCs w:val="16"/>
          <w:color w:val="auto"/>
        </w:rPr>
        <w:t>. An annual meeting of the stockholders for the purpose of electing directors and conducting such other proper business as may come before the meeting shall be held at such date, time and place (if any) as may be fixed by resolution of the Board of Directors.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stockholders may be called for any purpose and may be held at such time and place (if any), within or outside the State of Delaware, as shall be stated in a notice of meeting or in a duly executed waiver of notice thereof. Unless otherwise provided by the Certificate of Incorporation, such meetings may be called only by the Chairman of the Board of Directors or the Chief Executive Officer or pursuant to a resolution of the Board of Directors adopted by at least a majority of the directors then in office. The only matters that may be considered at any special meeting of the stockholders are the matters specified in the notice of the meeting.</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may designate any place, either within or outside the State of Delaware, as the place of meeting for any annual meeting or for any special meeting of the stockholders. If no designation is made, the place of meeting shall be the principal executive office of the Corporation. The Board of Directors may, in its sole discretion, determine that any meeting of stockholders shall not be held at any place, but may instead be held solely by means of remote communication in accordance with the General Corporation Law of the State of Delaware (the “DGCL”). If authorized by the Board of Directors in its sole discretion, and subject to such guidelines and procedures as the Board of Directors may adopt, stockholders and proxy holders not physically present at a meeting of</w:t>
      </w:r>
    </w:p>
    <w:p>
      <w:pPr>
        <w:sectPr>
          <w:pgSz w:w="11900" w:h="16838" w:orient="portrait"/>
          <w:cols w:equalWidth="0" w:num="1">
            <w:col w:w="11420"/>
          </w:cols>
          <w:pgMar w:left="240" w:top="580" w:right="239" w:bottom="1440" w:gutter="0" w:footer="0" w:header="0"/>
        </w:sectPr>
      </w:pPr>
    </w:p>
    <w:bookmarkStart w:id="145" w:name="page146"/>
    <w:bookmarkEnd w:id="145"/>
    <w:p>
      <w:pPr>
        <w:jc w:val="both"/>
        <w:spacing w:after="0" w:line="272" w:lineRule="auto"/>
        <w:rPr>
          <w:sz w:val="20"/>
          <w:szCs w:val="20"/>
          <w:color w:val="auto"/>
        </w:rPr>
      </w:pPr>
      <w:r>
        <w:rPr>
          <w:rFonts w:ascii="Arial" w:cs="Arial" w:eastAsia="Arial" w:hAnsi="Arial"/>
          <w:sz w:val="17"/>
          <w:szCs w:val="17"/>
          <w:color w:val="auto"/>
        </w:rPr>
        <w:t>stockholders may, by means of remote communication (a) participate in a meeting of stockholders; and (b)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 holder; (ii)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Whenever stockholders are required or permitted to take action at a meeting, written or printed notice stating the place (if any), date, time, the means of remote communications (if any) by which stockholders and proxy holders may be deemed to be present in person and vote at such meeting, and, in the case of special meetings, the purpose or purposes, of such meeting, shall be given to each stockholder entitled to vote at such meeting as of the record date for determining stockholders entitled to notice of the meeting not less than ten (10) nor more than sixty (60) days before the date of the meeting. All such notices shall be delivered, either personally or by mail, by or at the direction of the Board of Directors, the Chairman of the Board of Directors, the Chief Executive Officer or the Corporate Secretary, and if mailed, such notice shall be deemed to be delivered when deposited in the United States mail, postage prepaid, addressed to the stockholder at his, her or its address as the same appears on the records of the Corporation. Unless written notice by mail is required by applicable law, such notice may also be given by commercial delivery service, electronic means or similar means addressed to a stockholder at such person’s address as it appears on the records of the Corporation. In the case of notice given by commercial delivery service, such notice shall be deemed to be given when delivered into the control of the persons charged with effecting such transmission, the transmission charge to be paid by the Corporation or the person sending such notice and not by the addressee. Notice given by electronic transmission shall be effective if given in the manner prescribed by applicable law. Any waiver of notice, given by the person entitled to notice, whether before or after the time stated therein, shall be deemed equivalent to notice.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spacing w:after="0" w:line="17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Stockholders List</w:t>
      </w:r>
      <w:r>
        <w:rPr>
          <w:rFonts w:ascii="Arial" w:cs="Arial" w:eastAsia="Arial" w:hAnsi="Arial"/>
          <w:sz w:val="17"/>
          <w:szCs w:val="17"/>
          <w:color w:val="auto"/>
        </w:rPr>
        <w:t>. The Corporation shall prepare, at least ten (10) days before every meeting of the stockholders, a complete list of the stockholders entitled to vote at such meeting (provided, however, that if the record date for determining the stockholders entitled to vote is less than ten</w:t>
      </w:r>
    </w:p>
    <w:p>
      <w:pPr>
        <w:jc w:val="both"/>
        <w:ind w:firstLine="8"/>
        <w:spacing w:after="0" w:line="253" w:lineRule="auto"/>
        <w:tabs>
          <w:tab w:leader="none" w:pos="3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days before the date of the meeting, the list shall reflect the stockholders entitled to vote as of the tenth day before the meeting date)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meeting or (b)</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146" w:name="page147"/>
    <w:bookmarkEnd w:id="146"/>
    <w:p>
      <w:pPr>
        <w:jc w:val="both"/>
        <w:spacing w:after="0" w:line="293" w:lineRule="auto"/>
        <w:rPr>
          <w:sz w:val="20"/>
          <w:szCs w:val="20"/>
          <w:color w:val="auto"/>
        </w:rPr>
      </w:pPr>
      <w:r>
        <w:rPr>
          <w:rFonts w:ascii="Arial" w:cs="Arial" w:eastAsia="Arial" w:hAnsi="Arial"/>
          <w:sz w:val="16"/>
          <w:szCs w:val="16"/>
          <w:color w:val="auto"/>
        </w:rPr>
        <w:t>during ordinary business hours at the principal place of business of the Corporation. If the meeting is to be held at a place, then a list of stockholders entitled to vote at the meeting shall also be produced and kept at the time and place of the meeting during the whole time thereof, and may be inspected by any stockholder who is present. If the meeting is to be held solely by means of remote communications, then the list shall also be open to the examination of any stockholder during the sole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 of Article II or to vote in person or by proxy at any meeting of the stockholders.</w:t>
      </w:r>
    </w:p>
    <w:p>
      <w:pPr>
        <w:spacing w:after="0" w:line="16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in voting power of the outstanding shares of capital stock entitled to vote at the meeting, present in person or represented by proxy, shall constitute a quorum at all meetings of the stockholders, except as otherwise provided by applicable law or the Certificate of Incorporation or these Bylaws. If a quorum is not present, the holders of a majority in voting power of the shares present in person or represented by proxy at the meeting, and entitled to vote at the meeting, may adjourn the meeting to another time and/or place (if any). Except as otherwise provided by applicable law or the Certificate of Incorporation or these Bylaws, when a specified item of business requires a separate vote by a class or series or classes or series of stock, the holders of a majority of the outstanding shares of such class or series or classes or series entitled to vote at the meeting, present in person or represented by proxy, shall constitute a quorum entitled to take action with respect to that vote on that matter at such meeting.</w:t>
      </w:r>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Adjourned Meetings</w:t>
      </w:r>
      <w:r>
        <w:rPr>
          <w:rFonts w:ascii="Arial" w:cs="Arial" w:eastAsia="Arial" w:hAnsi="Arial"/>
          <w:sz w:val="16"/>
          <w:szCs w:val="16"/>
          <w:color w:val="auto"/>
        </w:rPr>
        <w:t>. When a meeting is adjourned to another time and/or place, notice need not be given of the adjourned meeting if the time and/or place, if any, thereof, and the means of remote communication, if any, by which stockholders and proxy holders may be deemed to be present in person and to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Vote Required</w:t>
      </w:r>
      <w:r>
        <w:rPr>
          <w:rFonts w:ascii="Arial" w:cs="Arial" w:eastAsia="Arial" w:hAnsi="Arial"/>
          <w:sz w:val="17"/>
          <w:szCs w:val="17"/>
          <w:color w:val="auto"/>
        </w:rPr>
        <w:t>. When a quorum is present, the affirmative vote of the majority in voting power of the shares of stock of the Corporation present in person or represented by proxy at the meeting and entitled to vote on the subject matter shall be the act of the stockholders, unless (i) by express provisions of an applicable law, the rules and regulations of any stock exchange applicable to the Corporation, or the Certificate of Incorporation a different vote is required, in which case such express provision shall govern and control the decision of such question, or (ii) the subject matter is the election of directors, in which case Section 2 of Article III shall govern and control the approval of such subject matter.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47" w:name="page148"/>
    <w:bookmarkEnd w:id="147"/>
    <w:p>
      <w:pPr>
        <w:jc w:val="both"/>
        <w:ind w:firstLine="432"/>
        <w:spacing w:after="0" w:line="264"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provided by the Certificate of Incorporation or applicable law, and subject to Section 4 of Article VI hereof, every stockholder shall at every meeting of the stockholders be entitled to one (1) vote in person or by proxy for each share of stock held by such stockholder.</w:t>
      </w:r>
    </w:p>
    <w:p>
      <w:pPr>
        <w:spacing w:after="0" w:line="18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Proxies</w:t>
      </w:r>
      <w:r>
        <w:rPr>
          <w:rFonts w:ascii="Arial" w:cs="Arial" w:eastAsia="Arial" w:hAnsi="Arial"/>
          <w:sz w:val="16"/>
          <w:szCs w:val="16"/>
          <w:color w:val="auto"/>
        </w:rPr>
        <w:t>. Each stockholder entitled to vote at a meeting of stockholders may authorize another person or persons to act for such stockholder by proxy,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shall be revoked when the person executing the proxy is present at a meeting of stockholders and votes in person or by delivering to the Corporate Secretary of the Corporation a revocation of the proxy or a new proxy bearing a later date, except that when such proxy states that it is irrevocable and is coupled with an interest and the fact of the interest appears on the face of the proxy, the agent named in the proxy shall have all voting and other rights referred to in the proxy, notwithstanding the presence of the person executing the proxy.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97" w:lineRule="auto"/>
        <w:tabs>
          <w:tab w:leader="none" w:pos="8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(1) 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11 of Article II is delivered to the Corporate Secretary of the Corporation, who is entitled to vote at the meeting and who complies with the notice procedures set forth in this Section 11 of Article II.</w:t>
      </w:r>
    </w:p>
    <w:p>
      <w:pPr>
        <w:spacing w:after="0" w:line="158" w:lineRule="exact"/>
        <w:rPr>
          <w:rFonts w:ascii="Arial" w:cs="Arial" w:eastAsia="Arial" w:hAnsi="Arial"/>
          <w:sz w:val="16"/>
          <w:szCs w:val="16"/>
          <w:color w:val="auto"/>
        </w:rPr>
      </w:pPr>
    </w:p>
    <w:p>
      <w:pPr>
        <w:jc w:val="both"/>
        <w:ind w:firstLine="886"/>
        <w:spacing w:after="0" w:line="290" w:lineRule="auto"/>
        <w:tabs>
          <w:tab w:leader="none" w:pos="1278"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any nominations or other business to be properly brought before an annual meeting by a stockholder pursuant to clause (c) of paragraph (A)(1) of this Section 11 of Article II, the stockholder must have given timely notice thereof in writing to the Corporate Secretary of the Corporation and any such proposed business (other than the nominations of persons for election to the Board of Directors) must constitute a proper matter for stockholder action. To be timely, a stockholder’s notice shall be delivered to the Corporate Secretary at the principal executive offices of the Corporation not later than the close of business on the ninetieth (90</w:t>
      </w:r>
      <w:r>
        <w:rPr>
          <w:rFonts w:ascii="Arial" w:cs="Arial" w:eastAsia="Arial" w:hAnsi="Arial"/>
          <w:sz w:val="14"/>
          <w:szCs w:val="14"/>
          <w:color w:val="auto"/>
        </w:rPr>
        <w:t>th</w:t>
      </w:r>
      <w:r>
        <w:rPr>
          <w:rFonts w:ascii="Arial" w:cs="Arial" w:eastAsia="Arial" w:hAnsi="Arial"/>
          <w:sz w:val="16"/>
          <w:szCs w:val="16"/>
          <w:color w:val="auto"/>
        </w:rPr>
        <w:t>) day, nor earlier than the close of business on the one hundred twentieth (120th) day, prior to the first anniversary of the preceding year’s annual meeting (which, in the case of the first annual meeting following the date on which shares of common stock of the Corporation shall first be listed on a national securities exchange, should be deemed to be May 1, 2017) (provided, however, that in the event that the date of the annual meeting is more than thirty (30) days before or more than seventy (70) days after such anniversary date, notice by the stockholder must be so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0" w:right="239" w:bottom="1440" w:gutter="0" w:footer="0" w:header="0"/>
        </w:sectPr>
      </w:pPr>
    </w:p>
    <w:bookmarkStart w:id="148" w:name="page149"/>
    <w:bookmarkEnd w:id="148"/>
    <w:p>
      <w:pPr>
        <w:jc w:val="both"/>
        <w:spacing w:after="0" w:line="286" w:lineRule="auto"/>
        <w:rPr>
          <w:sz w:val="20"/>
          <w:szCs w:val="20"/>
          <w:color w:val="auto"/>
        </w:rPr>
      </w:pPr>
      <w:r>
        <w:rPr>
          <w:rFonts w:ascii="Arial" w:cs="Arial" w:eastAsia="Arial" w:hAnsi="Arial"/>
          <w:sz w:val="16"/>
          <w:szCs w:val="16"/>
          <w:color w:val="auto"/>
        </w:rPr>
        <w:t>delivered not earlier than the close of business on the one hundred twentieth (120</w:t>
      </w:r>
      <w:r>
        <w:rPr>
          <w:rFonts w:ascii="Arial" w:cs="Arial" w:eastAsia="Arial" w:hAnsi="Arial"/>
          <w:sz w:val="14"/>
          <w:szCs w:val="14"/>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6"/>
          <w:szCs w:val="16"/>
          <w:color w:val="auto"/>
        </w:rPr>
        <w:t>) day prior to such annual meeting or the tenth (10</w:t>
      </w:r>
      <w:r>
        <w:rPr>
          <w:rFonts w:ascii="Arial" w:cs="Arial" w:eastAsia="Arial" w:hAnsi="Arial"/>
          <w:sz w:val="14"/>
          <w:szCs w:val="14"/>
          <w:color w:val="auto"/>
        </w:rPr>
        <w:t>th</w:t>
      </w:r>
      <w:r>
        <w:rPr>
          <w:rFonts w:ascii="Arial" w:cs="Arial" w:eastAsia="Arial" w:hAnsi="Arial"/>
          <w:sz w:val="16"/>
          <w:szCs w:val="16"/>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w:t>
      </w:r>
    </w:p>
    <w:p>
      <w:pPr>
        <w:spacing w:after="0" w:line="2" w:lineRule="exact"/>
        <w:rPr>
          <w:sz w:val="20"/>
          <w:szCs w:val="20"/>
          <w:color w:val="auto"/>
        </w:rPr>
      </w:pPr>
    </w:p>
    <w:p>
      <w:pPr>
        <w:jc w:val="both"/>
        <w:ind w:firstLine="8"/>
        <w:spacing w:after="0" w:line="283" w:lineRule="auto"/>
        <w:tabs>
          <w:tab w:leader="none" w:pos="25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the Corporation’s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the Exchange Act and the rules and regulations promulgated thereunder. The foregoing notice requirements of this paragraph (A) of this Section 11 of Article</w:t>
      </w:r>
    </w:p>
    <w:p>
      <w:pPr>
        <w:spacing w:after="0" w:line="46" w:lineRule="exact"/>
        <w:rPr>
          <w:sz w:val="20"/>
          <w:szCs w:val="20"/>
          <w:color w:val="auto"/>
        </w:rPr>
      </w:pPr>
    </w:p>
    <w:p>
      <w:pPr>
        <w:jc w:val="both"/>
        <w:ind w:firstLine="8"/>
        <w:spacing w:after="0" w:line="253" w:lineRule="auto"/>
        <w:tabs>
          <w:tab w:leader="none" w:pos="1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191" w:lineRule="exact"/>
        <w:rPr>
          <w:rFonts w:ascii="Arial" w:cs="Arial" w:eastAsia="Arial" w:hAnsi="Arial"/>
          <w:sz w:val="18"/>
          <w:szCs w:val="18"/>
          <w:color w:val="auto"/>
        </w:rPr>
      </w:pPr>
    </w:p>
    <w:p>
      <w:pPr>
        <w:jc w:val="both"/>
        <w:ind w:firstLine="440"/>
        <w:spacing w:after="0" w:line="285" w:lineRule="auto"/>
        <w:tabs>
          <w:tab w:leader="none" w:pos="866"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Except as otherwise expressly provided in any applicable rule or regulation promulgated under the Exchange Act, only such persons who are nominated in accordance with the procedures set forth in this Section 11 of Article II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 of Article II.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11 of Article II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11 of Article II) and (b) if any proposed nomination or business was not made or proposed in compliance with this Section 11 of Article II, to declare that such nomination shall be disregarded or that such proposed business shall not be transacted. Notwithstanding the foregoing provisions of this Section 11 of Article II,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 of Article II,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5" w:lineRule="exact"/>
        <w:rPr>
          <w:rFonts w:ascii="Arial" w:cs="Arial" w:eastAsia="Arial" w:hAnsi="Arial"/>
          <w:sz w:val="16"/>
          <w:szCs w:val="16"/>
          <w:color w:val="auto"/>
        </w:rPr>
      </w:pPr>
    </w:p>
    <w:p>
      <w:pPr>
        <w:jc w:val="both"/>
        <w:ind w:firstLine="886"/>
        <w:spacing w:after="0" w:line="286" w:lineRule="auto"/>
        <w:tabs>
          <w:tab w:leader="none" w:pos="1301" w:val="left"/>
        </w:tabs>
        <w:numPr>
          <w:ilvl w:val="2"/>
          <w:numId w:val="96"/>
        </w:numPr>
        <w:rPr>
          <w:rFonts w:ascii="Arial" w:cs="Arial" w:eastAsia="Arial" w:hAnsi="Arial"/>
          <w:sz w:val="17"/>
          <w:szCs w:val="17"/>
          <w:color w:val="auto"/>
        </w:rPr>
      </w:pPr>
      <w:r>
        <w:rPr>
          <w:rFonts w:ascii="Arial" w:cs="Arial" w:eastAsia="Arial" w:hAnsi="Arial"/>
          <w:sz w:val="17"/>
          <w:szCs w:val="17"/>
          <w:color w:val="auto"/>
        </w:rPr>
        <w:t>For purposes of this Section 11 of Article II,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165" w:lineRule="exact"/>
        <w:rPr>
          <w:rFonts w:ascii="Arial" w:cs="Arial" w:eastAsia="Arial" w:hAnsi="Arial"/>
          <w:sz w:val="17"/>
          <w:szCs w:val="17"/>
          <w:color w:val="auto"/>
        </w:rPr>
      </w:pPr>
    </w:p>
    <w:p>
      <w:pPr>
        <w:ind w:firstLine="886"/>
        <w:spacing w:after="0" w:line="277" w:lineRule="auto"/>
        <w:tabs>
          <w:tab w:leader="none" w:pos="1270" w:val="left"/>
        </w:tabs>
        <w:numPr>
          <w:ilvl w:val="2"/>
          <w:numId w:val="9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 of Article II, a stockholder shall also comply with all applicable requirements of the Exchange Act and the rules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50" w:name="page151"/>
    <w:bookmarkEnd w:id="150"/>
    <w:p>
      <w:pPr>
        <w:jc w:val="both"/>
        <w:spacing w:after="0" w:line="253" w:lineRule="auto"/>
        <w:rPr>
          <w:sz w:val="20"/>
          <w:szCs w:val="20"/>
          <w:color w:val="auto"/>
        </w:rPr>
      </w:pPr>
      <w:r>
        <w:rPr>
          <w:rFonts w:ascii="Arial" w:cs="Arial" w:eastAsia="Arial" w:hAnsi="Arial"/>
          <w:sz w:val="18"/>
          <w:szCs w:val="18"/>
          <w:color w:val="auto"/>
        </w:rPr>
        <w:t>and regulations promulgated thereunder with respect to the matters set forth in this Section 11 of Article II;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 of Article II (including paragraph (A)(1)(c) hereof), and compliance with paragraph (A)(1)(c) of this Section 11 of Article II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 Section 11 of Article II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w:t>
      </w:r>
    </w:p>
    <w:p>
      <w:pPr>
        <w:spacing w:after="0" w:line="197"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3" w:lineRule="exact"/>
        <w:rPr>
          <w:sz w:val="20"/>
          <w:szCs w:val="20"/>
          <w:color w:val="auto"/>
        </w:rPr>
      </w:pPr>
    </w:p>
    <w:p>
      <w:pPr>
        <w:jc w:val="both"/>
        <w:ind w:firstLine="8"/>
        <w:spacing w:after="0" w:line="271" w:lineRule="auto"/>
        <w:tabs>
          <w:tab w:leader="none" w:pos="271" w:val="left"/>
        </w:tabs>
        <w:numPr>
          <w:ilvl w:val="0"/>
          <w:numId w:val="97"/>
        </w:numPr>
        <w:rPr>
          <w:rFonts w:ascii="Arial" w:cs="Arial" w:eastAsia="Arial" w:hAnsi="Arial"/>
          <w:sz w:val="17"/>
          <w:szCs w:val="17"/>
          <w:color w:val="auto"/>
        </w:rPr>
      </w:pPr>
      <w:r>
        <w:rPr>
          <w:rFonts w:ascii="Arial" w:cs="Arial" w:eastAsia="Arial" w:hAnsi="Arial"/>
          <w:sz w:val="17"/>
          <w:szCs w:val="17"/>
          <w:color w:val="auto"/>
        </w:rPr>
        <w:t>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Unless and to the extent determined by the Board of Directors or the person presiding over the meeting, meetings of stockholders shall not be required to be held in accordance with the rules of parliamentary procedure.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the Certificate of Incorporation or the DGCL, the business and affairs of the Corporation shall be managed by or under the direction of the Board of Directors. In addition to such powers as are herein and in the Certificate of Incorporation expressly conferred upon it, the Board of Directors shall have and may exercise all the powers of the Corporation, subject to the provisions of the laws of Delaware, the Certificate of Incorporation and these Bylaws.</w:t>
      </w:r>
    </w:p>
    <w:p>
      <w:pPr>
        <w:spacing w:after="0" w:line="18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Election and Term of Office</w:t>
      </w:r>
      <w:r>
        <w:rPr>
          <w:rFonts w:ascii="Arial" w:cs="Arial" w:eastAsia="Arial" w:hAnsi="Arial"/>
          <w:sz w:val="16"/>
          <w:szCs w:val="16"/>
          <w:color w:val="auto"/>
        </w:rPr>
        <w:t>. Except as otherwise provided in the Certificate of Incorporation, the number of directors which shall constitute the Board of Directors shall be such as from time to time shall be fixed by the Board of Directors in the manner as provided in these Bylaws; provided, however, that in no event shall such number of directors be less than three (3) nor more than fifteen (15). Directors need not be stockholders. Except as otherwise provided in the Certificate of Incorporation, the directors shall be elected by a plurality of the votes. Except in the case of a contested election, any director nominee who receives a greater number of votes “withheld” from his or her election than votes “for” such director nominee’s election shall promptly tender his or her resignation to the Board of Directors following certification of the election results. Within one hundred (100) days following the certification of the election results, the Board of Directors (excluding the director in question) will decide, through a process managed by the Nominating and Corporate Governance Committee of the Board of Directors, whether to accept the resignation. The Board of Directors shall act on the resignation, taking into account the recommendation of the Nominating and Corporate Governance Committee of the Board of Directors, and publicly disclose (by filing an appropriate disclosure with the Securities and Exchange Commission and such additional means, if any, as deemed appropriate by the Board of Directors) its decision regarding the resignation (and, if such resignation is rejected, the rationale behind the decision) within one hundred ten (110) days following certification of the election results. The Nominating and Corporate Governance Committee of the Board of Directors in making its recommendation, and the Board of Directors in making its decision, may consider any factors and other information that it considers appropriate and relevant. For purposes of this Section 2, an election is a “contested election” if, as of the tenth (10th) day preceding the date the Corporation first mails its notice of meeting for such meeting to the stockholders of the Corporation, the number of nominees for election as directors at such meeting exceeds the number of directors to be elected at such meeting. The terms of office of directors shall be governed by the Certificate of Incorporation.</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Resignation; Vacancies</w:t>
      </w:r>
      <w:r>
        <w:rPr>
          <w:rFonts w:ascii="Arial" w:cs="Arial" w:eastAsia="Arial" w:hAnsi="Arial"/>
          <w:sz w:val="17"/>
          <w:szCs w:val="17"/>
          <w:color w:val="auto"/>
        </w:rPr>
        <w:t>. Any director may resign at any time upon written notice or notice by electronic transmission to the Corporation and such resignation will be effective upon the date of receipt of such notice, unless such notice specifies a later effective time or an effective time occurring upon the happening of an event, in which case such later effective time or the happening of such later event will be the effective time of such resignation. Subject to any rights granted to the holders of shares of any series of Preferred Stock then outstanding, and except as otherwise expressly required by applicable law, vacancies in the Board of Directors resulting from death, resignation, retirement, disqualification, removal from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52" w:name="page153"/>
    <w:bookmarkEnd w:id="152"/>
    <w:p>
      <w:pPr>
        <w:jc w:val="both"/>
        <w:ind w:right="20"/>
        <w:spacing w:after="0" w:line="302" w:lineRule="auto"/>
        <w:rPr>
          <w:sz w:val="20"/>
          <w:szCs w:val="20"/>
          <w:color w:val="auto"/>
        </w:rPr>
      </w:pPr>
      <w:r>
        <w:rPr>
          <w:rFonts w:ascii="Arial" w:cs="Arial" w:eastAsia="Arial" w:hAnsi="Arial"/>
          <w:sz w:val="16"/>
          <w:szCs w:val="16"/>
          <w:color w:val="auto"/>
        </w:rPr>
        <w:t>office or other cause, and newly created directorships resulting from any increase in the total number of directors constituting the Board of Directors, shall be filled by, and only by, a majority of the directors then in office, although less than a quorum, or by the sole remaining director. Any director appointed to fill a vacancy or a newly created directorship shall hold office for the remainder of the term of the class, if any, that such director has been appointed to, and until his or her successor is elected and qualified or until his or her earlier death, resignation, retirement, disqualification, removal from office or other cause.</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Meetings</w:t>
      </w:r>
      <w:r>
        <w:rPr>
          <w:rFonts w:ascii="Arial" w:cs="Arial" w:eastAsia="Arial" w:hAnsi="Arial"/>
          <w:sz w:val="18"/>
          <w:szCs w:val="18"/>
          <w:color w:val="auto"/>
        </w:rPr>
        <w:t>. An annual meeting of the Board of Directors may be held without other notice at such time and at such place as shall, from time to time, be determined by resolution of the Board of Directors.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Meetings and Notice</w:t>
      </w:r>
      <w:r>
        <w:rPr>
          <w:rFonts w:ascii="Arial" w:cs="Arial" w:eastAsia="Arial" w:hAnsi="Arial"/>
          <w:sz w:val="18"/>
          <w:szCs w:val="18"/>
          <w:color w:val="auto"/>
        </w:rPr>
        <w:t>. Regular meetings of the Board of Directors may be held without notice at such time and at such place as shall from time to time be determined by the Board of Directors. Special meetings of the Board of Directors may be called by the Chairman of the Board of Directors or, upon the written request of at least a majority of the directors then in office, by the Corporate Secretary on at least 24 hours’ notice to each director, either personally, by telephone, by mail or by electronic transmission.</w:t>
      </w:r>
    </w:p>
    <w:p>
      <w:pPr>
        <w:spacing w:after="0" w:line="18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Chairman of the Board; Quorum; Required Vote and Adjournment</w:t>
      </w:r>
      <w:r>
        <w:rPr>
          <w:rFonts w:ascii="Arial" w:cs="Arial" w:eastAsia="Arial" w:hAnsi="Arial"/>
          <w:sz w:val="17"/>
          <w:szCs w:val="17"/>
          <w:color w:val="auto"/>
        </w:rPr>
        <w:t>. The Board of Directors may elect, by the affirmative vote of the majority of the total number of directors then in office, a Chairman of the Board, who shall preside at all meetings of the stockholders and the Board of Directors at which he or she is present. If the Chairman of the Board is an officer of the Corporation and is not present at a meeting of the stockholders or the Board of Directors, a majority of the directors present at such meeting may elect one of the directors to so preside. If the Chairman of the Board is not an officer of the Corporation and is not present at a meeting of the stockholders or the Board of Directors, the Chief Executive Officer (if the Chief Executive Officer is a director) shall preside at such meeting, and, if the Chief Executive Officer is not present at such meeting (or is present at the meeting but is not a director), a majority of the directors present at such meeting shall elect one of their members to so preside. Unless otherwise provided by the Certificate of Incorporation, at all meetings of the Board of Directors, the presence of a majority of the total number of directors then in office shall constitute a quorum for the transaction of business, provided such directors represent at least one-third of the total number of directors constituting the Board. Unless by express provision of an applicable law, the Certificate of Incorporation or these Bylaws a different vote is required, the vote of a majority of the directors present at a meeting at which a quorum is present shall be the act of the Board of Directors. At any meeting of the Board of Directors, the directors present may adjourn the meeting from time to time, without notice other than announcement at the meeting, until a quorum shall be present. The Chairman of the Board is authorized to execute bonds, mortgages and other contracts requiring a seal, under the seal of the Corporation, except where required by law to be otherwise signed and executed.</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53" w:name="page154"/>
    <w:bookmarkEnd w:id="153"/>
    <w:p>
      <w:pPr>
        <w:jc w:val="both"/>
        <w:spacing w:after="0" w:line="271" w:lineRule="auto"/>
        <w:rPr>
          <w:sz w:val="20"/>
          <w:szCs w:val="20"/>
          <w:color w:val="auto"/>
        </w:rPr>
      </w:pPr>
      <w:r>
        <w:rPr>
          <w:rFonts w:ascii="Arial" w:cs="Arial" w:eastAsia="Arial" w:hAnsi="Arial"/>
          <w:sz w:val="17"/>
          <w:szCs w:val="17"/>
          <w:color w:val="auto"/>
        </w:rPr>
        <w:t>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 Unless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for references to committees and members of committees in the first, second and third sentences of this Section 7 of Article III, every reference in these Bylaws to a committee of the Board of Directors or a member of a committee shall be deemed to include a reference to a subcommittee or member of a subcommittee</w:t>
      </w:r>
    </w:p>
    <w:p>
      <w:pPr>
        <w:spacing w:after="0" w:line="1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 Rules</w:t>
      </w:r>
      <w:r>
        <w:rPr>
          <w:rFonts w:ascii="Arial" w:cs="Arial" w:eastAsia="Arial" w:hAnsi="Arial"/>
          <w:sz w:val="18"/>
          <w:szCs w:val="18"/>
          <w:color w:val="auto"/>
        </w:rPr>
        <w:t>.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otherwise provided in such a resolution, in the event that a member and that member’s alternate, if alternates are designated by the Board of Directors as provided in Section 7 of this Article III, of such committee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8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Communications Equipment</w:t>
      </w:r>
      <w:r>
        <w:rPr>
          <w:rFonts w:ascii="Arial" w:cs="Arial" w:eastAsia="Arial" w:hAnsi="Arial"/>
          <w:sz w:val="16"/>
          <w:szCs w:val="16"/>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9 of Article III shall constitute presence in person at the meeting.</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Notice</w:t>
      </w:r>
      <w:r>
        <w:rPr>
          <w:rFonts w:ascii="Arial" w:cs="Arial" w:eastAsia="Arial" w:hAnsi="Arial"/>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Any waiver of notice, given by the director entitled to notice, whether before or after the time stated therein, shall be deemed equivalent to notice. Neither the business to be transacted at nor the purpose of any regular or special meeting need be specified in the waiver.</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or committee.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Appointment</w:t>
      </w:r>
      <w:r>
        <w:rPr>
          <w:rFonts w:ascii="Arial" w:cs="Arial" w:eastAsia="Arial" w:hAnsi="Arial"/>
          <w:sz w:val="18"/>
          <w:szCs w:val="18"/>
          <w:color w:val="auto"/>
        </w:rPr>
        <w:t>. The officers of the Corporation shall be appointed by the Board of Directors and shall include a Chief Executive Officer, a Corporate Secretary and a Treasurer. The Board of Directors may also choose a President, one or more Vice Presidents (one or more of whom may be designated Executive Vice Presidents), one or more Assistant Corporate Secretaries, and one or more Assistant Treasurers and such other officers and assistant officers as may be deemed necessary or desirable by the Board of Directors. The Board of Directors may also delegate to any officer of the Corporation the power to appoint such other officers and to proscribe their respective duties and powers. Any number of offices may be held by the same person.</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or her successor is duly elected and qualified or until his or her earlier death, resignation, retirement, removal or disqualification, as hereinafter provided.</w:t>
      </w:r>
    </w:p>
    <w:p>
      <w:pPr>
        <w:spacing w:after="0" w:line="17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Removal</w:t>
      </w:r>
      <w:r>
        <w:rPr>
          <w:rFonts w:ascii="Arial" w:cs="Arial" w:eastAsia="Arial" w:hAnsi="Arial"/>
          <w:sz w:val="16"/>
          <w:szCs w:val="16"/>
          <w:color w:val="auto"/>
        </w:rPr>
        <w:t>. Any officer or agent may be removed by the Board of Directors at its discretion, but such removal shall be without prejudice to the contract rights, if any, of the person so removed. Any officer who has been delegated the power by the Board of Directors to appoint an officer shall have the power to remove the officer so appointed, but such removal shall be without prejudice to the contract rights, if any, of the person so removed.</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because of death, resignation, retirement, removal, disqualification or otherwise may be filled by the Board of Directors.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have the powers and perform the duties incident to that position. Subject to the powers of the Board of Directors, he or she shall be in the general and active charge of the entire business and affairs of the Corporation, and shall be its chief policy-making officer. The Chief Executive Officer is authorized to execute bonds, mortgages and other contracts requiring a seal, under the seal of the Corporation, except where required by law to be otherwise signed and executed and except where the signing and execution thereof shall be expressly and exclusively delegated by the Board of Directors to some other officer or agent of the Corporation. The Chief Executive Officer shall have such other powers and perform such other duties as may be prescribed by the Board of Directors or as may be provided in these Bylaws.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of the Corporation shall have general charge of the business, affairs and property of the Corporation, and control over its officers, agents and employees; and shall see that all orders and resolutions of the Board of Directors and the Chief Executive Officer are carried into effect. The President shall, in the absence or disability of the Chief Executive Officer, act with all of the powers and be subject to all the restrictions of the Chief Executive Officer. The President is authorized to execute bonds, mortgages and other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5" w:name="page156"/>
    <w:bookmarkEnd w:id="155"/>
    <w:p>
      <w:pPr>
        <w:jc w:val="both"/>
        <w:spacing w:after="0" w:line="259" w:lineRule="auto"/>
        <w:rPr>
          <w:sz w:val="20"/>
          <w:szCs w:val="20"/>
          <w:color w:val="auto"/>
        </w:rPr>
      </w:pPr>
      <w:r>
        <w:rPr>
          <w:rFonts w:ascii="Arial" w:cs="Arial" w:eastAsia="Arial" w:hAnsi="Arial"/>
          <w:sz w:val="18"/>
          <w:szCs w:val="18"/>
          <w:color w:val="auto"/>
        </w:rPr>
        <w:t>contracts requiring a seal, under the seal of the Corporation, except where required by law to be otherwise signed and executed and except where the signing and execution thereof shall be expressly and exclusively delegated by the Board of Directors to some other officer or agent of the Corporation. The President shall have such other powers and perform such other duties as may be prescribed by the Chief Executive Officer or the Board of Directors or as may be provided in these Bylaws.</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Corporate Secretary</w:t>
      </w:r>
      <w:r>
        <w:rPr>
          <w:rFonts w:ascii="Arial" w:cs="Arial" w:eastAsia="Arial" w:hAnsi="Arial"/>
          <w:sz w:val="16"/>
          <w:szCs w:val="16"/>
          <w:color w:val="auto"/>
        </w:rPr>
        <w:t>. The Corporate Secretary shall attend all meetings of the Board of Directors, all meetings of the committees thereof and all meetings of the stockholders and record all the proceedings of the meetings in a book or books to be kept for that purpose or shall ensure that his or her designee attends each such meeting to act in such capacity. The Corporate Secretary shall give, or cause to be given, all notices required to be given by these Bylaws or by law; shall have such powers and perform such duties as the Board of Directors, the Chief Executive Officer, the President or these Bylaws may, from time to time, prescribe; and shall have custody of the corporate seal of the Corporation. The Corporate Secretary, or any Assistant Corporate Secretary, shall have authority to affix the corporate seal to any instrument requiring it, and when so affixed, it may be attested by his or her signature or by the signature of such Assistant Corporate Secretary. The Board of Directors may give general authority to any other officer to affix the seal of the Corporation and to attest the affixing by his or her signature. Any Assistant Corporate Secretary, in the order determined by the Board of Directors, shall, in the absence or disability of the Corporate Secretary, perform the duties and exercise the powers of the Corporate Secretary and shall perform such other duties and have such other powers as the Board of Directors, the Chief Executive Officer, the President or the Corporate Secretary may, from time to time, prescribe.</w:t>
      </w:r>
    </w:p>
    <w:p>
      <w:pPr>
        <w:spacing w:after="0" w:line="16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Chief Executive Officer or the Board of Directors; shall cause the funds of the Corporation to be disbursed when such disbursements have been duly authorized, taking proper vouchers for such disbursements; and from time to time shall render to the Chief Executive Officer, the President and the Board of Directors, at a regular meeting or when the Board of Directors so requires, an account of the Corporation; and shall have such powers and perform such duties as the Board of Directors, the Chief Executive Officer, the President these Bylaws may, from time to time, prescribe. Any Assistant Treasurer, in the order determined by the Board of Directors, shall, in the absence or disability of the Treasurer, perform the duties and exercise the powers of the Treasurer and shall perform such other duties and have such other powers as the Board of Directors, the Chief Executive Officer, the President, the Treasurer or these Bylaws may, from time to time, prescribe.</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Officers, Assistant Officers and Agents</w:t>
      </w:r>
      <w:r>
        <w:rPr>
          <w:rFonts w:ascii="Arial" w:cs="Arial" w:eastAsia="Arial" w:hAnsi="Arial"/>
          <w:sz w:val="18"/>
          <w:szCs w:val="18"/>
          <w:color w:val="auto"/>
        </w:rPr>
        <w:t>. Officers, assistant officers, deputy officers, and agents, if any, other than those whose duties are provided for in these Bylaws, shall have such authority and perform such duties as the Board of Directors, the Chief Executive Officer, the President or these Bylaws may, from time to time, prescribe. For the avoidance of doubt, each officer of the Corporation shall have the powers and perform the duties as are customarily incident to that position.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56" w:name="page157"/>
    <w:bookmarkEnd w:id="156"/>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Absence or Disability of Officers</w:t>
      </w:r>
      <w:r>
        <w:rPr>
          <w:rFonts w:ascii="Arial" w:cs="Arial" w:eastAsia="Arial" w:hAnsi="Arial"/>
          <w:sz w:val="18"/>
          <w:szCs w:val="18"/>
          <w:color w:val="auto"/>
        </w:rPr>
        <w:t>. In the case of the absence or disability of the Chief Executive Officer and of any person hereby authorized to act in such officer’s place during such officer’s absence or disability, the Board of Directors may delegate the powers and duties of such officer to any other officer or to any director, or to any other person selected, including by designating interim status upon such person. In the case of the absence or disability of any officer of the Corporation, other than the Chief Executive Officer, and of any person hereby authorized to act in such officer’s place during such officer’s absence or disability, the Board of Directors or the Chief Executive Officer (subject to the power of the Board of Directors) may delegate the powers and duties of such officer to any other officer or to any director, or to any other person selected, including by designating interim status upon such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OF OFFICERS, DIRECTORS AND OTHERS</w:t>
      </w:r>
    </w:p>
    <w:p>
      <w:pPr>
        <w:spacing w:after="0" w:line="22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Each person who was or is made a party or is threatened to be made a party to or is otherwise involved (including involvement as a witness) in any action, suit or proceeding, whether civil, criminal, administrative or investigative (hereinafter a “proceeding”), by reason of the fact that he or she or a person of whom he or she is the legal representative (in the event of death or disability of such person) is or was a director or officer of the Corporation (or any predecessor) or is or was serving at the request of the Corporation (or any predecessor) as a director or officer of another corporation or of a partnership, joint venture, trust or other enterprise, including service with respect to an employee benefit plan sponsored or maintained by the Corporation (or any predecessor of any of such entities) (hereinafter, an “indemnitee”), whether the basis of such proceeding is alleged action in an official capacity as a director or officer of the Corporation or of such other corporation, partnership, limited liability company, joint venture or enterprise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or officer and shall inure to the benefit of the indemnitee’s heirs, executors and administrators; provided, however, that except as provided in Section 2 of this Article V below, the Corporation shall indemnify any such person seeking indemnification in connection with a proceeding (or part thereof) initiated by such person only if such proceeding (or part thereof) was authorized by the Board of Directors. The right to indemnification conferred in this Section 1 of Article V shall be a contract right and shall include the right to be paid by the Corporation the expenses incurred in defending any such proceeding in advance of its final disposition (hereinafter an “advance of expenses”); provided, however, that any such advancement of expenses shall be made only upon delivery to the Corporation of an undertaking (hereinafter an “undertaking”), by or on behalf of such indemnitee, to repay all amounts so advanced if it shall ultimately be determined by final judicial decision from which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7" w:name="page158"/>
    <w:bookmarkEnd w:id="157"/>
    <w:p>
      <w:pPr>
        <w:jc w:val="both"/>
        <w:spacing w:after="0" w:line="259" w:lineRule="auto"/>
        <w:rPr>
          <w:sz w:val="20"/>
          <w:szCs w:val="20"/>
          <w:color w:val="auto"/>
        </w:rPr>
      </w:pPr>
      <w:r>
        <w:rPr>
          <w:rFonts w:ascii="Arial" w:cs="Arial" w:eastAsia="Arial" w:hAnsi="Arial"/>
          <w:sz w:val="18"/>
          <w:szCs w:val="18"/>
          <w:color w:val="auto"/>
        </w:rPr>
        <w:t>there is no further right to appeal (hereinafter a “final adjudication”) that such indemnitee is not entitled to be indemnified for such expenses under this Section 1 of Article V or otherwise. The Corporation may, by action of its Board of Directors, provide indemnification and advancement of expenses to any other person to whom the Corporation is authorized to provide rights of indemnification and advancement of expenses under the DGCL with the same scope and effect as the foregoing indemnification of indemnitees.</w:t>
      </w:r>
    </w:p>
    <w:p>
      <w:pPr>
        <w:spacing w:after="0" w:line="18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Procedure for Indemnification</w:t>
      </w:r>
      <w:r>
        <w:rPr>
          <w:rFonts w:ascii="Arial" w:cs="Arial" w:eastAsia="Arial" w:hAnsi="Arial"/>
          <w:sz w:val="16"/>
          <w:szCs w:val="16"/>
          <w:color w:val="auto"/>
        </w:rPr>
        <w:t>. Any indemnification or advance of expenses to an indemnitee under Section 1 of this Article V shall be made promptly, and in any event within forty-five (45) days (or, in the case of an advance of expenses, twenty (20) days), upon the written request of the indemnitee. If a determination by the Corporation that the indemnitee is entitled to indemnification pursuant to this Article V is required, and the Corporation fails to respond within sixty (60) days to a written request for indemnification, the Corporation shall be deemed to have approved the request. If the Corporation denies a written request for indemnification or advance of expenses to an indemnitee, in whole or in part, or if payment in full pursuant to such request is not made within forty-five (45) days (or, in the case of an advance of expenses, twenty (20) days), the right to indemnification or advances as granted by this Article V shall be enforceable by such indemnitee in any court of competent jurisdiction. Such indemnitee’s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the advance of expenses where the undertaking required pursuant to Section 1 of this Article V, if any, has been tendered to the Corporation) that the indemnitee has not met the standards of conduct which make it permissible under the DGCL for the Corporation to indemnify the indemnitee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indemnitee is proper in the circumstances because he or she has met the applicable standard of conduct set forth in the DGCL, nor an actual determination by the Corporation (including its Board of Directors, independent legal counsel or its stockholders) that the indemnitee has not met such applicable standard of conduct, shall be a defense to the action or create a presumption that the indemnitee has not met the applicable standard of conduct. The procedure for indemnification of any person (other than an indemnitee) for whom indemnification is provided pursuant to Section 1 of this Article V shall be the same procedure set forth in this Section 2 of Article V for any indemnitee unless otherwise set forth in the action of the Board of Directors providing indemnification for such other person.</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Service for Subsidiaries</w:t>
      </w:r>
      <w:r>
        <w:rPr>
          <w:rFonts w:ascii="Arial" w:cs="Arial" w:eastAsia="Arial" w:hAnsi="Arial"/>
          <w:sz w:val="18"/>
          <w:szCs w:val="18"/>
          <w:color w:val="auto"/>
        </w:rPr>
        <w:t>. Any person serving as a director or officer of another corporation, partnership, limited liability company, joint venture or other enterprise, at least 50% of the equity interests (measured by economic and voting power) of which are owned by the Corporation, shall be conclusively presumed to be serving in such capacity at the request of the Corporation.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Reliance</w:t>
      </w:r>
      <w:r>
        <w:rPr>
          <w:rFonts w:ascii="Arial" w:cs="Arial" w:eastAsia="Arial" w:hAnsi="Arial"/>
          <w:sz w:val="18"/>
          <w:szCs w:val="18"/>
          <w:color w:val="auto"/>
        </w:rPr>
        <w:t>. Any person who after the date of the adoption of this Article V becomes or remains a director or officer of the Corporation or serves at the request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8" w:name="page159"/>
    <w:bookmarkEnd w:id="158"/>
    <w:p>
      <w:pPr>
        <w:jc w:val="both"/>
        <w:spacing w:after="0" w:line="259" w:lineRule="auto"/>
        <w:rPr>
          <w:sz w:val="20"/>
          <w:szCs w:val="20"/>
          <w:color w:val="auto"/>
        </w:rPr>
      </w:pPr>
      <w:r>
        <w:rPr>
          <w:rFonts w:ascii="Arial" w:cs="Arial" w:eastAsia="Arial" w:hAnsi="Arial"/>
          <w:sz w:val="18"/>
          <w:szCs w:val="18"/>
          <w:color w:val="auto"/>
        </w:rPr>
        <w:t>Corporation as a director or officer of another corporation, partnership, limited liability company, joint venture or other enterprise shall be conclusively presumed to have relied on the rights to indemnity, advance of expenses and other rights contained in this Article V in entering into or continuing such service. The rights to indemnification and to the advance of expenses conferred in this Article V shall apply to claims made against an indemnitee arising out of acts or omissions which occurred or occur both prior and subsequent to the adoption hereof.</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the advance of expenses conferred in this Article V shall not be exclusive of any other right which any person may have or hereafter acquire under the Certificate of Incorporation or under any statute, Bylaw, agreement, vote of stockholders or disinterested directors or otherwise.</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on its own behalf and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5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Interpretation</w:t>
      </w:r>
      <w:r>
        <w:rPr>
          <w:rFonts w:ascii="Arial" w:cs="Arial" w:eastAsia="Arial" w:hAnsi="Arial"/>
          <w:sz w:val="17"/>
          <w:szCs w:val="17"/>
          <w:color w:val="auto"/>
        </w:rPr>
        <w:t>. Any reference to an officer of the Corporation in this Article V shall be deemed to refer exclusively to the Chief Executive Officer, President, Corporate Secretary and Treasurer appointed pursuant to Article IV of these Bylaws, and to any Vice President, Assistant Corporate Secretary, Assistant Treasurer, or other officer of the Corporation appointed by (x) the Board of Directors pursuant to Article IV of these Bylaws or (y) an officer to whom the Board of Directors has delegated the power to appoint officers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V.</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w:t>
      </w:r>
      <w:r>
        <w:rPr>
          <w:rFonts w:ascii="Arial" w:cs="Arial" w:eastAsia="Arial" w:hAnsi="Arial"/>
          <w:sz w:val="18"/>
          <w:szCs w:val="18"/>
          <w:color w:val="auto"/>
        </w:rPr>
        <w:t>. Unless the Board of Directors provides otherwise, shares of stock of the Corporation shall be uncertificated. If any shares of stock of the Corporation are represented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5" w:right="239" w:bottom="1440" w:gutter="0" w:footer="0" w:header="0"/>
        </w:sectPr>
      </w:pPr>
    </w:p>
    <w:bookmarkStart w:id="159" w:name="page160"/>
    <w:bookmarkEnd w:id="159"/>
    <w:p>
      <w:pPr>
        <w:jc w:val="both"/>
        <w:spacing w:after="0" w:line="270" w:lineRule="auto"/>
        <w:rPr>
          <w:sz w:val="20"/>
          <w:szCs w:val="20"/>
          <w:color w:val="auto"/>
        </w:rPr>
      </w:pPr>
      <w:r>
        <w:rPr>
          <w:rFonts w:ascii="Arial" w:cs="Arial" w:eastAsia="Arial" w:hAnsi="Arial"/>
          <w:sz w:val="17"/>
          <w:szCs w:val="17"/>
          <w:color w:val="auto"/>
        </w:rPr>
        <w:t>by a certificate, every holder of stock in the Corporation represented by a certificate shall be entitled to have the certificate signed by, or in the name of, the Corporation by any two authorized officers of the Corporation representing the number of shares registered in certificate form. If the Board of Directors shall direct that any shares of stock of the Corporation shall be represented by certificates, the Chairman of the Board, the Chief Executive Officer, the President, any Vice President, the Treasurer, any Assistant Treasurer, the Corporate Secretary, any Assistant Corporate Secretary and any other officer designated by the Board of Directors shall be deemed to be authorized for purposes of this Section 1 of Article VI to sign certificates representing shares of the Corporation’s capital stock. Any or all of the signatures on any certificate may be a facsimile. In case any officer, transfer agent or registrar who has signed, or whose facsimile signature or signatures have been placed on, any such certificate shall have ceased to be such officer, transfer agent or registrar before such certificate is issued, such certificate may nevertheless be issued by the Corporation with the same effect as if such person were such officer, transfer agent or registrar at the date of issue.</w:t>
      </w:r>
    </w:p>
    <w:p>
      <w:pPr>
        <w:spacing w:after="0" w:line="18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law and in these Bylaws. In the case of any shares represented by certificates, transfers of stock shall be made on the books of the Corporation only by the person named in the certificate or by his, her or its attorney lawfully constituted in writing and upon the surrender of the certificate therefor, which shall be canceled before a new certificate shall be issued. Upon the receipt of proper transfer instructions from the registered owner of uncertificated shares, such uncertificated shares shall be cancelled, issuance of new equivalent uncertificated shares shall be made to the stockholder entitled thereto and the transaction shall be recorded upon the books of the Corporation. If the Corporation has a transfer agent or registrar acting on its behalf, the signature of any officer or representative thereof may be in facsimile. The Board of Directors may appoint a transfer agent and one or more co-transfer agents and registrar and one or more co-registrars and may make or authorize such agent to make all such rules and regulations deemed expedient concerning the issue, transfer and registration of shares of the Corporation’s capital stock..</w:t>
      </w:r>
    </w:p>
    <w:p>
      <w:pPr>
        <w:spacing w:after="0" w:line="16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Corporation may issue a new certificate or certificates or uncertificated shares in place of any certificate or certificates previously issued by the Corporation alleged to have been lost, stolen or destroyed, upon the making of an affidavit of that fact by the person claiming the certificate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 or uncertificated shares.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Fixing a Record Date for Stockholder Meetings</w:t>
      </w:r>
      <w:r>
        <w:rPr>
          <w:rFonts w:ascii="Arial" w:cs="Arial" w:eastAsia="Arial" w:hAnsi="Arial"/>
          <w:sz w:val="18"/>
          <w:szCs w:val="18"/>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days nor less than ten (10)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0" w:name="page161"/>
    <w:bookmarkEnd w:id="160"/>
    <w:p>
      <w:pPr>
        <w:jc w:val="both"/>
        <w:spacing w:after="0" w:line="290" w:lineRule="auto"/>
        <w:rPr>
          <w:sz w:val="20"/>
          <w:szCs w:val="20"/>
          <w:color w:val="auto"/>
        </w:rPr>
      </w:pPr>
      <w:r>
        <w:rPr>
          <w:rFonts w:ascii="Arial" w:cs="Arial" w:eastAsia="Arial" w:hAnsi="Arial"/>
          <w:sz w:val="16"/>
          <w:szCs w:val="16"/>
          <w:color w:val="auto"/>
        </w:rPr>
        <w:t>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Fixing a Record Date for Other Purposes</w:t>
      </w:r>
      <w:r>
        <w:rPr>
          <w:rFonts w:ascii="Arial" w:cs="Arial" w:eastAsia="Arial" w:hAnsi="Arial"/>
          <w:sz w:val="18"/>
          <w:szCs w:val="18"/>
          <w:color w:val="auto"/>
        </w:rPr>
        <w:t>. 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may treat the registered owner of any shares of its stock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in accordance with applicable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Board of Directors from time to time, in its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161" w:name="page162"/>
    <w:bookmarkEnd w:id="161"/>
    <w:p>
      <w:pPr>
        <w:jc w:val="both"/>
        <w:ind w:firstLine="405"/>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Checks, Drafts or Orders</w:t>
      </w:r>
      <w:r>
        <w:rPr>
          <w:rFonts w:ascii="Arial" w:cs="Arial" w:eastAsia="Arial" w:hAnsi="Arial"/>
          <w:sz w:val="18"/>
          <w:szCs w:val="18"/>
          <w:color w:val="auto"/>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spacing w:after="0" w:line="18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Contracts; Appointing Attorneys; Voting Securities</w:t>
      </w:r>
      <w:r>
        <w:rPr>
          <w:rFonts w:ascii="Arial" w:cs="Arial" w:eastAsia="Arial" w:hAnsi="Arial"/>
          <w:sz w:val="17"/>
          <w:szCs w:val="17"/>
          <w:color w:val="auto"/>
        </w:rPr>
        <w:t>. In addition to the powers otherwise granted to officers pursuant to Article IV hereof, the Board of Directors or Chief Executive Officer may authorize any officer or officers, or any agent or agents, of the Corporation to enter into any contract or to execute and deliver any instrument in the name of and on behalf of the Corporation, and such authority may be general or confined to specific instances. Without limiting the foregoing, unless otherwise provided by resolution adopted by the Board of Directors, the Chief Executive Officer, the President, the Corporate Secretary and the Treasurer may enter into any contract or execute and deliver any instrument in the name and on behalf of the Corporation. Unless otherwise provided by resolution adopted by the Board of Directors, the Chairman of the Board, the Chief Executive Officer, the President or any other officer delegated such power by the Board of Directors may from time to time appoint an attorney or attorneys or agent or agents of the Corporation, in the name and on behalf of the Corporation, to cast the votes that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the immediately preceding sentence that may be delegated to an attorney or agent may also be exercised directly by the Chairman of the Board, the Chief Executive Officer or the President, or any other officer to which such power has been delegated by the Board of Directors or the Chief Executive Officer.</w:t>
      </w:r>
    </w:p>
    <w:p>
      <w:pPr>
        <w:spacing w:after="0" w:line="1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Unless otherwise fixed by a resolution of the Board of Directors, the fiscal year of the Corporation shall be the annual period ending on December 31 of each year.</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a corporate seal which shall have inscribed thereon the name of the Corporation and such other information as the Board of Directors may deem necessary or convenient. The seal may be used by causing it or a facsimile thereof to be impressed, affixed or reproduced or may be used in any other lawful manner.</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Books and Records</w:t>
      </w:r>
      <w:r>
        <w:rPr>
          <w:rFonts w:ascii="Arial" w:cs="Arial" w:eastAsia="Arial" w:hAnsi="Arial"/>
          <w:sz w:val="18"/>
          <w:szCs w:val="18"/>
          <w:color w:val="auto"/>
        </w:rPr>
        <w:t>. Except to the extent otherwise required by law, the books and records of the Corporation shall be kept at such place or places within or outside the State of Delaware as may be determined from time to time by the Board of Directors.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62" w:name="page163"/>
    <w:bookmarkEnd w:id="162"/>
    <w:p>
      <w:pPr>
        <w:jc w:val="both"/>
        <w:ind w:firstLine="432"/>
        <w:spacing w:after="0" w:line="264" w:lineRule="auto"/>
        <w:rPr>
          <w:sz w:val="20"/>
          <w:szCs w:val="20"/>
          <w:color w:val="auto"/>
        </w:rPr>
      </w:pPr>
      <w:r>
        <w:rPr>
          <w:rFonts w:ascii="Arial" w:cs="Arial" w:eastAsia="Arial" w:hAnsi="Arial"/>
          <w:sz w:val="18"/>
          <w:szCs w:val="18"/>
          <w:color w:val="auto"/>
        </w:rPr>
        <w:t>Section 8. Inconsistent Provisions. In the event that any provision of these Bylaws is or becomes inconsistent with any provision of the Certificate of Incorporation, the DGCL or any other applicable law, the provision of these Bylaws shall not be given any effect to the extent of such inconsistency but shall otherwise be given full force and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Unless otherwise provided by the Certificate of Incorporation, the Board of Directors shall have the power without the assent or vote of the stockholders to adopt, amend, alter or repeal the Bylaws. The stockholders shall have the power to adopt, amend, alter or repeal the Bylaws, provided that, in addition to any affirmative vote of the holders of any particular class or series of the capital stock of the Corporation required by law or by the Certificate of Incorporation or these Bylaws, the affirmative vote of the holders of at least two-thirds (66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all of the outstanding shares of capital stock of the Corporation entitled to vote thereon, voting together as a single class, shall be required in order for the stockholders of the Corporation to alter, amend or repeal, in whole or in part, any provision of the Bylaws or to adopt any provision inconsistent therewith.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BRIGHTHOUSE SERVICES, LLC AUXILIARY SAVINGS PLAN</w:t>
      </w:r>
    </w:p>
    <w:p>
      <w:pPr>
        <w:spacing w:after="0" w:line="17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(Effective January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20"/>
          </w:cols>
          <w:pgMar w:left="1440" w:top="121" w:right="239" w:bottom="1440" w:gutter="0" w:footer="0" w:header="0"/>
        </w:sectPr>
      </w:pPr>
    </w:p>
    <w:bookmarkStart w:id="164" w:name="page165"/>
    <w:bookmarkEnd w:id="164"/>
    <w:p>
      <w:pPr>
        <w:ind w:left="4220"/>
        <w:spacing w:after="0"/>
        <w:rPr>
          <w:sz w:val="20"/>
          <w:szCs w:val="20"/>
          <w:color w:val="auto"/>
        </w:rPr>
      </w:pPr>
      <w:r>
        <w:rPr>
          <w:rFonts w:ascii="Arial" w:cs="Arial" w:eastAsia="Arial" w:hAnsi="Arial"/>
          <w:sz w:val="20"/>
          <w:szCs w:val="20"/>
          <w:u w:val="single" w:color="auto"/>
          <w:color w:val="auto"/>
        </w:rPr>
        <w:t>BRIGHTHOUSE SERVICES, LLC AUXILIARY SAVINGS PLAN</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0"/>
          <w:szCs w:val="20"/>
          <w:u w:val="single" w:color="auto"/>
          <w:color w:val="auto"/>
        </w:rPr>
        <w:t>(Effective January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1 - </w:t>
      </w:r>
      <w:r>
        <w:rPr>
          <w:rFonts w:ascii="Arial" w:cs="Arial" w:eastAsia="Arial" w:hAnsi="Arial"/>
          <w:sz w:val="20"/>
          <w:szCs w:val="20"/>
          <w:u w:val="single" w:color="auto"/>
          <w:color w:val="auto"/>
        </w:rPr>
        <w:t>Purpose of Plan and Construction</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purpose of this Plan is to provide retirement benefits on behalf of employees and their Beneficiaries whose Company matching and profit sharing contributions under the Brighthouse Services, LLC Savings Plan and Trust (“BSP Plan”) are reduced or eliminated solely because of the application of the limitations of (i) § 415(c) of the Internal Revenue Code of 1986, as amended (the “Code”), (ii) § 40l(a)(l7) of the Code, or (iii) § 1.415(c)-2(c) of the Income Tax Regulations. This Plan is intended to comply with the Legal Deferral Requirements, and shall be interpreted and administered consistent with that intent.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2 - </w:t>
      </w:r>
      <w:r>
        <w:rPr>
          <w:rFonts w:ascii="Arial" w:cs="Arial" w:eastAsia="Arial" w:hAnsi="Arial"/>
          <w:sz w:val="20"/>
          <w:szCs w:val="20"/>
          <w:u w:val="single" w:color="auto"/>
          <w:color w:val="auto"/>
        </w:rPr>
        <w:t>Definitions</w:t>
      </w:r>
    </w:p>
    <w:p>
      <w:pPr>
        <w:spacing w:after="0" w:line="200" w:lineRule="exact"/>
        <w:rPr>
          <w:sz w:val="20"/>
          <w:szCs w:val="20"/>
          <w:color w:val="auto"/>
        </w:rPr>
      </w:pP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2.1. “Affiliated Company” means any corporation, partnership, joint venture or other business entity which is considered to be a single employer with the Company under § 414(b) or (c) of the Code.</w:t>
      </w:r>
    </w:p>
    <w:p>
      <w:pPr>
        <w:spacing w:after="0" w:line="200" w:lineRule="exact"/>
        <w:rPr>
          <w:sz w:val="20"/>
          <w:szCs w:val="20"/>
          <w:color w:val="auto"/>
        </w:rPr>
      </w:pP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2.2. “Average Accumulated Elective Deferral Percentage” means the percentage which is equal to the Participant’s accumulated elective deferral amount divided by either the limit of § 401(a) (17) or such Participant’s Compensation, whichever is lower.</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2.3. “Beneficiary” means one or more persons designated by a Participant or otherwise determined under § 3.7 to receive that portion of the Participant’s vested account balance which has not been distributed as a result of his/her death.</w:t>
      </w:r>
    </w:p>
    <w:p>
      <w:pPr>
        <w:spacing w:after="0" w:line="200" w:lineRule="exact"/>
        <w:rPr>
          <w:sz w:val="20"/>
          <w:szCs w:val="20"/>
          <w:color w:val="auto"/>
        </w:rPr>
      </w:pPr>
    </w:p>
    <w:p>
      <w:pPr>
        <w:spacing w:after="0" w:line="24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“Company” means Brighthouse Services, LLC or any successor corporation thereto.</w:t>
      </w: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2.5 “Compensation” means all amounts as defined in the BSP Plan, except that “Compensation” for purposes of this plan shall not be limited by § 401(a)(17) of the Code and, for the avoidance of doubt, shall include pre-tax voluntary deferrals to any Brighthouse Services, LLC voluntary deferred compensation plan. This definition is intended to specify the exclusive Compensation that will be considered under this Plan.</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any other provision in this Plan or preceding language of this definition; in no event will amounts paid: in settlement, as the result of an arbitration award, or judgment that is the result of any type of claim against the Company or its Affiliates be considered Compensation under this Plan.</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2.6. “Disability” means when a Participant continues to be disabled for twenty-four months on company records and is terminated as an employee as per company policy. .</w:t>
      </w:r>
    </w:p>
    <w:p>
      <w:pPr>
        <w:spacing w:after="0" w:line="200" w:lineRule="exact"/>
        <w:rPr>
          <w:sz w:val="20"/>
          <w:szCs w:val="20"/>
          <w:color w:val="auto"/>
        </w:rPr>
      </w:pP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“Forfeited” means Company contributions on behalf of a Participant will not be payable.</w:t>
      </w:r>
    </w:p>
    <w:p>
      <w:pPr>
        <w:spacing w:after="0" w:line="200" w:lineRule="exact"/>
        <w:rPr>
          <w:sz w:val="20"/>
          <w:szCs w:val="20"/>
          <w:color w:val="auto"/>
        </w:rPr>
      </w:pPr>
    </w:p>
    <w:p>
      <w:pPr>
        <w:spacing w:after="0" w:line="2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color w:val="auto"/>
        </w:rPr>
        <w:t>“Legal Deferral Requirements” means requirements under law to achieve deferral of income taxation, including but not limited to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409A of the Code and any regulations promulgated thereunder.</w:t>
      </w:r>
    </w:p>
    <w:p>
      <w:pPr>
        <w:sectPr>
          <w:pgSz w:w="11900" w:h="16838" w:orient="portrait"/>
          <w:cols w:equalWidth="0" w:num="1">
            <w:col w:w="11420"/>
          </w:cols>
          <w:pgMar w:left="240" w:top="825"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825" w:right="239" w:bottom="1440" w:gutter="0" w:footer="0" w:header="0"/>
          <w:type w:val="continuous"/>
        </w:sectPr>
      </w:pPr>
    </w:p>
    <w:bookmarkStart w:id="165" w:name="page166"/>
    <w:bookmarkEnd w:id="165"/>
    <w:p>
      <w:pPr>
        <w:jc w:val="both"/>
        <w:spacing w:after="0" w:line="260" w:lineRule="auto"/>
        <w:rPr>
          <w:sz w:val="20"/>
          <w:szCs w:val="20"/>
          <w:color w:val="auto"/>
        </w:rPr>
      </w:pPr>
      <w:r>
        <w:rPr>
          <w:rFonts w:ascii="Arial" w:cs="Arial" w:eastAsia="Arial" w:hAnsi="Arial"/>
          <w:sz w:val="19"/>
          <w:szCs w:val="19"/>
          <w:color w:val="auto"/>
        </w:rPr>
        <w:t>2.9. “Participant” means each participant in the BSP Plan who has elected to make before-tax salary deferral contributions or Roth 40l(k) contributions to the BSP Plan with respect to one or more payroll periods during the Plan Year and whose Company matching and profit sharing contributions under the BSP Plan during any payroll period for which such before-tax salary deferral contributions or Roth 401(k) contributions election is in effect are reduced or eliminated because of the application of the limitations of (i) § 415 of the Code, (ii) § 40l(a)(l7) of the Code, or (iii) § 1.415(c)-2(c) of the Income Tax Regulations, shall be a Participant under this Plan.</w:t>
      </w:r>
    </w:p>
    <w:p>
      <w:pPr>
        <w:spacing w:after="0" w:line="200" w:lineRule="exact"/>
        <w:rPr>
          <w:sz w:val="20"/>
          <w:szCs w:val="20"/>
          <w:color w:val="auto"/>
        </w:rPr>
      </w:pPr>
    </w:p>
    <w:p>
      <w:pPr>
        <w:spacing w:after="0" w:line="25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color w:val="auto"/>
        </w:rPr>
        <w:t>“Plan” means the Brighthouse Services, LLC Auxiliary Savings Plan.</w:t>
      </w:r>
    </w:p>
    <w:p>
      <w:pPr>
        <w:spacing w:after="0" w:line="200" w:lineRule="exact"/>
        <w:rPr>
          <w:sz w:val="20"/>
          <w:szCs w:val="20"/>
          <w:color w:val="auto"/>
        </w:rPr>
      </w:pP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2.11. “Plan Administrator” means the Plan Administrator appointed by the Chief Human Resource officer of Brighthouse Services, LLC including any person to whom such office or specific administrative rights have been delegated.</w:t>
      </w:r>
    </w:p>
    <w:p>
      <w:pPr>
        <w:spacing w:after="0" w:line="200" w:lineRule="exact"/>
        <w:rPr>
          <w:sz w:val="20"/>
          <w:szCs w:val="20"/>
          <w:color w:val="auto"/>
        </w:rPr>
      </w:pP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color w:val="auto"/>
        </w:rPr>
        <w:t>“Plan Year” means the calendar year.</w:t>
      </w:r>
    </w:p>
    <w:p>
      <w:pPr>
        <w:spacing w:after="0" w:line="200" w:lineRule="exact"/>
        <w:rPr>
          <w:sz w:val="20"/>
          <w:szCs w:val="20"/>
          <w:color w:val="auto"/>
        </w:rPr>
      </w:pPr>
    </w:p>
    <w:p>
      <w:pPr>
        <w:spacing w:after="0" w:line="2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2.13. “Termination of Employment” means the earlier of death or other termination of employment provided that the termination of employment qualifies as a separation from service as defined within the meaning § 409A(a)(2)(A)(i) of Code and Treasury Regulation § 1.409A-1(h)(1), or Disability.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3 - </w:t>
      </w:r>
      <w:r>
        <w:rPr>
          <w:rFonts w:ascii="Arial" w:cs="Arial" w:eastAsia="Arial" w:hAnsi="Arial"/>
          <w:sz w:val="20"/>
          <w:szCs w:val="20"/>
          <w:u w:val="single" w:color="auto"/>
          <w:color w:val="auto"/>
        </w:rPr>
        <w:t>Benefits, Vesting, Investment and Distributions</w:t>
      </w:r>
    </w:p>
    <w:p>
      <w:pPr>
        <w:spacing w:after="0" w:line="200" w:lineRule="exact"/>
        <w:rPr>
          <w:sz w:val="20"/>
          <w:szCs w:val="20"/>
          <w:color w:val="auto"/>
        </w:rPr>
      </w:pP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Company Contributions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both"/>
        <w:ind w:firstLine="656"/>
        <w:spacing w:after="0" w:line="258" w:lineRule="auto"/>
        <w:tabs>
          <w:tab w:leader="none" w:pos="1120"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For each Plan Year, the Company shall make contributions to this Plan, as described in subsections (b) and (c), on behalf of each Participant, the amount of Company contributions comparable to the amount of Company Profit Sharing Contributions and Company Matching Contributions that would have been made to the BSP Plan had the limitations of §§ 401(a)(17) and/or 415(c) of the Code and § 1.415(c)-2(c) of the Income Tax Regulations not applied to the Participant’s account under the BSP Plan, subject to subsection (d). Notwithstanding any other provision in this Plan or preceding language of this subsection 3.1; in no event will amounts paid: in settlement, as the result of an arbitration award, or judgment that is the result of any type of claim against the Company or its Affiliates be considered Compensation or eligible for contributions under this Plan.</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jc w:val="both"/>
        <w:ind w:firstLine="656"/>
        <w:spacing w:after="0" w:line="291" w:lineRule="auto"/>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Company Matching Contribution</w:t>
      </w:r>
      <w:r>
        <w:rPr>
          <w:rFonts w:ascii="Arial" w:cs="Arial" w:eastAsia="Arial" w:hAnsi="Arial"/>
          <w:sz w:val="18"/>
          <w:szCs w:val="18"/>
          <w:color w:val="auto"/>
        </w:rPr>
        <w:t>. On behalf of an eligible Participant, the Company shall credit to his or her account an amount equal to the Average Accumulated Elective Deferral Percentage, but not in excess of six percentage (6%), of such Participant’s Compensation during the Plan Year in excess of the applicable annual limits under Code of §§ 401(a) (17) and/or 415(c), as adjusted from time to time.</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both"/>
        <w:ind w:firstLine="656"/>
        <w:spacing w:after="0" w:line="275" w:lineRule="auto"/>
        <w:tabs>
          <w:tab w:leader="none" w:pos="106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Company Profit Sharing Contribution</w:t>
      </w:r>
      <w:r>
        <w:rPr>
          <w:rFonts w:ascii="Arial" w:cs="Arial" w:eastAsia="Arial" w:hAnsi="Arial"/>
          <w:sz w:val="18"/>
          <w:szCs w:val="18"/>
          <w:color w:val="auto"/>
        </w:rPr>
        <w:t>. On behalf of an eligible Participant, the Company shall credit to his or her account an equal to three percent (3%) of such Participant’s Compensation during the Plan Year in excess of the applicable annual limits under Code §§ 401(a)</w:t>
      </w:r>
    </w:p>
    <w:p>
      <w:pPr>
        <w:ind w:left="380" w:hanging="372"/>
        <w:spacing w:after="0"/>
        <w:tabs>
          <w:tab w:leader="none" w:pos="3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and/or 415(c), as adjusted from time to time, without regard to any amounts deferred under this Plan.</w:t>
      </w:r>
    </w:p>
    <w:p>
      <w:pPr>
        <w:spacing w:after="0" w:line="200" w:lineRule="exact"/>
        <w:rPr>
          <w:rFonts w:ascii="Arial" w:cs="Arial" w:eastAsia="Arial" w:hAnsi="Arial"/>
          <w:sz w:val="20"/>
          <w:szCs w:val="20"/>
          <w:color w:val="auto"/>
        </w:rPr>
      </w:pPr>
    </w:p>
    <w:p>
      <w:pPr>
        <w:spacing w:after="0" w:line="269" w:lineRule="exact"/>
        <w:rPr>
          <w:rFonts w:ascii="Arial" w:cs="Arial" w:eastAsia="Arial" w:hAnsi="Arial"/>
          <w:sz w:val="20"/>
          <w:szCs w:val="20"/>
          <w:color w:val="auto"/>
        </w:rPr>
      </w:pPr>
    </w:p>
    <w:p>
      <w:pPr>
        <w:jc w:val="both"/>
        <w:ind w:firstLine="656"/>
        <w:spacing w:after="0" w:line="291" w:lineRule="auto"/>
        <w:tabs>
          <w:tab w:leader="none" w:pos="109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Special Contributions</w:t>
      </w:r>
      <w:r>
        <w:rPr>
          <w:rFonts w:ascii="Arial" w:cs="Arial" w:eastAsia="Arial" w:hAnsi="Arial"/>
          <w:sz w:val="18"/>
          <w:szCs w:val="18"/>
          <w:color w:val="auto"/>
        </w:rPr>
        <w:t>. Company Matching Contributions and Profit Sharing Contributions, as set forth in subsections (b) and (c), respectively, are made to the Plan on behalf of certain Participants to restitute the Company contributions that would have been made to their MetLife Auxiliary Savings and Investment Plan account for the deferral election made in 2015 under the legacy MetLife Leadership Deferred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25" w:right="239" w:bottom="1440" w:gutter="0" w:footer="0" w:header="0"/>
        </w:sectPr>
      </w:pPr>
    </w:p>
    <w:bookmarkStart w:id="166" w:name="page167"/>
    <w:bookmarkEnd w:id="166"/>
    <w:p>
      <w:pPr>
        <w:jc w:val="both"/>
        <w:spacing w:after="0" w:line="260" w:lineRule="auto"/>
        <w:rPr>
          <w:sz w:val="20"/>
          <w:szCs w:val="20"/>
          <w:color w:val="auto"/>
        </w:rPr>
      </w:pPr>
      <w:r>
        <w:rPr>
          <w:rFonts w:ascii="Arial" w:cs="Arial" w:eastAsia="Arial" w:hAnsi="Arial"/>
          <w:sz w:val="20"/>
          <w:szCs w:val="20"/>
          <w:color w:val="auto"/>
        </w:rPr>
        <w:t>Compensation Plan for compensation payable in 2017. A list of the Participants and the restitution amount contributed on behalf of each Participant are provided in Appendix A.</w:t>
      </w:r>
    </w:p>
    <w:p>
      <w:pPr>
        <w:spacing w:after="0" w:line="200" w:lineRule="exact"/>
        <w:rPr>
          <w:sz w:val="20"/>
          <w:szCs w:val="20"/>
          <w:color w:val="auto"/>
        </w:rPr>
      </w:pP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Vesting of Company Contributions</w:t>
      </w:r>
      <w:r>
        <w:rPr>
          <w:rFonts w:ascii="Arial" w:cs="Arial" w:eastAsia="Arial" w:hAnsi="Arial"/>
          <w:sz w:val="19"/>
          <w:szCs w:val="19"/>
          <w:color w:val="auto"/>
        </w:rPr>
        <w:t>. Company contributions under this Plan shall vest in accordance with the vesting schedule applicable to Company Profit Sharing Contributions and Company Matching Contributions under the BSP Plan. Any Company contributions that do not vest pursuant to the terms of the BSP Plan shall be Forfeited, except as provided under Article 10.</w:t>
      </w:r>
    </w:p>
    <w:p>
      <w:pPr>
        <w:spacing w:after="0" w:line="200" w:lineRule="exact"/>
        <w:rPr>
          <w:sz w:val="20"/>
          <w:szCs w:val="20"/>
          <w:color w:val="auto"/>
        </w:rPr>
      </w:pP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Elections and Tracking of Investment Performance</w:t>
      </w:r>
      <w:r>
        <w:rPr>
          <w:rFonts w:ascii="Arial" w:cs="Arial" w:eastAsia="Arial" w:hAnsi="Arial"/>
          <w:sz w:val="19"/>
          <w:szCs w:val="19"/>
          <w:color w:val="auto"/>
        </w:rPr>
        <w:t>. Subject to the Company’s consent and sole discretion, a Participant may elect to hypothetically make an investment allocation of future Company contributions as well as existing balances. The investment allocation for this Plan shall track the performance of one or more of the funds under the BSP Plan, as selected by the Participant under this Plan. Thus, the Participant’s account balance under this Plan shall be adjusted for income, gains and losses in the same manner as if such Participant had directed the investment of his or her account balance among one or more of the funds under the BSP Plan. The terms, conditions and procedures under which a Participant may elect to hypothetically make an investment allocation of future contributions and existing balances shall be subject to the same rules and restrictions that apply under the BSP Plan. If a Participant fails to specify the investment allocation of contributions to this Plan, then earnings, gains and/or losses on such contributions shall be determined using the returns from the BSP Plan qualified default investment alternative until changed by the Participant. Notwithstanding any provision to the contrary in this Plan, the Plan Administrator has the ability to modify the hypothetical investments in a manner that differs from the investment options available under the BSP Plan.</w:t>
      </w:r>
    </w:p>
    <w:p>
      <w:pPr>
        <w:spacing w:after="0" w:line="200" w:lineRule="exact"/>
        <w:rPr>
          <w:sz w:val="20"/>
          <w:szCs w:val="20"/>
          <w:color w:val="auto"/>
        </w:rPr>
      </w:pPr>
    </w:p>
    <w:p>
      <w:pPr>
        <w:spacing w:after="0" w:line="258"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u w:val="single" w:color="auto"/>
          <w:color w:val="auto"/>
        </w:rPr>
        <w:t>Timing and Mode of Payment</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both"/>
        <w:ind w:firstLine="656"/>
        <w:spacing w:after="0" w:line="250" w:lineRule="auto"/>
        <w:tabs>
          <w:tab w:leader="none" w:pos="1066"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Timing and Mode of Payment</w:t>
      </w:r>
      <w:r>
        <w:rPr>
          <w:rFonts w:ascii="Arial" w:cs="Arial" w:eastAsia="Arial" w:hAnsi="Arial"/>
          <w:sz w:val="20"/>
          <w:szCs w:val="20"/>
          <w:color w:val="auto"/>
        </w:rPr>
        <w:t>. The Participant shall receive a distribution of his or her vested account balance under this Plan as a single lump sum as soon as administratively practicable after a Participant’s Termination of Employment. All payments under this Plan shall be made in cash, subject to subsection (b).</w:t>
      </w:r>
    </w:p>
    <w:p>
      <w:pPr>
        <w:spacing w:after="0" w:line="200" w:lineRule="exact"/>
        <w:rPr>
          <w:rFonts w:ascii="Arial" w:cs="Arial" w:eastAsia="Arial" w:hAnsi="Arial"/>
          <w:sz w:val="20"/>
          <w:szCs w:val="20"/>
          <w:color w:val="auto"/>
        </w:rPr>
      </w:pPr>
    </w:p>
    <w:p>
      <w:pPr>
        <w:spacing w:after="0" w:line="256" w:lineRule="exact"/>
        <w:rPr>
          <w:rFonts w:ascii="Arial" w:cs="Arial" w:eastAsia="Arial" w:hAnsi="Arial"/>
          <w:sz w:val="20"/>
          <w:szCs w:val="20"/>
          <w:color w:val="auto"/>
        </w:rPr>
      </w:pPr>
    </w:p>
    <w:p>
      <w:pPr>
        <w:jc w:val="both"/>
        <w:ind w:firstLine="656"/>
        <w:spacing w:after="0" w:line="232" w:lineRule="auto"/>
        <w:tabs>
          <w:tab w:leader="none" w:pos="114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Specified Employees</w:t>
      </w:r>
      <w:r>
        <w:rPr>
          <w:rFonts w:ascii="Arial" w:cs="Arial" w:eastAsia="Arial" w:hAnsi="Arial"/>
          <w:sz w:val="19"/>
          <w:szCs w:val="19"/>
          <w:color w:val="auto"/>
        </w:rPr>
        <w:t>. Each Year the Plan must identify individuals who are “Specified Employees” as that term is defined under 409A and the treasury regulations thereunder. The determination of who is a Specified Employee will be based on taxable compensation (as shown in Box 1 of each Participant’s W-2) paid during the 12-month period ending September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each calendar year. Therefore, September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each year will serve as the Specified Employee identification date for the Plan. The list of Specified Employees generated on September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each year will be effective from January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through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subsequent Plan year. Any Participant identified as a Specified Employee on the applicable identification date, whose benefit is payable due to a separation from service as defined under Code Section 409A and the applicable Treasury Regulations, shall not have his/her 409A benefits paid under this Plan earlier than six months following his/her separation from service.</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In-Service Withdrawals and Loans Prohibited</w:t>
      </w:r>
      <w:r>
        <w:rPr>
          <w:rFonts w:ascii="Arial" w:cs="Arial" w:eastAsia="Arial" w:hAnsi="Arial"/>
          <w:sz w:val="20"/>
          <w:szCs w:val="20"/>
          <w:color w:val="auto"/>
        </w:rPr>
        <w:t>. No Participant benefits under this Plan will be eligible for distribution as an in-service withdrawal by a Participant or as a loan to any Participant.</w:t>
      </w:r>
    </w:p>
    <w:p>
      <w:pPr>
        <w:spacing w:after="0" w:line="200" w:lineRule="exact"/>
        <w:rPr>
          <w:sz w:val="20"/>
          <w:szCs w:val="20"/>
          <w:color w:val="auto"/>
        </w:rPr>
      </w:pP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Distributions after Participant’s Death</w:t>
      </w:r>
      <w:r>
        <w:rPr>
          <w:rFonts w:ascii="Arial" w:cs="Arial" w:eastAsia="Arial" w:hAnsi="Arial"/>
          <w:sz w:val="18"/>
          <w:szCs w:val="18"/>
          <w:color w:val="auto"/>
        </w:rPr>
        <w:t>. In the event of the Participant’s death, a single sum, equal to the Participant’s accrued, vested benefit shall be paid to the Participant’s Beneficiary (determined in accordance with § 3.7) as soon as administratively practicable after receipt by the Plan Administrator of notification of the Participant’s death. If the Participant’s designated Beneficiary has not survived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25" w:right="239" w:bottom="1440" w:gutter="0" w:footer="0" w:header="0"/>
        </w:sectPr>
      </w:pPr>
    </w:p>
    <w:bookmarkStart w:id="167" w:name="page168"/>
    <w:bookmarkEnd w:id="167"/>
    <w:p>
      <w:pPr>
        <w:jc w:val="both"/>
        <w:spacing w:after="0" w:line="260" w:lineRule="auto"/>
        <w:rPr>
          <w:sz w:val="20"/>
          <w:szCs w:val="20"/>
          <w:color w:val="auto"/>
        </w:rPr>
      </w:pPr>
      <w:r>
        <w:rPr>
          <w:rFonts w:ascii="Arial" w:cs="Arial" w:eastAsia="Arial" w:hAnsi="Arial"/>
          <w:sz w:val="20"/>
          <w:szCs w:val="20"/>
          <w:color w:val="auto"/>
        </w:rPr>
        <w:t>Participant, or the Participant has no designated Beneficiary for purposes of the Plan, such lump sum payment shall be made to the Participant’s estate.</w:t>
      </w:r>
    </w:p>
    <w:p>
      <w:pPr>
        <w:spacing w:after="0" w:line="200" w:lineRule="exact"/>
        <w:rPr>
          <w:sz w:val="20"/>
          <w:szCs w:val="20"/>
          <w:color w:val="auto"/>
        </w:rPr>
      </w:pP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Beneficiary</w:t>
      </w:r>
      <w:r>
        <w:rPr>
          <w:rFonts w:ascii="Arial" w:cs="Arial" w:eastAsia="Arial" w:hAnsi="Arial"/>
          <w:sz w:val="18"/>
          <w:szCs w:val="18"/>
          <w:color w:val="auto"/>
        </w:rPr>
        <w:t>. The Plan Administrator shall prescribe the form by which each Participant may designate a beneficiary (who may be named contingently or successively, and among whom payments received under the Plan may be split as indicated by the individual) for purposes of receiving payment of a Participant’s benefit under the Plan after the death of the Participant. Each beneficiary designation will be effective only upon its receipt by the Plan Administrator and shall revoke all prior beneficiary designations by that individual related to the Plan. After receipt, the change shall relate back and take effect as of the date the Participant signed written notice of the change whether or not the Participant is living at the time of receipt, but without prejudice to the Plan Administrator on account of any payment made before receipt of the change. Generally, the Participant’s Beneficiary shall be the beneficiary designated by the Participant under the BSP Plan unless the Participant files a separate beneficiary designation under this Plan. If there is more than one Beneficiary and the beneficiary designation does not specify the percentage of the Participant’s benefit to be paid to each such Beneficiary, each Beneficiary shall share equally in the benefits under the Plan.</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No Duplication of Benefits</w:t>
      </w:r>
      <w:r>
        <w:rPr>
          <w:rFonts w:ascii="Arial" w:cs="Arial" w:eastAsia="Arial" w:hAnsi="Arial"/>
          <w:sz w:val="20"/>
          <w:szCs w:val="20"/>
          <w:color w:val="auto"/>
        </w:rPr>
        <w:t>. Notwithstanding any provision in this Plan to the contrary, no similar benefit that is paid under this Plan shall be paid under any other deferred compensation plan(s) created by the Company or any Affiliated Company.</w:t>
      </w:r>
    </w:p>
    <w:p>
      <w:pPr>
        <w:spacing w:after="0" w:line="200" w:lineRule="exact"/>
        <w:rPr>
          <w:sz w:val="20"/>
          <w:szCs w:val="20"/>
          <w:color w:val="auto"/>
        </w:rPr>
      </w:pPr>
    </w:p>
    <w:p>
      <w:pPr>
        <w:spacing w:after="0" w:line="24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Right of Offset</w:t>
      </w:r>
      <w:r>
        <w:rPr>
          <w:rFonts w:ascii="Arial" w:cs="Arial" w:eastAsia="Arial" w:hAnsi="Arial"/>
          <w:sz w:val="20"/>
          <w:szCs w:val="20"/>
          <w:color w:val="auto"/>
        </w:rPr>
        <w:t>. The Company, at any time, may offset against any amounts as they become due and payable under the Plan, any amounts due from a Participant to the Company or any Affiliated Company regardless of the source of such debt or the circumstances under which it arose. If the Plan pays any benefits to a Participant while the Participant who owes a debt to the Company or an Affiliated Company, such payment by the Plan is not intended to waive the Company’s or any Affiliated Company’s right to offset against a Participant’s future benefits under the Plan and shall not be deemed a waiver of such right.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4 - </w:t>
      </w:r>
      <w:r>
        <w:rPr>
          <w:rFonts w:ascii="Arial" w:cs="Arial" w:eastAsia="Arial" w:hAnsi="Arial"/>
          <w:sz w:val="20"/>
          <w:szCs w:val="20"/>
          <w:u w:val="single" w:color="auto"/>
          <w:color w:val="auto"/>
        </w:rPr>
        <w:t>No Guarantee of Employment; No Limitation on Principle Action</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Nothing in the Plan shall interfere with or limit the right of the Company or an Affiliated Company or person to establish, alter, amend, suspend, revise, interpret, terminate or discontinue the terms and conditions of employment of any individual, including but not limited to compensation or benefits, or to terminate employment of any individual, nor confer on any individual the right to continue employment of any entity or person. Nothing in this Plan shall limit the right of any entity or person to establish alter, amend, suspend, revise, interpret, terminate or discontinue any other compensation or benefit plan. No Compensation shall be treated as compensation for purposes of a Participant’s right under any other plan, policy or program, except as stated or provided in such plan, policy or program. Nothing in the Plan shall be construed to limit, impair, or otherwise affect the right of any entity to make adjustments, reorganizations, or changes to its capital or business structure, or to merge, consolidate, dissolve, liquidate, sell, transfer all or any part of its business or assets.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5 - </w:t>
      </w:r>
      <w:r>
        <w:rPr>
          <w:rFonts w:ascii="Arial" w:cs="Arial" w:eastAsia="Arial" w:hAnsi="Arial"/>
          <w:sz w:val="20"/>
          <w:szCs w:val="20"/>
          <w:u w:val="single" w:color="auto"/>
          <w:color w:val="auto"/>
        </w:rPr>
        <w:t>Unfunded Plan</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Plan and the liabilities created hereunder are completely unfunded. The payment of Participant benefits is the unsecured obligation of the Company and any successor thereto, and is not the obligation, debt, or liability or any other entity or party. Any documentation regarding the Plan and the Participant’s benefits are for recordkeeping purposes only and do not create any right, property, security, or interest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25" w:right="239" w:bottom="1440" w:gutter="0" w:footer="0" w:header="0"/>
        </w:sectPr>
      </w:pPr>
    </w:p>
    <w:bookmarkStart w:id="168" w:name="page169"/>
    <w:bookmarkEnd w:id="168"/>
    <w:p>
      <w:pPr>
        <w:jc w:val="both"/>
        <w:spacing w:after="0" w:line="250" w:lineRule="auto"/>
        <w:rPr>
          <w:sz w:val="20"/>
          <w:szCs w:val="20"/>
          <w:color w:val="auto"/>
        </w:rPr>
      </w:pPr>
      <w:r>
        <w:rPr>
          <w:rFonts w:ascii="Arial" w:cs="Arial" w:eastAsia="Arial" w:hAnsi="Arial"/>
          <w:sz w:val="20"/>
          <w:szCs w:val="20"/>
          <w:color w:val="auto"/>
        </w:rPr>
        <w:t>any assets of the Company or any other party. A Participant’s benefits under this Plan are subject to the claims of the general creditors of the Company. This Plan is entirely separate from the BSP Plan and participation in this Plan gives a Participant no right to any funds or assets of the BSP Plan.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6 - </w:t>
      </w:r>
      <w:r>
        <w:rPr>
          <w:rFonts w:ascii="Arial" w:cs="Arial" w:eastAsia="Arial" w:hAnsi="Arial"/>
          <w:sz w:val="20"/>
          <w:szCs w:val="20"/>
          <w:u w:val="single" w:color="auto"/>
          <w:color w:val="auto"/>
        </w:rPr>
        <w:t>Nontransferability of Participant’s Interest</w:t>
      </w: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Nontransferability</w:t>
      </w:r>
      <w:r>
        <w:rPr>
          <w:rFonts w:ascii="Arial" w:cs="Arial" w:eastAsia="Arial" w:hAnsi="Arial"/>
          <w:sz w:val="20"/>
          <w:szCs w:val="20"/>
          <w:color w:val="auto"/>
        </w:rPr>
        <w:t>. Except to the extent provided in § 6.2, prior to actual payment, Participant shall not have any power or right to receive advances on any payments to be made hereunder or to alienate, dispose of, transfer, assign, mortgage, commute or otherwise encumber any of the benefits payable under the Plan, nor shall such benefits be subject to seizure for the payment of any debts or judgments, or be transferable by operation of law in the event of bankruptcy, insolvency or otherwise.</w:t>
      </w:r>
    </w:p>
    <w:p>
      <w:pPr>
        <w:spacing w:after="0" w:line="200" w:lineRule="exact"/>
        <w:rPr>
          <w:sz w:val="20"/>
          <w:szCs w:val="20"/>
          <w:color w:val="auto"/>
        </w:rPr>
      </w:pPr>
    </w:p>
    <w:p>
      <w:pPr>
        <w:spacing w:after="0" w:line="26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Domestic Relation Orders</w:t>
      </w:r>
      <w:r>
        <w:rPr>
          <w:rFonts w:ascii="Arial" w:cs="Arial" w:eastAsia="Arial" w:hAnsi="Arial"/>
          <w:sz w:val="16"/>
          <w:szCs w:val="16"/>
          <w:color w:val="auto"/>
        </w:rPr>
        <w:t>. The Plan Administrator will distribute, designate or otherwise recognize the attachment of any property of any portion of a Participant’s benefits under the Plan in favor of the Participant’s spouse, former spouse or dependents to the extent that this Plan and the portion of the benefit awarded to an alternate payee is mandated by the terms of a domestic relations order, as defined in § 414(p)(1)(B) of the Code. The Plan Administrator has sole and absolute discretion to determine whether an order is a qualifying domestic relations order.</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7 - </w:t>
      </w:r>
      <w:r>
        <w:rPr>
          <w:rFonts w:ascii="Arial" w:cs="Arial" w:eastAsia="Arial" w:hAnsi="Arial"/>
          <w:sz w:val="20"/>
          <w:szCs w:val="20"/>
          <w:u w:val="single" w:color="auto"/>
          <w:color w:val="auto"/>
        </w:rPr>
        <w:t>Effect of Taxes</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Payments under this Plan will be made after the withholding of any Federal, state or local income, employment or other taxes legally obligated to be withheld, as determined by the Plan Administrator in its sole discretion. All tax liabilities arising out of deferrals under this Plan shall be the sole obligation of the Participant or his/her Beneficiary, including but not limited to any tax liabilities arising out of the Legal Deferral Requirements.</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shall have the ability to withhold any tax amounts (whether income, employment, estate or other tax) it determines, in its discretion, is due and owing from the Participant to the Company, whether the tax obligation arose on account of the benefit under this Plan or arose due to other wages payable by the Company to the Participant. If, however, tax is determined, in the discretion of the Company and in accordance with any process the Plan Administrator approves for the determination and collection of taxes, to be due and owing from the Participant, at a time other than when amounts are due to be paid from this Plan, then the Company will have the discretion to reduce the accrued benefit or account balance of the Participant in this Plan by the amount of any tax that it determines is due and owing.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8 - </w:t>
      </w:r>
      <w:r>
        <w:rPr>
          <w:rFonts w:ascii="Arial" w:cs="Arial" w:eastAsia="Arial" w:hAnsi="Arial"/>
          <w:sz w:val="20"/>
          <w:szCs w:val="20"/>
          <w:u w:val="single" w:color="auto"/>
          <w:color w:val="auto"/>
        </w:rPr>
        <w:t>Administration of the Plan</w:t>
      </w:r>
    </w:p>
    <w:p>
      <w:pPr>
        <w:spacing w:after="0" w:line="200" w:lineRule="exact"/>
        <w:rPr>
          <w:sz w:val="20"/>
          <w:szCs w:val="20"/>
          <w:color w:val="auto"/>
        </w:rPr>
      </w:pP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Plan Administrator’s Interpretation Binding</w:t>
      </w:r>
      <w:r>
        <w:rPr>
          <w:rFonts w:ascii="Arial" w:cs="Arial" w:eastAsia="Arial" w:hAnsi="Arial"/>
          <w:sz w:val="19"/>
          <w:szCs w:val="19"/>
          <w:color w:val="auto"/>
        </w:rPr>
        <w:t>. The Plan Administrator has absolute discretion to interpret and administer this Plan. The Plan Administrator is empowered to take all actions it deems appropriate in administering this Plan. The Plan Administrator’s final interpretation of the meaning or application of any of the Plan provisions shall be binding and conclusive. However, once a Change of Control (as defined in Article 11) has occurred, this Article 8 shall no longer apply to differences of opinion between the Plan Administrator and a Participant regarding the application of Article 11 of this Plan to a Participant or with regard to any rights or benefits protected under Article 11 of this Plan or otherwise accrued prior to the Change of Control including the vesting thereof.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25" w:right="239" w:bottom="1440" w:gutter="0" w:footer="0" w:header="0"/>
        </w:sectPr>
      </w:pPr>
    </w:p>
    <w:bookmarkStart w:id="169" w:name="page170"/>
    <w:bookmarkEnd w:id="169"/>
    <w:p>
      <w:pPr>
        <w:spacing w:after="0"/>
        <w:tabs>
          <w:tab w:leader="none" w:pos="4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Claims and Review Procedure; Limitations of Time for Submitting Claims and Suits Challenging Denial of Claims</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jc w:val="both"/>
        <w:ind w:firstLine="656"/>
        <w:spacing w:after="0" w:line="258" w:lineRule="auto"/>
        <w:tabs>
          <w:tab w:leader="none" w:pos="109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Claims and Review Procedure</w:t>
      </w:r>
      <w:r>
        <w:rPr>
          <w:rFonts w:ascii="Arial" w:cs="Arial" w:eastAsia="Arial" w:hAnsi="Arial"/>
          <w:sz w:val="19"/>
          <w:szCs w:val="19"/>
          <w:color w:val="auto"/>
        </w:rPr>
        <w:t>. Claims for benefits or allegations of a failure to administer the Plan in accordance with its terms and/or ERISA and appeals of denied claims under the Plan shall be administered in accordance with § 503 of ERISA, the regulations thereunder (and any other law that amends, supplements or supersedes said § of ERISA), and the procedures adopted by the Plan Administrator, as appropriate which are incorporated herein by reference. The Plan shall provide adequate notice to any claimant whose claim for benefits under the Plan has been denied, setting forth the reasons for such denial, and afford a reasonable opportunity to such claimant for a full and fair review by the Plan Administrator of the decision denying the claim. Benefits will be paid under the Plan only if the Plan Administrator determines in its sole discretion that the applicant is entitled to them.</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jc w:val="both"/>
        <w:ind w:firstLine="656"/>
        <w:spacing w:after="0" w:line="278" w:lineRule="auto"/>
        <w:tabs>
          <w:tab w:leader="none" w:pos="107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Limitations of Time for Submitting Claims and Suits Challenging Denial of Claims</w:t>
      </w:r>
      <w:r>
        <w:rPr>
          <w:rFonts w:ascii="Arial" w:cs="Arial" w:eastAsia="Arial" w:hAnsi="Arial"/>
          <w:sz w:val="18"/>
          <w:szCs w:val="18"/>
          <w:color w:val="auto"/>
        </w:rPr>
        <w:t>. No suit to recover benefits under this Plan or to allege that the Plan was not administered in accordance with its terms and/or the Internal Revenue Code or ERISA shall be brought more than six months following the exhaustion of the claims and review procedures set forth in subsection (a). If a Participant receives a distribution from the Plan, no claim for benefits under the Plan’s claims and review procedures described in subsection (a) shall be made regarding the calculation of the amount of the benefits more than six months following the date on which the Participant received such distribution.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9 - </w:t>
      </w:r>
      <w:r>
        <w:rPr>
          <w:rFonts w:ascii="Arial" w:cs="Arial" w:eastAsia="Arial" w:hAnsi="Arial"/>
          <w:sz w:val="20"/>
          <w:szCs w:val="20"/>
          <w:u w:val="single" w:color="auto"/>
          <w:color w:val="auto"/>
        </w:rPr>
        <w:t>Governing Law</w:t>
      </w: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To the extent not inconsistent with Federal law, the validity of the Plan and its provisions shall be construed and governed in accordance with the laws of the State of North Carolina.</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10 - </w:t>
      </w:r>
      <w:r>
        <w:rPr>
          <w:rFonts w:ascii="Arial" w:cs="Arial" w:eastAsia="Arial" w:hAnsi="Arial"/>
          <w:sz w:val="20"/>
          <w:szCs w:val="20"/>
          <w:u w:val="single" w:color="auto"/>
          <w:color w:val="auto"/>
        </w:rPr>
        <w:t>Amendment and Termination of Plan</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Except to the extent otherwise required by law including the Legal Deferral Requirements, or limited by Article 11, the Plan Administrator may amend, modify, suspend or terminate the Plan at any time in its sole discretion. However, any such amendment or termination will not adversely affect the benefit entitlements of any employee who is a Participant in the BSP Plan to the extent of the account balance under this Plan prior to the time of such amendment or any interest of a Participant existing under the Plan prior to the execution of such amendment. Any amendment or group of amendments made effective on the same date, which would increase or decrease the annual cost of Plan benefits for Participants by ten million dollars or more in the aggregate, as determined in good faith by the Plan Administrator, shall take effect only after the action is authorized or ratified by the Board of Directors of Brighthouse Services, LLC.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11 - </w:t>
      </w:r>
      <w:r>
        <w:rPr>
          <w:rFonts w:ascii="Arial" w:cs="Arial" w:eastAsia="Arial" w:hAnsi="Arial"/>
          <w:sz w:val="20"/>
          <w:szCs w:val="20"/>
          <w:u w:val="single" w:color="auto"/>
          <w:color w:val="auto"/>
        </w:rPr>
        <w:t>Change of Control</w:t>
      </w: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At such time as Brighthouse Services, LLC adopts a voluntary deferred compensation plan, this plan will incorporate by reference the definition of “Change of Control” from that voluntary deferred compensation plan.</w:t>
      </w:r>
    </w:p>
    <w:p>
      <w:pPr>
        <w:spacing w:after="0" w:line="200" w:lineRule="exact"/>
        <w:rPr>
          <w:sz w:val="20"/>
          <w:szCs w:val="20"/>
          <w:color w:val="auto"/>
        </w:rPr>
      </w:pPr>
    </w:p>
    <w:p>
      <w:pPr>
        <w:spacing w:after="0" w:line="24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Accelerated Vesting on Change of Control</w:t>
      </w:r>
      <w:r>
        <w:rPr>
          <w:rFonts w:ascii="Arial" w:cs="Arial" w:eastAsia="Arial" w:hAnsi="Arial"/>
          <w:sz w:val="18"/>
          <w:szCs w:val="18"/>
          <w:color w:val="auto"/>
        </w:rPr>
        <w:t>. Notwithstanding any other provision of this Plan at the time that a Change of Control occurs, all Participants shall be fully vested in all contributions plus earnings (which may be positive or negative) accrued under this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25" w:right="239" w:bottom="1440" w:gutter="0" w:footer="0" w:header="0"/>
        </w:sectPr>
      </w:pPr>
    </w:p>
    <w:bookmarkStart w:id="170" w:name="page171"/>
    <w:bookmarkEnd w:id="170"/>
    <w:p>
      <w:pPr>
        <w:jc w:val="both"/>
        <w:spacing w:after="0" w:line="27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Limitations on Amendment After a Change of Control</w:t>
      </w:r>
      <w:r>
        <w:rPr>
          <w:rFonts w:ascii="Arial" w:cs="Arial" w:eastAsia="Arial" w:hAnsi="Arial"/>
          <w:sz w:val="18"/>
          <w:szCs w:val="18"/>
          <w:color w:val="auto"/>
        </w:rPr>
        <w:t>. Notwithstanding any other provision of this Plan, no amendments can be made to this Plan after a Change of Control that would, in any way, decrease the value of the Plan benefit accrued to any Participant as of the date the Change in Control occurred. Amendments to hypothetical investment options under this Plan after a Change of Control cannot eliminate all hypothetical accounts that have a fixed rate of return. Furthermore, after a Change of Control, the hypothetical crediting rate under any such fixed hypothetical investment account may not fall below zero. Amendments to the timing and form of distributions available under this Plan made after a Change of Control may not eliminate the lump sum distribution option and may not further defer the time of payment. If, after a change in Control, an Officer of the Company and/or any Affiliate claims constructive Termination of Employment, Article 3.4(a) of this Plan will be interpreted to allow distribution as soon as the Participant meets the requirements of a “separation from service” as defined within the meaning § 409A(a)(2)(A)(i) of Code and Treasury Regulation § 1.409A-1(h)(1).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12 - </w:t>
      </w:r>
      <w:r>
        <w:rPr>
          <w:rFonts w:ascii="Arial" w:cs="Arial" w:eastAsia="Arial" w:hAnsi="Arial"/>
          <w:sz w:val="20"/>
          <w:szCs w:val="20"/>
          <w:u w:val="single" w:color="auto"/>
          <w:color w:val="auto"/>
        </w:rPr>
        <w:t>Term of the Plan</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effective on and after January 1, 2017 and shall continue in effect unless and until it is terminated pursuant to its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Article 13 - </w:t>
      </w:r>
      <w:r>
        <w:rPr>
          <w:rFonts w:ascii="Arial" w:cs="Arial" w:eastAsia="Arial" w:hAnsi="Arial"/>
          <w:sz w:val="20"/>
          <w:szCs w:val="20"/>
          <w:u w:val="single" w:color="auto"/>
          <w:color w:val="auto"/>
        </w:rPr>
        <w:t>Entire Plan</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Plan document is the entire expression of the Plan, and no other oral or written communication, other than documents authorized under the Plan and fulfilling its express terms, shall determine the terms of the Plan or the terms of any agreement between a Participant and the Company with regard to the Plan or benefits thereunder. There are no third party beneficiaries to the Plan, other than Participants’ Beneficiaries designated under the terms of the Plan.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25" w:right="239" w:bottom="1440" w:gutter="0" w:footer="0" w:header="0"/>
        </w:sectPr>
      </w:pPr>
    </w:p>
    <w:bookmarkStart w:id="171" w:name="page172"/>
    <w:bookmarkEnd w:id="171"/>
    <w:p>
      <w:pPr>
        <w:ind w:firstLine="648"/>
        <w:spacing w:after="0" w:line="222" w:lineRule="auto"/>
        <w:rPr>
          <w:sz w:val="20"/>
          <w:szCs w:val="20"/>
          <w:color w:val="auto"/>
        </w:rPr>
      </w:pPr>
      <w:r>
        <w:rPr>
          <w:rFonts w:ascii="Arial" w:cs="Arial" w:eastAsia="Arial" w:hAnsi="Arial"/>
          <w:sz w:val="20"/>
          <w:szCs w:val="20"/>
          <w:color w:val="auto"/>
        </w:rPr>
        <w:t>IN WITNESS WHEREOF, the Company has caused this Plan to be executed in its name and behalf this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day of April 2017, by its officer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BRIGHTHOUSE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-14605</wp:posOffset>
            </wp:positionV>
            <wp:extent cx="12496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Mark Davis, Plan Administrator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/s/ Elyse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471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10.9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NUMBER ONE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BRIGHTHOUSE SERVICES, LLC AUXILIARY SAVINGS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4214"/>
        <w:spacing w:after="0" w:line="260" w:lineRule="auto"/>
        <w:rPr>
          <w:sz w:val="20"/>
          <w:szCs w:val="20"/>
          <w:color w:val="auto"/>
        </w:rPr>
      </w:pPr>
      <w:r>
        <w:rPr>
          <w:rFonts w:ascii="Arial" w:cs="Arial" w:eastAsia="Arial" w:hAnsi="Arial"/>
          <w:sz w:val="20"/>
          <w:szCs w:val="20"/>
          <w:color w:val="auto"/>
        </w:rPr>
        <w:t>The BRIGHTHOUSE SERVICES, LLC AUXILIARY SAVINGS PLAN (the “Plan”) is hereby amended, effective as of January 1, 2017, as follows:</w:t>
      </w:r>
    </w:p>
    <w:p>
      <w:pPr>
        <w:spacing w:after="0" w:line="190" w:lineRule="exact"/>
        <w:rPr>
          <w:sz w:val="20"/>
          <w:szCs w:val="20"/>
          <w:color w:val="auto"/>
        </w:rPr>
      </w:pPr>
    </w:p>
    <w:p>
      <w:pPr>
        <w:ind w:left="660" w:right="4280" w:hanging="4"/>
        <w:spacing w:after="0" w:line="359" w:lineRule="auto"/>
        <w:tabs>
          <w:tab w:leader="none" w:pos="98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Section 3.1(d) of the Plan is hereby amended in its entirety to read as follows: “(d) </w:t>
      </w:r>
      <w:r>
        <w:rPr>
          <w:rFonts w:ascii="Arial" w:cs="Arial" w:eastAsia="Arial" w:hAnsi="Arial"/>
          <w:sz w:val="20"/>
          <w:szCs w:val="20"/>
          <w:u w:val="single" w:color="auto"/>
          <w:color w:val="auto"/>
        </w:rPr>
        <w:t>Special Contributions</w:t>
      </w:r>
      <w:r>
        <w:rPr>
          <w:rFonts w:ascii="Arial" w:cs="Arial" w:eastAsia="Arial" w:hAnsi="Arial"/>
          <w:sz w:val="20"/>
          <w:szCs w:val="20"/>
          <w:color w:val="auto"/>
        </w:rPr>
        <w:t>.</w:t>
      </w:r>
    </w:p>
    <w:p>
      <w:pPr>
        <w:spacing w:after="0" w:line="1" w:lineRule="exact"/>
        <w:rPr>
          <w:sz w:val="20"/>
          <w:szCs w:val="20"/>
          <w:color w:val="auto"/>
        </w:rPr>
      </w:pPr>
    </w:p>
    <w:p>
      <w:pPr>
        <w:jc w:val="both"/>
        <w:ind w:left="1540" w:hanging="884"/>
        <w:spacing w:after="0" w:line="296" w:lineRule="auto"/>
        <w:tabs>
          <w:tab w:leader="none" w:pos="1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Company Matching Contributions and Profit Sharing Contributions, as set forth in subsections (b) and (c), respectively, are made to the Plan on behalf of certain Participants to restitute the Company contributions that would have been made to their MetLife Auxiliary Savings and Investment Plan account for the deferral election made in 2015 under the legacy MetLife Leadership Deferred Compensation Plan for compensation payable in 2017. A list of the Participants and the restitution amount contributed on behalf of each Participant are provided in Appendix A.</w:t>
      </w:r>
    </w:p>
    <w:p>
      <w:pPr>
        <w:spacing w:after="0" w:line="3" w:lineRule="exact"/>
        <w:rPr>
          <w:rFonts w:ascii="Arial" w:cs="Arial" w:eastAsia="Arial" w:hAnsi="Arial"/>
          <w:sz w:val="19"/>
          <w:szCs w:val="19"/>
          <w:color w:val="auto"/>
        </w:rPr>
      </w:pPr>
    </w:p>
    <w:p>
      <w:pPr>
        <w:jc w:val="both"/>
        <w:ind w:left="1540" w:hanging="884"/>
        <w:spacing w:after="0" w:line="305" w:lineRule="auto"/>
        <w:tabs>
          <w:tab w:leader="none" w:pos="1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Company Matching Contributions, as set forth in subsection (b), are made to the Plan on behalf of certain Participants, who were transferred from MetLife Group, Inc. to the Company during the period from January 1, 2017 to August 4, 2017, to restitute the Company Matching Contributions that would have been made to their Plan account but for the coordination and aggregation of the applicable annual limits under Code§401(a)(17) between the BSP Plan and MetLife Savings and Investment Plan. A list of the Participants is provided in Appendix B.”</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this amendment has been executed by the Plan Administrator thereof, on this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August, 2017.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Plan Administrator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-14605</wp:posOffset>
            </wp:positionV>
            <wp:extent cx="11239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Mark Davis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Witnessed by: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Elyse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471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1"/>
          <w:szCs w:val="21"/>
          <w:b w:val="1"/>
          <w:bCs w:val="1"/>
          <w:color w:val="auto"/>
        </w:rPr>
        <w:t>Exhibit 10.10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Amended and Restated Brighthouse Services, LLC Annual Variable Incentive Plan</w:t>
      </w:r>
    </w:p>
    <w:p>
      <w:pPr>
        <w:spacing w:after="0" w:line="41" w:lineRule="exact"/>
        <w:rPr>
          <w:sz w:val="20"/>
          <w:szCs w:val="20"/>
          <w:color w:val="auto"/>
        </w:rPr>
      </w:pPr>
    </w:p>
    <w:p>
      <w:pPr>
        <w:ind w:left="2100"/>
        <w:spacing w:after="0"/>
        <w:rPr>
          <w:sz w:val="20"/>
          <w:szCs w:val="20"/>
          <w:color w:val="auto"/>
        </w:rPr>
      </w:pPr>
      <w:r>
        <w:rPr>
          <w:rFonts w:ascii="Arial" w:cs="Arial" w:eastAsia="Arial" w:hAnsi="Arial"/>
          <w:sz w:val="21"/>
          <w:szCs w:val="21"/>
          <w:color w:val="auto"/>
        </w:rPr>
        <w:t>Originally effective as of March 28, 2017; Amended and Restated as of August 9, 2017</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1. Purpose, Effectiveness, and Duration</w:t>
      </w:r>
    </w:p>
    <w:p>
      <w:pPr>
        <w:spacing w:after="0" w:line="41" w:lineRule="exact"/>
        <w:rPr>
          <w:sz w:val="20"/>
          <w:szCs w:val="20"/>
          <w:color w:val="auto"/>
        </w:rPr>
      </w:pPr>
    </w:p>
    <w:p>
      <w:pPr>
        <w:ind w:firstLine="405"/>
        <w:spacing w:after="0" w:line="255" w:lineRule="auto"/>
        <w:rPr>
          <w:sz w:val="20"/>
          <w:szCs w:val="20"/>
          <w:color w:val="auto"/>
        </w:rPr>
      </w:pPr>
      <w:r>
        <w:rPr>
          <w:rFonts w:ascii="Arial" w:cs="Arial" w:eastAsia="Arial" w:hAnsi="Arial"/>
          <w:sz w:val="20"/>
          <w:szCs w:val="20"/>
          <w:color w:val="auto"/>
        </w:rPr>
        <w:t>The Brighthouse Services, LLC Annual Variable Incentive Plan (“AVIP”) is an annual incentive plan. The purpose of AVIP is to align total annual pay with business results, provide competitive levels of pay for performance and make a competitive portion of total compensation variable based on both Company and individual performance. AVIP shall become effective with respect to awards made on or after March 28, 2017 and shall constitute a sub-plan of the Brighthouse Financial, Inc. 2017 Stock and Incentive Compensation Plan (the “2017 Plan”) upon adoption of that Plan by the Board on or after August 9, 2017. AVIP is intended to provide Cash-Based Awards pursuant to Article 10 of the 2017 Plan. Each of the applicable terms of the 2017 Plan shall apply to AVIP and Awards made under AVIP. The full powers of the Committee under the 2017 Plan, including those described in Section 3.2 of the Plan, will apply to each AVIP Award. AVIP shall remain in effect indefinitely, subject to the right of the Committee or the Board to amend or terminate AVIP at any time pursuant to Article 6 herein.</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2. Definitions</w:t>
      </w:r>
    </w:p>
    <w:p>
      <w:pPr>
        <w:spacing w:after="0" w:line="41" w:lineRule="exact"/>
        <w:rPr>
          <w:sz w:val="20"/>
          <w:szCs w:val="20"/>
          <w:color w:val="auto"/>
        </w:rPr>
      </w:pPr>
    </w:p>
    <w:p>
      <w:pPr>
        <w:ind w:right="340" w:firstLine="392"/>
        <w:spacing w:after="0" w:line="246" w:lineRule="auto"/>
        <w:rPr>
          <w:sz w:val="20"/>
          <w:szCs w:val="20"/>
          <w:color w:val="auto"/>
        </w:rPr>
      </w:pPr>
      <w:r>
        <w:rPr>
          <w:rFonts w:ascii="Arial" w:cs="Arial" w:eastAsia="Arial" w:hAnsi="Arial"/>
          <w:sz w:val="21"/>
          <w:szCs w:val="21"/>
          <w:color w:val="auto"/>
        </w:rPr>
        <w:t>Whenever used but not defined herein, capitalized terms shall have the meaning set forth in the 2017 Plan, as applicable to Cash-Based Awards under that 2017 Plan.</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3. Eligibility</w:t>
      </w:r>
    </w:p>
    <w:p>
      <w:pPr>
        <w:spacing w:after="0" w:line="41" w:lineRule="exact"/>
        <w:rPr>
          <w:sz w:val="20"/>
          <w:szCs w:val="20"/>
          <w:color w:val="auto"/>
        </w:rPr>
      </w:pPr>
    </w:p>
    <w:p>
      <w:pPr>
        <w:ind w:firstLine="405"/>
        <w:spacing w:after="0" w:line="242" w:lineRule="auto"/>
        <w:rPr>
          <w:sz w:val="20"/>
          <w:szCs w:val="20"/>
          <w:color w:val="auto"/>
        </w:rPr>
      </w:pPr>
      <w:r>
        <w:rPr>
          <w:rFonts w:ascii="Arial" w:cs="Arial" w:eastAsia="Arial" w:hAnsi="Arial"/>
          <w:sz w:val="21"/>
          <w:szCs w:val="21"/>
          <w:b w:val="1"/>
          <w:bCs w:val="1"/>
          <w:color w:val="auto"/>
        </w:rPr>
        <w:t>3.1 Eligibility</w:t>
      </w:r>
      <w:r>
        <w:rPr>
          <w:rFonts w:ascii="Arial" w:cs="Arial" w:eastAsia="Arial" w:hAnsi="Arial"/>
          <w:sz w:val="21"/>
          <w:szCs w:val="21"/>
          <w:color w:val="auto"/>
        </w:rPr>
        <w:t>. All Employees of the Company are eligible for an AVIP Award and can receive them at the Company’s discretion.</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the 2017 Plan and AVIP, the Committee and or the Head of Compensation and Benefits within the Human Resources Department of the Company may from time to time grant and determine the terms of Awards to any Employee. However, Awards to the Company’s Chief Executive Officer, his/her direct reports and the Company’s Chief Financial Officer (collectively referred to as the “Senior Leadership Team”), as well as the Company’s Chief Risk Officer and Chief Accounting Officer, can only be approved by the Committee.</w:t>
      </w:r>
    </w:p>
    <w:p>
      <w:pPr>
        <w:spacing w:after="0" w:line="82" w:lineRule="exact"/>
        <w:rPr>
          <w:sz w:val="20"/>
          <w:szCs w:val="20"/>
          <w:color w:val="auto"/>
        </w:rPr>
      </w:pPr>
    </w:p>
    <w:p>
      <w:pPr>
        <w:ind w:right="320" w:firstLine="405"/>
        <w:spacing w:after="0" w:line="270" w:lineRule="auto"/>
        <w:rPr>
          <w:sz w:val="20"/>
          <w:szCs w:val="20"/>
          <w:color w:val="auto"/>
        </w:rPr>
      </w:pPr>
      <w:r>
        <w:rPr>
          <w:rFonts w:ascii="Arial" w:cs="Arial" w:eastAsia="Arial" w:hAnsi="Arial"/>
          <w:sz w:val="21"/>
          <w:szCs w:val="21"/>
          <w:b w:val="1"/>
          <w:bCs w:val="1"/>
          <w:color w:val="auto"/>
        </w:rPr>
        <w:t xml:space="preserve">3.2 No Post-Employment Awards. </w:t>
      </w:r>
      <w:r>
        <w:rPr>
          <w:rFonts w:ascii="Arial" w:cs="Arial" w:eastAsia="Arial" w:hAnsi="Arial"/>
          <w:sz w:val="21"/>
          <w:szCs w:val="21"/>
          <w:color w:val="auto"/>
        </w:rPr>
        <w:t>An individual who is not an Employee on the date the Award is payable shall not receive a</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of AVIP.</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4. Award Terms and Limitations</w:t>
      </w:r>
    </w:p>
    <w:p>
      <w:pPr>
        <w:spacing w:after="0" w:line="41" w:lineRule="exact"/>
        <w:rPr>
          <w:sz w:val="20"/>
          <w:szCs w:val="20"/>
          <w:color w:val="auto"/>
        </w:rPr>
      </w:pPr>
    </w:p>
    <w:p>
      <w:pPr>
        <w:ind w:right="60" w:firstLine="392"/>
        <w:spacing w:after="0" w:line="257" w:lineRule="auto"/>
        <w:rPr>
          <w:sz w:val="20"/>
          <w:szCs w:val="20"/>
          <w:color w:val="auto"/>
        </w:rPr>
      </w:pPr>
      <w:r>
        <w:rPr>
          <w:rFonts w:ascii="Arial" w:cs="Arial" w:eastAsia="Arial" w:hAnsi="Arial"/>
          <w:sz w:val="21"/>
          <w:szCs w:val="21"/>
          <w:b w:val="1"/>
          <w:bCs w:val="1"/>
          <w:color w:val="auto"/>
        </w:rPr>
        <w:t>4.1 Performance-Based Compensation</w:t>
      </w:r>
      <w:r>
        <w:rPr>
          <w:rFonts w:ascii="Arial" w:cs="Arial" w:eastAsia="Arial" w:hAnsi="Arial"/>
          <w:sz w:val="21"/>
          <w:szCs w:val="21"/>
          <w:color w:val="auto"/>
        </w:rPr>
        <w:t>. AVIP awards to the Senior Leadership Team are intended to qualify as</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Performance-Based Compensation. As such, AVIP awards for the Senior Leadership Team require the attainment of one or more Performance Goals as determined by the Committee in conformity with Code Section 162(m). The Committee shall specify in writing, by resolution or otherwise, the Performance Goal(s) applicable to such Awards within ninety (90) days after the commencement of the Performance Period to which the Performance Goal(s) relate(s) or such earlier time as allowed under Code Section 162(m) for Performance Periods of less than one calendar year. Without limiting the generality of the foregoing, following the appointment of a Committee whose members would meet the conditions to be “outside directors” within the meaning of Section 162(m) of the Code, the Committee shall impose supplementary Performance Goals consistent with the requirements of AVIP and Section 162(m) of the Code on any AVIP Award</w:t>
      </w:r>
    </w:p>
    <w:p>
      <w:pPr>
        <w:sectPr>
          <w:pgSz w:w="11900" w:h="16838" w:orient="portrait"/>
          <w:cols w:equalWidth="0" w:num="1">
            <w:col w:w="11420"/>
          </w:cols>
          <w:pgMar w:left="240" w:top="120" w:right="239" w:bottom="1440" w:gutter="0" w:footer="0" w:header="0"/>
        </w:sectPr>
      </w:pPr>
    </w:p>
    <w:bookmarkStart w:id="174" w:name="page175"/>
    <w:bookmarkEnd w:id="174"/>
    <w:p>
      <w:pPr>
        <w:ind w:right="40"/>
        <w:spacing w:after="0" w:line="310" w:lineRule="auto"/>
        <w:rPr>
          <w:sz w:val="20"/>
          <w:szCs w:val="20"/>
          <w:color w:val="auto"/>
        </w:rPr>
      </w:pPr>
      <w:r>
        <w:rPr>
          <w:rFonts w:ascii="Arial" w:cs="Arial" w:eastAsia="Arial" w:hAnsi="Arial"/>
          <w:sz w:val="18"/>
          <w:szCs w:val="18"/>
          <w:color w:val="auto"/>
        </w:rPr>
        <w:t>payable to a member of the Senior Leadership Team. The Committee may establish different Performance Goals and different Performance Periods (including with respect to any supplementary Performance Goals) as to AVIP Awards for the Senior Leadership Team. No Award to a member of the Senior Leadership Team shall be payable unless the Committee certifies in writing, by resolution or otherwise, that the Performance Goal(s) applicable to the Award were satisfied. In no case may the Committee increase the value of an award of Performance-Based Compensation above the maximum value determined under the performance formula by the attainment of the applicable Performance Goal(s), but the Committee may retain the discretion to reduce the value below such maximum.</w:t>
      </w:r>
    </w:p>
    <w:p>
      <w:pPr>
        <w:spacing w:after="0" w:line="173" w:lineRule="exact"/>
        <w:rPr>
          <w:sz w:val="20"/>
          <w:szCs w:val="20"/>
          <w:color w:val="auto"/>
        </w:rPr>
      </w:pPr>
    </w:p>
    <w:p>
      <w:pPr>
        <w:ind w:firstLine="392"/>
        <w:spacing w:after="0" w:line="285" w:lineRule="auto"/>
        <w:rPr>
          <w:sz w:val="20"/>
          <w:szCs w:val="20"/>
          <w:color w:val="auto"/>
        </w:rPr>
      </w:pPr>
      <w:r>
        <w:rPr>
          <w:rFonts w:ascii="Arial" w:cs="Arial" w:eastAsia="Arial" w:hAnsi="Arial"/>
          <w:sz w:val="19"/>
          <w:szCs w:val="19"/>
          <w:b w:val="1"/>
          <w:bCs w:val="1"/>
          <w:color w:val="auto"/>
        </w:rPr>
        <w:t>4.2 Performance Criteria</w:t>
      </w:r>
      <w:r>
        <w:rPr>
          <w:rFonts w:ascii="Arial" w:cs="Arial" w:eastAsia="Arial" w:hAnsi="Arial"/>
          <w:sz w:val="19"/>
          <w:szCs w:val="19"/>
          <w:color w:val="auto"/>
        </w:rPr>
        <w:t>. The Committee may determine and apply performance criteria to Senior Leadership Team Awards</w:t>
      </w:r>
      <w:r>
        <w:rPr>
          <w:rFonts w:ascii="Arial" w:cs="Arial" w:eastAsia="Arial" w:hAnsi="Arial"/>
          <w:sz w:val="19"/>
          <w:szCs w:val="19"/>
          <w:b w:val="1"/>
          <w:bCs w:val="1"/>
          <w:color w:val="auto"/>
        </w:rPr>
        <w:t xml:space="preserve"> </w:t>
      </w:r>
      <w:r>
        <w:rPr>
          <w:rFonts w:ascii="Arial" w:cs="Arial" w:eastAsia="Arial" w:hAnsi="Arial"/>
          <w:sz w:val="19"/>
          <w:szCs w:val="19"/>
          <w:color w:val="auto"/>
        </w:rPr>
        <w:t>or any and all Awards. The Committee may also determine the total amount available for all Awards with respect to a calendar Fiscal Year and performance criteria applicable to particular Awards or a set of Awards. Subject to the requirements of Code Section 162(m) with regard to Awards intended to be Performance-Based Compensation, Awards that are subject to performance criteria may be granted:</w:t>
      </w:r>
    </w:p>
    <w:p>
      <w:pPr>
        <w:spacing w:after="0" w:line="2" w:lineRule="exact"/>
        <w:rPr>
          <w:sz w:val="20"/>
          <w:szCs w:val="20"/>
          <w:color w:val="auto"/>
        </w:rPr>
      </w:pPr>
    </w:p>
    <w:p>
      <w:pPr>
        <w:ind w:right="20" w:firstLine="8"/>
        <w:spacing w:after="0" w:line="290" w:lineRule="auto"/>
        <w:tabs>
          <w:tab w:leader="none" w:pos="29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advance of and contingent upon performance with respect to any performance criteria; or (2) following the performance with respect to any performance criteria. The performance metrics that will be used to establish the Performance Goal(s) shall be based on the performance of Brighthouse Financial, Inc. or any affiliate (or division, business unit or operational unit thereof) and shall be as set forth in Article 11 of the 2017 Plan; provided that with respect to the Performance Period ending December 31, 2017, the performance metrics that will be used to establish the Performance Goals shall be based on the performance of Brighthouse Financial, Inc. or any affiliate (or division, business unit or operational unit thereof) and shall be one or more of the following:</w:t>
      </w:r>
    </w:p>
    <w:p>
      <w:pPr>
        <w:spacing w:after="0" w:line="42" w:lineRule="exact"/>
        <w:rPr>
          <w:rFonts w:ascii="Arial" w:cs="Arial" w:eastAsia="Arial" w:hAnsi="Arial"/>
          <w:sz w:val="19"/>
          <w:szCs w:val="19"/>
          <w:color w:val="auto"/>
        </w:rPr>
      </w:pPr>
    </w:p>
    <w:p>
      <w:pPr>
        <w:ind w:left="1620" w:hanging="248"/>
        <w:spacing w:after="0"/>
        <w:tabs>
          <w:tab w:leader="none" w:pos="162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Net Earnings, Net Income or Operating Earnings (on a Consolidated basis or by Company);</w:t>
      </w:r>
    </w:p>
    <w:p>
      <w:pPr>
        <w:spacing w:after="0" w:line="231" w:lineRule="exact"/>
        <w:rPr>
          <w:rFonts w:ascii="Arial" w:cs="Arial" w:eastAsia="Arial" w:hAnsi="Arial"/>
          <w:sz w:val="21"/>
          <w:szCs w:val="21"/>
          <w:color w:val="auto"/>
        </w:rPr>
      </w:pPr>
    </w:p>
    <w:p>
      <w:pPr>
        <w:ind w:left="1680" w:hanging="308"/>
        <w:spacing w:after="0"/>
        <w:tabs>
          <w:tab w:leader="none" w:pos="16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Operating ROE;</w:t>
      </w:r>
    </w:p>
    <w:p>
      <w:pPr>
        <w:spacing w:after="0" w:line="231" w:lineRule="exact"/>
        <w:rPr>
          <w:rFonts w:ascii="Arial" w:cs="Arial" w:eastAsia="Arial" w:hAnsi="Arial"/>
          <w:sz w:val="21"/>
          <w:szCs w:val="21"/>
          <w:color w:val="auto"/>
        </w:rPr>
      </w:pPr>
    </w:p>
    <w:p>
      <w:pPr>
        <w:ind w:left="1740" w:hanging="368"/>
        <w:spacing w:after="0"/>
        <w:tabs>
          <w:tab w:leader="none" w:pos="174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Cash Flow (including free cash flow, gross cash flow, statutory cash flow and return on capital);</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Decrease in Fixed Expenses;</w:t>
      </w:r>
    </w:p>
    <w:p>
      <w:pPr>
        <w:spacing w:after="0" w:line="231" w:lineRule="exact"/>
        <w:rPr>
          <w:rFonts w:ascii="Arial" w:cs="Arial" w:eastAsia="Arial" w:hAnsi="Arial"/>
          <w:sz w:val="21"/>
          <w:szCs w:val="21"/>
          <w:color w:val="auto"/>
        </w:rPr>
      </w:pPr>
    </w:p>
    <w:p>
      <w:pPr>
        <w:ind w:left="1660" w:hanging="288"/>
        <w:spacing w:after="0"/>
        <w:tabs>
          <w:tab w:leader="none" w:pos="166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Number of Transition Service Agreements with MetLife exited;</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Value of New Business;</w:t>
      </w:r>
    </w:p>
    <w:p>
      <w:pPr>
        <w:spacing w:after="0" w:line="231" w:lineRule="exact"/>
        <w:rPr>
          <w:rFonts w:ascii="Arial" w:cs="Arial" w:eastAsia="Arial" w:hAnsi="Arial"/>
          <w:sz w:val="21"/>
          <w:szCs w:val="21"/>
          <w:color w:val="auto"/>
        </w:rPr>
      </w:pPr>
    </w:p>
    <w:p>
      <w:pPr>
        <w:ind w:left="1780" w:hanging="408"/>
        <w:spacing w:after="0"/>
        <w:tabs>
          <w:tab w:leader="none" w:pos="17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VA Target Funding;</w:t>
      </w:r>
    </w:p>
    <w:p>
      <w:pPr>
        <w:spacing w:after="0" w:line="231" w:lineRule="exact"/>
        <w:rPr>
          <w:rFonts w:ascii="Arial" w:cs="Arial" w:eastAsia="Arial" w:hAnsi="Arial"/>
          <w:sz w:val="21"/>
          <w:szCs w:val="21"/>
          <w:color w:val="auto"/>
        </w:rPr>
      </w:pPr>
    </w:p>
    <w:p>
      <w:pPr>
        <w:ind w:left="1840" w:hanging="468"/>
        <w:spacing w:after="0"/>
        <w:tabs>
          <w:tab w:leader="none" w:pos="184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Risk Based Capital Ratio(s);</w:t>
      </w:r>
    </w:p>
    <w:p>
      <w:pPr>
        <w:spacing w:after="0" w:line="231" w:lineRule="exact"/>
        <w:rPr>
          <w:rFonts w:ascii="Arial" w:cs="Arial" w:eastAsia="Arial" w:hAnsi="Arial"/>
          <w:sz w:val="21"/>
          <w:szCs w:val="21"/>
          <w:color w:val="auto"/>
        </w:rPr>
      </w:pPr>
    </w:p>
    <w:p>
      <w:pPr>
        <w:ind w:left="1720" w:hanging="348"/>
        <w:spacing w:after="0"/>
        <w:tabs>
          <w:tab w:leader="none" w:pos="172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Ratings from Rating Agencies (including maintaining a minimum rating or an increase in rating);</w:t>
      </w:r>
    </w:p>
    <w:p>
      <w:pPr>
        <w:spacing w:after="0" w:line="231" w:lineRule="exact"/>
        <w:rPr>
          <w:rFonts w:ascii="Arial" w:cs="Arial" w:eastAsia="Arial" w:hAnsi="Arial"/>
          <w:sz w:val="21"/>
          <w:szCs w:val="21"/>
          <w:color w:val="auto"/>
        </w:rPr>
      </w:pPr>
    </w:p>
    <w:p>
      <w:pPr>
        <w:ind w:left="1660" w:hanging="288"/>
        <w:spacing w:after="0"/>
        <w:tabs>
          <w:tab w:leader="none" w:pos="166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Earnings Per Share; and</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83" w:right="279" w:bottom="1440" w:gutter="0" w:footer="0" w:header="0"/>
        </w:sectPr>
      </w:pPr>
    </w:p>
    <w:bookmarkStart w:id="175" w:name="page176"/>
    <w:bookmarkEnd w:id="175"/>
    <w:p>
      <w:pPr>
        <w:ind w:left="1380"/>
        <w:spacing w:after="0"/>
        <w:rPr>
          <w:sz w:val="20"/>
          <w:szCs w:val="20"/>
          <w:color w:val="auto"/>
        </w:rPr>
      </w:pPr>
      <w:r>
        <w:rPr>
          <w:rFonts w:ascii="Arial" w:cs="Arial" w:eastAsia="Arial" w:hAnsi="Arial"/>
          <w:sz w:val="21"/>
          <w:szCs w:val="21"/>
          <w:color w:val="auto"/>
        </w:rPr>
        <w:t>(xi) Share Price (including but not limited to total shareholder return).</w:t>
      </w:r>
    </w:p>
    <w:p>
      <w:pPr>
        <w:spacing w:after="0" w:line="231" w:lineRule="exact"/>
        <w:rPr>
          <w:sz w:val="20"/>
          <w:szCs w:val="20"/>
          <w:color w:val="auto"/>
        </w:rPr>
      </w:pPr>
    </w:p>
    <w:p>
      <w:pPr>
        <w:ind w:right="40" w:firstLine="405"/>
        <w:spacing w:after="0" w:line="279" w:lineRule="auto"/>
        <w:rPr>
          <w:sz w:val="20"/>
          <w:szCs w:val="20"/>
          <w:color w:val="auto"/>
        </w:rPr>
      </w:pPr>
      <w:r>
        <w:rPr>
          <w:rFonts w:ascii="Arial" w:cs="Arial" w:eastAsia="Arial" w:hAnsi="Arial"/>
          <w:sz w:val="19"/>
          <w:szCs w:val="19"/>
          <w:color w:val="auto"/>
        </w:rPr>
        <w:t>All terms not defined in this Plan are as defined in the Form 10 filed by Brighthouse Financial, Inc. or, alternatively, if these definitions are modified, added or updated by later financial statements (including but not limited to the Quarterly Financial Statement or any equivalent), then as defined in the financial statements of the Company (subject to any modifications noted in the Committee’s resolution setting the Performance Goals for any Performance Period). Alternative definitions may be agreed upon at the time the performance criteria are set provided that the alternate definition is set forth in the resolution setting such performance criteria.</w:t>
      </w:r>
    </w:p>
    <w:p>
      <w:pPr>
        <w:spacing w:after="0" w:line="196" w:lineRule="exact"/>
        <w:rPr>
          <w:sz w:val="20"/>
          <w:szCs w:val="20"/>
          <w:color w:val="auto"/>
        </w:rPr>
      </w:pPr>
    </w:p>
    <w:p>
      <w:pPr>
        <w:ind w:firstLine="405"/>
        <w:spacing w:after="0" w:line="308" w:lineRule="auto"/>
        <w:rPr>
          <w:sz w:val="20"/>
          <w:szCs w:val="20"/>
          <w:color w:val="auto"/>
        </w:rPr>
      </w:pPr>
      <w:r>
        <w:rPr>
          <w:rFonts w:ascii="Arial" w:cs="Arial" w:eastAsia="Arial" w:hAnsi="Arial"/>
          <w:sz w:val="18"/>
          <w:szCs w:val="18"/>
          <w:b w:val="1"/>
          <w:bCs w:val="1"/>
          <w:color w:val="auto"/>
        </w:rPr>
        <w:t xml:space="preserve">4.3 Adjustments. </w:t>
      </w:r>
      <w:r>
        <w:rPr>
          <w:rFonts w:ascii="Arial" w:cs="Arial" w:eastAsia="Arial" w:hAnsi="Arial"/>
          <w:sz w:val="18"/>
          <w:szCs w:val="18"/>
          <w:color w:val="auto"/>
        </w:rPr>
        <w:t>The Committee shall adjust or modify the calculation of a Performance Goal for a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manner as it shall, it its sole discretion, deem necessary or appropriate in connection with any one or more of the following events: (i) asset write-downs; (ii) the effect of changes in tax laws, accounting principles, or other laws or regulatory rules affecting reported results; (iii) any reorganization and restructuring programs; (iv) extraordinary, unusual or infrequently occurring items as described in management's discussion and analysis of financial condition and results of operations appearing in the Company’s annual report to shareholders for the applicable year; (v) acquisitions or divestitures; (vi) any other specific unusual or nonrecurring events, or objectively determinable category thereof; or (vii) a change in the Company's fiscal year. No adjustment shall be made if the effect would be to cause Performance-Based Compensation to fail to qualify as performance-based compensation under Section 162(m) of the Code.</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21"/>
          <w:szCs w:val="21"/>
          <w:b w:val="1"/>
          <w:bCs w:val="1"/>
          <w:color w:val="auto"/>
        </w:rPr>
        <w:t>4.4 Maximum Limit Regarding Awards</w:t>
      </w:r>
      <w:r>
        <w:rPr>
          <w:rFonts w:ascii="Arial" w:cs="Arial" w:eastAsia="Arial" w:hAnsi="Arial"/>
          <w:sz w:val="21"/>
          <w:szCs w:val="21"/>
          <w:color w:val="auto"/>
        </w:rPr>
        <w:t>. The maximum aggregate amount awarded or credited with respect to Cash-Based Awards to any one Participant in any one Fiscal Year may not exceed seven million dollars ($7,000,000 ) determined as of the date of vesting or payout, as applicable. The maximum aggregate amount that can be paid under this plan in any Fiscal year may not exceed forty two million dollars ($42,000,000).</w:t>
      </w:r>
    </w:p>
    <w:p>
      <w:pPr>
        <w:spacing w:after="0" w:line="207" w:lineRule="exact"/>
        <w:rPr>
          <w:sz w:val="20"/>
          <w:szCs w:val="20"/>
          <w:color w:val="auto"/>
        </w:rPr>
      </w:pPr>
    </w:p>
    <w:p>
      <w:pPr>
        <w:ind w:right="220" w:firstLine="392"/>
        <w:spacing w:after="0" w:line="283" w:lineRule="auto"/>
        <w:rPr>
          <w:sz w:val="20"/>
          <w:szCs w:val="20"/>
          <w:color w:val="auto"/>
        </w:rPr>
      </w:pPr>
      <w:r>
        <w:rPr>
          <w:rFonts w:ascii="Arial" w:cs="Arial" w:eastAsia="Arial" w:hAnsi="Arial"/>
          <w:sz w:val="21"/>
          <w:szCs w:val="21"/>
          <w:b w:val="1"/>
          <w:bCs w:val="1"/>
          <w:color w:val="auto"/>
        </w:rPr>
        <w:t>4.5 Form of Payment</w:t>
      </w:r>
      <w:r>
        <w:rPr>
          <w:rFonts w:ascii="Arial" w:cs="Arial" w:eastAsia="Arial" w:hAnsi="Arial"/>
          <w:sz w:val="21"/>
          <w:szCs w:val="21"/>
          <w:color w:val="auto"/>
        </w:rPr>
        <w:t>. All Awards granted under AVIP shall, if payable, be payable in cash unless otherwise determined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w:t>
      </w:r>
    </w:p>
    <w:p>
      <w:pPr>
        <w:spacing w:after="0" w:line="173" w:lineRule="exact"/>
        <w:rPr>
          <w:sz w:val="20"/>
          <w:szCs w:val="20"/>
          <w:color w:val="auto"/>
        </w:rPr>
      </w:pPr>
    </w:p>
    <w:p>
      <w:pPr>
        <w:ind w:right="40" w:firstLine="392"/>
        <w:spacing w:after="0" w:line="310" w:lineRule="auto"/>
        <w:rPr>
          <w:sz w:val="20"/>
          <w:szCs w:val="20"/>
          <w:color w:val="auto"/>
        </w:rPr>
      </w:pPr>
      <w:r>
        <w:rPr>
          <w:rFonts w:ascii="Arial" w:cs="Arial" w:eastAsia="Arial" w:hAnsi="Arial"/>
          <w:sz w:val="19"/>
          <w:szCs w:val="19"/>
          <w:b w:val="1"/>
          <w:bCs w:val="1"/>
          <w:color w:val="auto"/>
        </w:rPr>
        <w:t>4.6 Timing of Payment</w:t>
      </w:r>
      <w:r>
        <w:rPr>
          <w:rFonts w:ascii="Arial" w:cs="Arial" w:eastAsia="Arial" w:hAnsi="Arial"/>
          <w:sz w:val="19"/>
          <w:szCs w:val="19"/>
          <w:color w:val="auto"/>
        </w:rPr>
        <w:t>. All Awards granted under AVIP shall, if payable, be paid on or before March 15 of each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year starting in 2018. No Participant or any other person shall have any right to receive any payment under AVIP or the 2017 Plan or any interest or other remedy due to any payment of an Award on a date other than as provided in the immediately preceding sentence.</w:t>
      </w:r>
    </w:p>
    <w:p>
      <w:pPr>
        <w:spacing w:after="0" w:line="153" w:lineRule="exact"/>
        <w:rPr>
          <w:sz w:val="20"/>
          <w:szCs w:val="20"/>
          <w:color w:val="auto"/>
        </w:rPr>
      </w:pPr>
    </w:p>
    <w:p>
      <w:pPr>
        <w:ind w:right="880" w:firstLine="392"/>
        <w:spacing w:after="0" w:line="283" w:lineRule="auto"/>
        <w:rPr>
          <w:sz w:val="20"/>
          <w:szCs w:val="20"/>
          <w:color w:val="auto"/>
        </w:rPr>
      </w:pPr>
      <w:r>
        <w:rPr>
          <w:rFonts w:ascii="Arial" w:cs="Arial" w:eastAsia="Arial" w:hAnsi="Arial"/>
          <w:sz w:val="21"/>
          <w:szCs w:val="21"/>
          <w:b w:val="1"/>
          <w:bCs w:val="1"/>
          <w:color w:val="auto"/>
        </w:rPr>
        <w:t>4.7 Performance-Based Compensation Recoupment</w:t>
      </w:r>
      <w:r>
        <w:rPr>
          <w:rFonts w:ascii="Arial" w:cs="Arial" w:eastAsia="Arial" w:hAnsi="Arial"/>
          <w:sz w:val="21"/>
          <w:szCs w:val="21"/>
          <w:color w:val="auto"/>
        </w:rPr>
        <w:t>. All Awards are subject to any Company performance-based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recoupment policy in effect from time to time.</w:t>
      </w:r>
    </w:p>
    <w:p>
      <w:pPr>
        <w:spacing w:after="0" w:line="173" w:lineRule="exact"/>
        <w:rPr>
          <w:sz w:val="20"/>
          <w:szCs w:val="20"/>
          <w:color w:val="auto"/>
        </w:rPr>
      </w:pPr>
    </w:p>
    <w:p>
      <w:pPr>
        <w:ind w:right="80" w:firstLine="392"/>
        <w:spacing w:after="0" w:line="283" w:lineRule="auto"/>
        <w:rPr>
          <w:sz w:val="20"/>
          <w:szCs w:val="20"/>
          <w:color w:val="auto"/>
        </w:rPr>
      </w:pPr>
      <w:r>
        <w:rPr>
          <w:rFonts w:ascii="Arial" w:cs="Arial" w:eastAsia="Arial" w:hAnsi="Arial"/>
          <w:sz w:val="21"/>
          <w:szCs w:val="21"/>
          <w:b w:val="1"/>
          <w:bCs w:val="1"/>
          <w:color w:val="auto"/>
        </w:rPr>
        <w:t xml:space="preserve">4.8 Written Communication of Awards. </w:t>
      </w:r>
      <w:r>
        <w:rPr>
          <w:rFonts w:ascii="Arial" w:cs="Arial" w:eastAsia="Arial" w:hAnsi="Arial"/>
          <w:sz w:val="21"/>
          <w:szCs w:val="21"/>
          <w:color w:val="auto"/>
        </w:rPr>
        <w:t>Human Resources for the Company or an Affiliate may determine how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and terms of each AVIP Award may be communicated in writing.</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5. Amendment, Termination, and Interpretation</w:t>
      </w:r>
    </w:p>
    <w:p>
      <w:pPr>
        <w:spacing w:after="0" w:line="41" w:lineRule="exact"/>
        <w:rPr>
          <w:sz w:val="20"/>
          <w:szCs w:val="20"/>
          <w:color w:val="auto"/>
        </w:rPr>
      </w:pPr>
    </w:p>
    <w:p>
      <w:pPr>
        <w:ind w:right="160" w:firstLine="392"/>
        <w:spacing w:after="0" w:line="246" w:lineRule="auto"/>
        <w:rPr>
          <w:sz w:val="20"/>
          <w:szCs w:val="20"/>
          <w:color w:val="auto"/>
        </w:rPr>
      </w:pPr>
      <w:r>
        <w:rPr>
          <w:rFonts w:ascii="Arial" w:cs="Arial" w:eastAsia="Arial" w:hAnsi="Arial"/>
          <w:sz w:val="21"/>
          <w:szCs w:val="21"/>
          <w:color w:val="auto"/>
        </w:rPr>
        <w:t>AVIP awards in any given year are fully discretionary on the part of the Company and each manager of employees. In addition, the Committee or Board may, at any time and from time to time,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9" w:right="259" w:bottom="1440" w:gutter="0" w:footer="0" w:header="0"/>
        </w:sectPr>
      </w:pPr>
    </w:p>
    <w:bookmarkStart w:id="176" w:name="page177"/>
    <w:bookmarkEnd w:id="176"/>
    <w:p>
      <w:pPr>
        <w:spacing w:after="0" w:line="249" w:lineRule="auto"/>
        <w:rPr>
          <w:sz w:val="20"/>
          <w:szCs w:val="20"/>
          <w:color w:val="auto"/>
        </w:rPr>
      </w:pPr>
      <w:r>
        <w:rPr>
          <w:rFonts w:ascii="Arial" w:cs="Arial" w:eastAsia="Arial" w:hAnsi="Arial"/>
          <w:sz w:val="21"/>
          <w:szCs w:val="21"/>
          <w:color w:val="auto"/>
        </w:rPr>
        <w:t>alter, amend, modify, suspend, or terminate AVIP in whole or in part. If shareholder approval is required by law, regulation, or stock exchange rule, then no amendment shall be effective without such shareholder approval. AVIP is designed and intended to comply with Code Section 162(m), to the extent applicable, as Performance-Based Compensation and all provisions hereof shall be construed in a manner to so comply.</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color w:val="auto"/>
        </w:rPr>
        <w:t>Article 6. Administration</w:t>
      </w:r>
    </w:p>
    <w:p>
      <w:pPr>
        <w:spacing w:after="0" w:line="41" w:lineRule="exact"/>
        <w:rPr>
          <w:sz w:val="20"/>
          <w:szCs w:val="20"/>
          <w:color w:val="auto"/>
        </w:rPr>
      </w:pPr>
    </w:p>
    <w:p>
      <w:pPr>
        <w:ind w:firstLine="392"/>
        <w:spacing w:after="0" w:line="273" w:lineRule="auto"/>
        <w:rPr>
          <w:sz w:val="20"/>
          <w:szCs w:val="20"/>
          <w:color w:val="auto"/>
        </w:rPr>
      </w:pPr>
      <w:r>
        <w:rPr>
          <w:rFonts w:ascii="Arial" w:cs="Arial" w:eastAsia="Arial" w:hAnsi="Arial"/>
          <w:sz w:val="19"/>
          <w:szCs w:val="19"/>
          <w:color w:val="auto"/>
        </w:rPr>
        <w:t>Pursuant and subject to Section 3.3 of the 2017 Plan, the Committee hereby delegates its administrative duties and powers with respect to AVIP Awards to the Head of Compensation and Benefits within the Human Resources Department of the Company (the “Administrative Delegation”). The Administrative Delegation does not in any way limit any of the duties and powers of the Committee under this plan or the 2017 Plan. The Administrative Delegation may be sub-delegated to any individual or entity, and such sub-delegation can be made either expressly or by implication of the assignment of management or administrative duties or entrance by the Company or any Affiliate through an authorized representative into one or more management, service, or vending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369"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CERTIFICATIONS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 Eric T. Steigerwalt, certify that:</w:t>
      </w:r>
    </w:p>
    <w:p>
      <w:pPr>
        <w:spacing w:after="0" w:line="140" w:lineRule="exact"/>
        <w:rPr>
          <w:sz w:val="20"/>
          <w:szCs w:val="20"/>
          <w:color w:val="auto"/>
        </w:rPr>
      </w:pPr>
    </w:p>
    <w:p>
      <w:pPr>
        <w:ind w:left="660" w:hanging="166"/>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Financial, Inc.;</w:t>
      </w:r>
    </w:p>
    <w:p>
      <w:pPr>
        <w:spacing w:after="0" w:line="140" w:lineRule="exact"/>
        <w:rPr>
          <w:rFonts w:ascii="Arial" w:cs="Arial" w:eastAsia="Arial" w:hAnsi="Arial"/>
          <w:sz w:val="16"/>
          <w:szCs w:val="16"/>
          <w:color w:val="auto"/>
        </w:rPr>
      </w:pPr>
    </w:p>
    <w:p>
      <w:pPr>
        <w:ind w:right="20" w:firstLine="494"/>
        <w:spacing w:after="0" w:line="275"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firstLine="494"/>
        <w:spacing w:after="0" w:line="275"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right="380" w:firstLine="494"/>
        <w:spacing w:after="0" w:line="275"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92" w:lineRule="exact"/>
        <w:rPr>
          <w:sz w:val="20"/>
          <w:szCs w:val="20"/>
          <w:color w:val="auto"/>
        </w:rPr>
      </w:pPr>
    </w:p>
    <w:p>
      <w:pPr>
        <w:ind w:left="980" w:right="20" w:hanging="486"/>
        <w:spacing w:after="0" w:line="261"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ind w:left="980" w:right="400" w:hanging="486"/>
        <w:spacing w:after="0" w:line="275"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ind w:left="980" w:right="60" w:hanging="486"/>
        <w:spacing w:after="0" w:line="261"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right="300" w:firstLine="494"/>
        <w:spacing w:after="0" w:line="275" w:lineRule="auto"/>
        <w:tabs>
          <w:tab w:leader="none" w:pos="64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right="580" w:hanging="486"/>
        <w:spacing w:after="0" w:line="275"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980" w:right="180" w:hanging="486"/>
        <w:spacing w:after="0" w:line="275" w:lineRule="auto"/>
        <w:tabs>
          <w:tab w:leader="none" w:pos="9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Date: August 15, 2017</w:t>
      </w:r>
    </w:p>
    <w:p>
      <w:pPr>
        <w:spacing w:after="0" w:line="30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163830</wp:posOffset>
            </wp:positionV>
            <wp:extent cx="2907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69"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Eric T. Steigerwalt</w:t>
      </w:r>
    </w:p>
    <w:p>
      <w:pPr>
        <w:spacing w:after="0" w:line="73"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President and</w:t>
      </w:r>
    </w:p>
    <w:p>
      <w:pPr>
        <w:spacing w:after="0" w:line="73"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58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CERTIFICATIONS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 Anant Bhalla, certify that:</w:t>
      </w:r>
    </w:p>
    <w:p>
      <w:pPr>
        <w:spacing w:after="0" w:line="140" w:lineRule="exact"/>
        <w:rPr>
          <w:sz w:val="20"/>
          <w:szCs w:val="20"/>
          <w:color w:val="auto"/>
        </w:rPr>
      </w:pPr>
    </w:p>
    <w:p>
      <w:pPr>
        <w:ind w:left="660" w:hanging="166"/>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Financial, Inc.;</w:t>
      </w:r>
    </w:p>
    <w:p>
      <w:pPr>
        <w:spacing w:after="0" w:line="140" w:lineRule="exact"/>
        <w:rPr>
          <w:rFonts w:ascii="Arial" w:cs="Arial" w:eastAsia="Arial" w:hAnsi="Arial"/>
          <w:sz w:val="16"/>
          <w:szCs w:val="16"/>
          <w:color w:val="auto"/>
        </w:rPr>
      </w:pPr>
    </w:p>
    <w:p>
      <w:pPr>
        <w:ind w:right="20" w:firstLine="494"/>
        <w:spacing w:after="0" w:line="275"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firstLine="494"/>
        <w:spacing w:after="0" w:line="275"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right="380" w:firstLine="494"/>
        <w:spacing w:after="0" w:line="275" w:lineRule="auto"/>
        <w:tabs>
          <w:tab w:leader="none" w:pos="64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05" w:lineRule="exact"/>
        <w:rPr>
          <w:sz w:val="20"/>
          <w:szCs w:val="20"/>
          <w:color w:val="auto"/>
        </w:rPr>
      </w:pPr>
    </w:p>
    <w:p>
      <w:pPr>
        <w:ind w:left="980" w:right="20" w:hanging="486"/>
        <w:spacing w:after="0" w:line="279"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980" w:right="400" w:hanging="486"/>
        <w:spacing w:after="0" w:line="275"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ind w:left="980" w:right="60" w:hanging="486"/>
        <w:spacing w:after="0" w:line="261"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right="300" w:firstLine="494"/>
        <w:spacing w:after="0" w:line="275" w:lineRule="auto"/>
        <w:tabs>
          <w:tab w:leader="none" w:pos="6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sz w:val="20"/>
          <w:szCs w:val="20"/>
          <w:color w:val="auto"/>
        </w:rPr>
      </w:pPr>
    </w:p>
    <w:p>
      <w:pPr>
        <w:ind w:left="980" w:right="580" w:hanging="486"/>
        <w:spacing w:after="0" w:line="281"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980" w:right="180" w:hanging="486"/>
        <w:spacing w:after="0" w:line="281"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Date: August 15, 2017</w:t>
      </w:r>
    </w:p>
    <w:p>
      <w:pPr>
        <w:spacing w:after="0" w:line="30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163830</wp:posOffset>
            </wp:positionV>
            <wp:extent cx="30702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69" w:lineRule="exact"/>
        <w:rPr>
          <w:sz w:val="20"/>
          <w:szCs w:val="20"/>
          <w:color w:val="auto"/>
        </w:rPr>
      </w:pPr>
    </w:p>
    <w:p>
      <w:pPr>
        <w:jc w:val="center"/>
        <w:ind w:left="6580"/>
        <w:spacing w:after="0"/>
        <w:rPr>
          <w:sz w:val="20"/>
          <w:szCs w:val="20"/>
          <w:color w:val="auto"/>
        </w:rPr>
      </w:pPr>
      <w:r>
        <w:rPr>
          <w:rFonts w:ascii="Arial" w:cs="Arial" w:eastAsia="Arial" w:hAnsi="Arial"/>
          <w:sz w:val="16"/>
          <w:szCs w:val="16"/>
          <w:color w:val="auto"/>
        </w:rPr>
        <w:t>Anant Bhalla</w:t>
      </w:r>
    </w:p>
    <w:p>
      <w:pPr>
        <w:spacing w:after="0" w:line="73" w:lineRule="exact"/>
        <w:rPr>
          <w:sz w:val="20"/>
          <w:szCs w:val="20"/>
          <w:color w:val="auto"/>
        </w:rPr>
      </w:pPr>
    </w:p>
    <w:p>
      <w:pPr>
        <w:jc w:val="center"/>
        <w:ind w:left="6580"/>
        <w:spacing w:after="0"/>
        <w:rPr>
          <w:sz w:val="20"/>
          <w:szCs w:val="20"/>
          <w:color w:val="auto"/>
        </w:rPr>
      </w:pPr>
      <w:r>
        <w:rPr>
          <w:rFonts w:ascii="Arial" w:cs="Arial" w:eastAsia="Arial" w:hAnsi="Arial"/>
          <w:sz w:val="16"/>
          <w:szCs w:val="16"/>
          <w:color w:val="auto"/>
        </w:rPr>
        <w:t>Executive Vice President and</w:t>
      </w:r>
    </w:p>
    <w:p>
      <w:pPr>
        <w:spacing w:after="0" w:line="73" w:lineRule="exact"/>
        <w:rPr>
          <w:sz w:val="20"/>
          <w:szCs w:val="20"/>
          <w:color w:val="auto"/>
        </w:rPr>
      </w:pPr>
    </w:p>
    <w:p>
      <w:pPr>
        <w:jc w:val="center"/>
        <w:ind w:left="65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58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I, Eric T. Steigerwalt, certify that (i) Brighthouse Financial, Inc.'s Quarterly Report on Form 10-Q for the quarter ended June 30, 2017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2017</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Brighthouse Financial, Inc. and will be retained by Brighthouse Financial, Inc.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I, Anant Bhalla, certify that (i) Brighthouse Financial, Inc.’s Quarterly Report on Form 10-Q for the quarter ended June 30, 2017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2017</w:t>
      </w:r>
    </w:p>
    <w:p>
      <w:pPr>
        <w:spacing w:after="0" w:line="200" w:lineRule="exact"/>
        <w:rPr>
          <w:sz w:val="20"/>
          <w:szCs w:val="20"/>
          <w:color w:val="auto"/>
        </w:rPr>
      </w:pPr>
    </w:p>
    <w:p>
      <w:pPr>
        <w:spacing w:after="0" w:line="322"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Brighthouse Financial, Inc. and will be retained by Brighthouse Financial,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lvl w:ilvl="1">
      <w:lvlJc w:val="left"/>
      <w:lvlText w:val="☐"/>
      <w:numFmt w:val="bullet"/>
      <w:start w:val="1"/>
    </w:lvl>
  </w:abstractNum>
  <w:abstractNum w:abstractNumId="1">
    <w:nsid w:val="1CF10FD8"/>
    <w:multiLevelType w:val="hybridMultilevel"/>
    <w:lvl w:ilvl="0">
      <w:lvlJc w:val="left"/>
      <w:lvlText w:val="(%1)"/>
      <w:numFmt w:val="lowerRoman"/>
      <w:start w:val="2"/>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lvl w:ilvl="1">
      <w:lvlJc w:val="left"/>
      <w:lvlText w:val="•"/>
      <w:numFmt w:val="bullet"/>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4"/>
    </w:lvl>
  </w:abstractNum>
  <w:abstractNum w:abstractNumId="6">
    <w:nsid w:val="15B5AF5C"/>
    <w:multiLevelType w:val="hybridMultilevel"/>
    <w:lvl w:ilvl="0">
      <w:lvlJc w:val="left"/>
      <w:lvlText w:val="(%1)"/>
      <w:numFmt w:val="decimal"/>
      <w:start w:val="312"/>
    </w:lvl>
  </w:abstractNum>
  <w:abstractNum w:abstractNumId="7">
    <w:nsid w:val="741226BB"/>
    <w:multiLevelType w:val="hybridMultilevel"/>
    <w:lvl w:ilvl="0">
      <w:lvlJc w:val="left"/>
      <w:lvlText w:val="(%1)"/>
      <w:numFmt w:val="decimal"/>
      <w:start w:val="55"/>
    </w:lvl>
  </w:abstractNum>
  <w:abstractNum w:abstractNumId="8">
    <w:nsid w:val="D34B6A8"/>
    <w:multiLevelType w:val="hybridMultilevel"/>
    <w:lvl w:ilvl="0">
      <w:lvlJc w:val="left"/>
      <w:lvlText w:val="(%1)"/>
      <w:numFmt w:val="decimal"/>
      <w:start w:val="367"/>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1)"/>
      <w:numFmt w:val="decimal"/>
      <w:start w:val="1"/>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1."/>
      <w:numFmt w:val="decimal"/>
      <w:start w:val="4"/>
    </w:lvl>
  </w:abstractNum>
  <w:abstractNum w:abstractNumId="13">
    <w:nsid w:val="77AE35EB"/>
    <w:multiLevelType w:val="hybridMultilevel"/>
    <w:lvl w:ilvl="0">
      <w:lvlJc w:val="left"/>
      <w:lvlText w:val="%1."/>
      <w:numFmt w:val="decimal"/>
      <w:start w:val="4"/>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1)"/>
      <w:numFmt w:val="lowerRoman"/>
      <w:start w:val="2"/>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1"/>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decimal"/>
      <w:start w:val="1"/>
    </w:lvl>
  </w:abstractNum>
  <w:abstractNum w:abstractNumId="26">
    <w:nsid w:val="15014ACB"/>
    <w:multiLevelType w:val="hybridMultilevel"/>
    <w:lvl w:ilvl="0">
      <w:lvlJc w:val="left"/>
      <w:lvlText w:val="(%1)"/>
      <w:numFmt w:val="decimal"/>
      <w:start w:val="5"/>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2"/>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decimal"/>
      <w:start w:val="7"/>
    </w:lvl>
  </w:abstractNum>
  <w:abstractNum w:abstractNumId="38">
    <w:nsid w:val="51D9C564"/>
    <w:multiLevelType w:val="hybridMultilevel"/>
    <w:lvl w:ilvl="0">
      <w:lvlJc w:val="left"/>
      <w:lvlText w:val="(%1)"/>
      <w:numFmt w:val="decimal"/>
      <w:start w:val="1"/>
    </w:lvl>
  </w:abstractNum>
  <w:abstractNum w:abstractNumId="39">
    <w:nsid w:val="613EFDC5"/>
    <w:multiLevelType w:val="hybridMultilevel"/>
    <w:lvl w:ilvl="0">
      <w:lvlJc w:val="left"/>
      <w:lvlText w:val="(%1)"/>
      <w:numFmt w:val="decimal"/>
      <w:start w:val="8"/>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6"/>
    </w:lvl>
  </w:abstractNum>
  <w:abstractNum w:abstractNumId="42">
    <w:nsid w:val="42963E5A"/>
    <w:multiLevelType w:val="hybridMultilevel"/>
    <w:lvl w:ilvl="0">
      <w:lvlJc w:val="left"/>
      <w:lvlText w:val="%1."/>
      <w:numFmt w:val="decimal"/>
      <w:start w:val="7"/>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lowerRoman"/>
      <w:start w:val="1"/>
    </w:lvl>
  </w:abstractNum>
  <w:abstractNum w:abstractNumId="46">
    <w:nsid w:val="3B0FD379"/>
    <w:multiLevelType w:val="hybridMultilevel"/>
    <w:lvl w:ilvl="0">
      <w:lvlJc w:val="left"/>
      <w:lvlText w:val="•"/>
      <w:numFmt w:val="bullet"/>
      <w:start w:val="1"/>
    </w:lvl>
    <w:lvl w:ilvl="1">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1)"/>
      <w:numFmt w:val="lowerRoman"/>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1)"/>
      <w:numFmt w:val="decimal"/>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emdash "/>
      <w:numFmt w:val="bullet"/>
      <w:start w:val="1"/>
    </w:lvl>
  </w:abstractNum>
  <w:abstractNum w:abstractNumId="79">
    <w:nsid w:val="7055A5F5"/>
    <w:multiLevelType w:val="hybridMultilevel"/>
    <w:lvl w:ilvl="0">
      <w:lvlJc w:val="left"/>
      <w:lvlText w:val="\emdash "/>
      <w:numFmt w:val="bullet"/>
      <w:start w:val="1"/>
    </w:lvl>
  </w:abstractNum>
  <w:abstractNum w:abstractNumId="80">
    <w:nsid w:val="5FB8370B"/>
    <w:multiLevelType w:val="hybridMultilevel"/>
    <w:lvl w:ilvl="0">
      <w:lvlJc w:val="left"/>
      <w:lvlText w:val="(%1)"/>
      <w:numFmt w:val="decimal"/>
      <w:start w:val="1"/>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2"/>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lowerLetter"/>
      <w:start w:val="2"/>
    </w:lvl>
    <w:lvl w:ilvl="1">
      <w:lvlJc w:val="left"/>
      <w:lvlText w:val="(%2)"/>
      <w:numFmt w:val="decimal"/>
      <w:start w:val="1"/>
    </w:lvl>
  </w:abstractNum>
  <w:abstractNum w:abstractNumId="88">
    <w:nsid w:val="7D5E18F8"/>
    <w:multiLevelType w:val="hybridMultilevel"/>
    <w:lvl w:ilvl="0">
      <w:lvlJc w:val="left"/>
      <w:lvlText w:val="%1"/>
      <w:numFmt w:val="lowerLetter"/>
      <w:start w:val="1"/>
    </w:lvl>
    <w:lvl w:ilvl="1">
      <w:lvlJc w:val="left"/>
      <w:lvlText w:val="(%2)"/>
      <w:numFmt w:val="decimal"/>
      <w:start w:val="3"/>
    </w:lvl>
  </w:abstractNum>
  <w:abstractNum w:abstractNumId="89">
    <w:nsid w:val="5F3534A4"/>
    <w:multiLevelType w:val="hybridMultilevel"/>
    <w:lvl w:ilvl="0">
      <w:lvlJc w:val="left"/>
      <w:lvlText w:val="(%1)"/>
      <w:numFmt w:val="lowerLetter"/>
      <w:start w:val="4"/>
    </w:lvl>
    <w:lvl w:ilvl="1">
      <w:lvlJc w:val="left"/>
      <w:lvlText w:val="(%2)"/>
      <w:numFmt w:val="decimal"/>
      <w:start w:val="1"/>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decimal"/>
      <w:start w:val="10"/>
    </w:lvl>
  </w:abstractNum>
  <w:abstractNum w:abstractNumId="93">
    <w:nsid w:val="3FA62ACA"/>
    <w:multiLevelType w:val="hybridMultilevel"/>
    <w:lvl w:ilvl="0">
      <w:lvlJc w:val="left"/>
      <w:lvlText w:val="(%1)"/>
      <w:numFmt w:val="upperLetter"/>
      <w:start w:val="1"/>
    </w:lvl>
    <w:lvl w:ilvl="1">
      <w:lvlJc w:val="left"/>
      <w:lvlText w:val="(%2)"/>
      <w:numFmt w:val="decimal"/>
      <w:start w:val="2"/>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upperLetter"/>
      <w:start w:val="35"/>
    </w:lvl>
    <w:lvl w:ilvl="1">
      <w:lvlJc w:val="left"/>
      <w:lvlText w:val="(%2)"/>
      <w:numFmt w:val="upperLetter"/>
      <w:start w:val="2"/>
    </w:lvl>
    <w:lvl w:ilvl="2">
      <w:lvlJc w:val="left"/>
      <w:lvlText w:val="(%3)"/>
      <w:numFmt w:val="decimal"/>
      <w:start w:val="2"/>
    </w:lvl>
  </w:abstractNum>
  <w:abstractNum w:abstractNumId="96">
    <w:nsid w:val="71C91298"/>
    <w:multiLevelType w:val="hybridMultilevel"/>
    <w:lvl w:ilvl="0">
      <w:lvlJc w:val="left"/>
      <w:lvlText w:val="(%1)"/>
      <w:numFmt w:val="lowerRoman"/>
      <w:start w:val="2"/>
    </w:lvl>
  </w:abstractNum>
  <w:abstractNum w:abstractNumId="97">
    <w:nsid w:val="9DAF632"/>
    <w:multiLevelType w:val="hybridMultilevel"/>
    <w:lvl w:ilvl="0">
      <w:lvlJc w:val="left"/>
      <w:lvlText w:val="%1"/>
      <w:numFmt w:val="decimal"/>
      <w:start w:val="1"/>
    </w:lvl>
    <w:lvl w:ilvl="1">
      <w:lvlJc w:val="left"/>
      <w:lvlText w:val="(%2)"/>
      <w:numFmt w:val="lowerLetter"/>
      <w:start w:val="1"/>
    </w:lvl>
  </w:abstractNum>
  <w:abstractNum w:abstractNumId="98">
    <w:nsid w:val="53299938"/>
    <w:multiLevelType w:val="hybridMultilevel"/>
    <w:lvl w:ilvl="0">
      <w:lvlJc w:val="left"/>
      <w:lvlText w:val="(%1)"/>
      <w:numFmt w:val="decimal"/>
      <w:start w:val="17"/>
    </w:lvl>
    <w:lvl w:ilvl="1">
      <w:lvlJc w:val="left"/>
      <w:lvlText w:val="(%2)"/>
      <w:numFmt w:val="lowerLetter"/>
      <w:start w:val="4"/>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1)"/>
      <w:numFmt w:val="lowerRoman"/>
      <w:start w:val="1"/>
    </w:lvl>
  </w:abstractNum>
  <w:abstractNum w:abstractNumId="103">
    <w:nsid w:val="288F1A34"/>
    <w:multiLevelType w:val="hybridMultilevel"/>
    <w:lvl w:ilvl="0">
      <w:lvlJc w:val="left"/>
      <w:lvlText w:val="(%1)"/>
      <w:numFmt w:val="decimal"/>
      <w:start w:val="1"/>
    </w:lvl>
    <w:lvl w:ilvl="1">
      <w:lvlJc w:val="left"/>
      <w:lvlText w:val="(%2)"/>
      <w:numFmt w:val="lowerRoman"/>
      <w:start w:val="1"/>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decimal"/>
      <w:start w:val="5"/>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decimal"/>
      <w:start w:val="5"/>
    </w:lvl>
  </w:abstractNum>
  <w:abstractNum w:abstractNumId="111">
    <w:nsid w:val="7C58FD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2019-12-29T05:08:29Z</dcterms:created>
  <dcterms:modified xsi:type="dcterms:W3CDTF">2019-12-29T05:08:29Z</dcterms:modified>
</cp:coreProperties>
</file>