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346075</wp:posOffset>
            </wp:positionH>
            <wp:positionV relativeFrom="page">
              <wp:posOffset>440690</wp:posOffset>
            </wp:positionV>
            <wp:extent cx="6869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346075</wp:posOffset>
            </wp:positionV>
            <wp:extent cx="68694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17145"/>
                    </a:xfrm>
                    <a:prstGeom prst="rect">
                      <a:avLst/>
                    </a:prstGeom>
                    <a:noFill/>
                  </pic:spPr>
                </pic:pic>
              </a:graphicData>
            </a:graphic>
          </wp:anchor>
        </w:drawing>
        <w:t>UNITED STATES SECURITIES AND EXCHANGE COMMISSION</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9"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__________________________</w:t>
      </w:r>
    </w:p>
    <w:p>
      <w:pPr>
        <w:spacing w:after="0" w:line="10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10-K</w:t>
      </w:r>
    </w:p>
    <w:p>
      <w:pPr>
        <w:spacing w:after="0" w:line="107" w:lineRule="exact"/>
        <w:rPr>
          <w:sz w:val="24"/>
          <w:szCs w:val="24"/>
          <w:color w:val="auto"/>
        </w:rPr>
      </w:pPr>
    </w:p>
    <w:p>
      <w:pPr>
        <w:ind w:left="80"/>
        <w:spacing w:after="0"/>
        <w:rPr>
          <w:sz w:val="20"/>
          <w:szCs w:val="20"/>
          <w:color w:val="auto"/>
        </w:rPr>
      </w:pPr>
      <w:r>
        <w:rPr>
          <w:rFonts w:ascii="Arial" w:cs="Arial" w:eastAsia="Arial" w:hAnsi="Arial"/>
          <w:sz w:val="14"/>
          <w:szCs w:val="14"/>
          <w:color w:val="auto"/>
        </w:rPr>
        <w:t>(Mark One)</w:t>
      </w:r>
    </w:p>
    <w:p>
      <w:pPr>
        <w:spacing w:after="0" w:line="200" w:lineRule="exact"/>
        <w:rPr>
          <w:sz w:val="24"/>
          <w:szCs w:val="24"/>
          <w:color w:val="auto"/>
        </w:rPr>
      </w:pPr>
    </w:p>
    <w:p>
      <w:pPr>
        <w:spacing w:after="0" w:line="202" w:lineRule="exact"/>
        <w:rPr>
          <w:sz w:val="24"/>
          <w:szCs w:val="24"/>
          <w:color w:val="auto"/>
        </w:rPr>
      </w:pPr>
    </w:p>
    <w:p>
      <w:pPr>
        <w:ind w:left="740" w:hanging="195"/>
        <w:spacing w:after="0"/>
        <w:tabs>
          <w:tab w:leader="none" w:pos="7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7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For the fiscal year ended December 31, 2017</w:t>
      </w:r>
    </w:p>
    <w:p>
      <w:pPr>
        <w:spacing w:after="0" w:line="5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or</w:t>
      </w:r>
    </w:p>
    <w:p>
      <w:pPr>
        <w:spacing w:after="0" w:line="200" w:lineRule="exact"/>
        <w:rPr>
          <w:sz w:val="24"/>
          <w:szCs w:val="24"/>
          <w:color w:val="auto"/>
        </w:rPr>
      </w:pPr>
    </w:p>
    <w:p>
      <w:pPr>
        <w:spacing w:after="0" w:line="368" w:lineRule="exact"/>
        <w:rPr>
          <w:sz w:val="24"/>
          <w:szCs w:val="24"/>
          <w:color w:val="auto"/>
        </w:rPr>
      </w:pPr>
    </w:p>
    <w:p>
      <w:pPr>
        <w:ind w:left="4240" w:right="3100" w:hanging="3695"/>
        <w:spacing w:after="0" w:line="332" w:lineRule="auto"/>
        <w:tabs>
          <w:tab w:leader="none" w:pos="744"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_____to _____</w:t>
      </w:r>
    </w:p>
    <w:p>
      <w:pPr>
        <w:ind w:left="454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Commission file number 033-03094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2498725</wp:posOffset>
            </wp:positionH>
            <wp:positionV relativeFrom="paragraph">
              <wp:posOffset>49530</wp:posOffset>
            </wp:positionV>
            <wp:extent cx="2143760"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76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Brighthouse Life Insurance Company</w:t>
      </w:r>
    </w:p>
    <w:p>
      <w:pPr>
        <w:spacing w:after="0" w:line="73" w:lineRule="exact"/>
        <w:rPr>
          <w:sz w:val="24"/>
          <w:szCs w:val="24"/>
          <w:color w:val="auto"/>
        </w:rPr>
      </w:pPr>
    </w:p>
    <w:p>
      <w:pPr>
        <w:jc w:val="center"/>
        <w:ind w:right="-7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13" w:lineRule="exact"/>
        <w:rPr>
          <w:sz w:val="24"/>
          <w:szCs w:val="24"/>
          <w:color w:val="auto"/>
        </w:rPr>
      </w:pPr>
    </w:p>
    <w:tbl>
      <w:tblPr>
        <w:tblLayout w:type="fixed"/>
        <w:tblInd w:w="660" w:type="dxa"/>
        <w:tblCellMar>
          <w:top w:w="0" w:type="dxa"/>
          <w:left w:w="0" w:type="dxa"/>
          <w:bottom w:w="0" w:type="dxa"/>
          <w:right w:w="0" w:type="dxa"/>
        </w:tblCellMar>
      </w:tblPr>
      <w:tr>
        <w:trPr>
          <w:trHeight w:val="186"/>
        </w:trPr>
        <w:tc>
          <w:tcPr>
            <w:tcW w:w="6520" w:type="dxa"/>
            <w:vAlign w:val="bottom"/>
          </w:tcPr>
          <w:p>
            <w:pPr>
              <w:jc w:val="center"/>
              <w:ind w:right="2468"/>
              <w:spacing w:after="0"/>
              <w:rPr>
                <w:sz w:val="20"/>
                <w:szCs w:val="20"/>
                <w:color w:val="auto"/>
              </w:rPr>
            </w:pPr>
            <w:r>
              <w:rPr>
                <w:rFonts w:ascii="Arial" w:cs="Arial" w:eastAsia="Arial" w:hAnsi="Arial"/>
                <w:sz w:val="14"/>
                <w:szCs w:val="14"/>
                <w:b w:val="1"/>
                <w:bCs w:val="1"/>
                <w:color w:val="auto"/>
                <w:w w:val="94"/>
              </w:rPr>
              <w:t>Delaware</w:t>
            </w:r>
          </w:p>
        </w:tc>
        <w:tc>
          <w:tcPr>
            <w:tcW w:w="2120" w:type="dxa"/>
            <w:vAlign w:val="bottom"/>
          </w:tcPr>
          <w:p>
            <w:pPr>
              <w:jc w:val="right"/>
              <w:ind w:right="608"/>
              <w:spacing w:after="0"/>
              <w:rPr>
                <w:sz w:val="20"/>
                <w:szCs w:val="20"/>
                <w:color w:val="auto"/>
              </w:rPr>
            </w:pPr>
            <w:r>
              <w:rPr>
                <w:rFonts w:ascii="Arial" w:cs="Arial" w:eastAsia="Arial" w:hAnsi="Arial"/>
                <w:sz w:val="14"/>
                <w:szCs w:val="14"/>
                <w:b w:val="1"/>
                <w:bCs w:val="1"/>
                <w:color w:val="auto"/>
              </w:rPr>
              <w:t>06-0566090</w:t>
            </w:r>
          </w:p>
        </w:tc>
      </w:tr>
      <w:tr>
        <w:trPr>
          <w:trHeight w:val="203"/>
        </w:trPr>
        <w:tc>
          <w:tcPr>
            <w:tcW w:w="6520" w:type="dxa"/>
            <w:vAlign w:val="bottom"/>
          </w:tcPr>
          <w:p>
            <w:pPr>
              <w:jc w:val="center"/>
              <w:ind w:right="2468"/>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2120" w:type="dxa"/>
            <w:vAlign w:val="bottom"/>
          </w:tcPr>
          <w:p>
            <w:pPr>
              <w:jc w:val="center"/>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324"/>
        </w:trPr>
        <w:tc>
          <w:tcPr>
            <w:tcW w:w="6520" w:type="dxa"/>
            <w:vAlign w:val="bottom"/>
          </w:tcPr>
          <w:p>
            <w:pPr>
              <w:jc w:val="center"/>
              <w:ind w:right="2468"/>
              <w:spacing w:after="0"/>
              <w:rPr>
                <w:sz w:val="20"/>
                <w:szCs w:val="20"/>
                <w:color w:val="auto"/>
              </w:rPr>
            </w:pPr>
            <w:r>
              <w:rPr>
                <w:rFonts w:ascii="Arial" w:cs="Arial" w:eastAsia="Arial" w:hAnsi="Arial"/>
                <w:sz w:val="14"/>
                <w:szCs w:val="14"/>
                <w:b w:val="1"/>
                <w:bCs w:val="1"/>
                <w:color w:val="auto"/>
                <w:w w:val="94"/>
              </w:rPr>
              <w:t>11225 North Community House Road, Charlotte, North Carolina</w:t>
            </w:r>
          </w:p>
        </w:tc>
        <w:tc>
          <w:tcPr>
            <w:tcW w:w="2120" w:type="dxa"/>
            <w:vAlign w:val="bottom"/>
          </w:tcPr>
          <w:p>
            <w:pPr>
              <w:jc w:val="right"/>
              <w:ind w:right="788"/>
              <w:spacing w:after="0"/>
              <w:rPr>
                <w:sz w:val="20"/>
                <w:szCs w:val="20"/>
                <w:color w:val="auto"/>
              </w:rPr>
            </w:pPr>
            <w:r>
              <w:rPr>
                <w:rFonts w:ascii="Arial" w:cs="Arial" w:eastAsia="Arial" w:hAnsi="Arial"/>
                <w:sz w:val="14"/>
                <w:szCs w:val="14"/>
                <w:b w:val="1"/>
                <w:bCs w:val="1"/>
                <w:color w:val="auto"/>
              </w:rPr>
              <w:t>28277</w:t>
            </w:r>
          </w:p>
        </w:tc>
      </w:tr>
      <w:tr>
        <w:trPr>
          <w:trHeight w:val="192"/>
        </w:trPr>
        <w:tc>
          <w:tcPr>
            <w:tcW w:w="6520" w:type="dxa"/>
            <w:vAlign w:val="bottom"/>
          </w:tcPr>
          <w:p>
            <w:pPr>
              <w:jc w:val="center"/>
              <w:ind w:right="2468"/>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2120" w:type="dxa"/>
            <w:vAlign w:val="bottom"/>
          </w:tcPr>
          <w:p>
            <w:pPr>
              <w:jc w:val="center"/>
              <w:spacing w:after="0"/>
              <w:rPr>
                <w:sz w:val="20"/>
                <w:szCs w:val="20"/>
                <w:color w:val="auto"/>
              </w:rPr>
            </w:pPr>
            <w:r>
              <w:rPr>
                <w:rFonts w:ascii="Arial" w:cs="Arial" w:eastAsia="Arial" w:hAnsi="Arial"/>
                <w:sz w:val="14"/>
                <w:szCs w:val="14"/>
                <w:i w:val="1"/>
                <w:iCs w:val="1"/>
                <w:color w:val="auto"/>
                <w:w w:val="96"/>
              </w:rPr>
              <w:t>(Zip Code)</w:t>
            </w:r>
          </w:p>
        </w:tc>
      </w:tr>
      <w:tr>
        <w:trPr>
          <w:trHeight w:val="186"/>
        </w:trPr>
        <w:tc>
          <w:tcPr>
            <w:tcW w:w="6520" w:type="dxa"/>
            <w:vAlign w:val="bottom"/>
          </w:tcPr>
          <w:p>
            <w:pPr>
              <w:jc w:val="right"/>
              <w:ind w:right="1048"/>
              <w:spacing w:after="0"/>
              <w:rPr>
                <w:sz w:val="20"/>
                <w:szCs w:val="20"/>
                <w:color w:val="auto"/>
              </w:rPr>
            </w:pPr>
            <w:r>
              <w:rPr>
                <w:rFonts w:ascii="Arial" w:cs="Arial" w:eastAsia="Arial" w:hAnsi="Arial"/>
                <w:sz w:val="14"/>
                <w:szCs w:val="14"/>
                <w:b w:val="1"/>
                <w:bCs w:val="1"/>
                <w:color w:val="auto"/>
              </w:rPr>
              <w:t>(980) 365-7100</w:t>
            </w:r>
          </w:p>
        </w:tc>
        <w:tc>
          <w:tcPr>
            <w:tcW w:w="2120" w:type="dxa"/>
            <w:vAlign w:val="bottom"/>
          </w:tcPr>
          <w:p>
            <w:pPr>
              <w:spacing w:after="0"/>
              <w:rPr>
                <w:sz w:val="16"/>
                <w:szCs w:val="16"/>
                <w:color w:val="auto"/>
              </w:rPr>
            </w:pPr>
          </w:p>
        </w:tc>
      </w:tr>
      <w:tr>
        <w:trPr>
          <w:trHeight w:val="216"/>
        </w:trPr>
        <w:tc>
          <w:tcPr>
            <w:tcW w:w="6520" w:type="dxa"/>
            <w:vAlign w:val="bottom"/>
          </w:tcPr>
          <w:p>
            <w:pPr>
              <w:jc w:val="center"/>
              <w:ind w:left="3308"/>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2120" w:type="dxa"/>
            <w:vAlign w:val="bottom"/>
          </w:tcPr>
          <w:p>
            <w:pPr>
              <w:spacing w:after="0"/>
              <w:rPr>
                <w:sz w:val="18"/>
                <w:szCs w:val="18"/>
                <w:color w:val="auto"/>
              </w:rPr>
            </w:pPr>
          </w:p>
        </w:tc>
      </w:tr>
    </w:tbl>
    <w:p>
      <w:pPr>
        <w:spacing w:after="0" w:line="84"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Securities registered pursuant to Section 12(b) of the Act: None</w:t>
      </w:r>
    </w:p>
    <w:p>
      <w:pPr>
        <w:spacing w:after="0" w:line="17"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70" w:lineRule="exact"/>
        <w:rPr>
          <w:sz w:val="24"/>
          <w:szCs w:val="24"/>
          <w:color w:val="auto"/>
        </w:rPr>
      </w:pPr>
    </w:p>
    <w:p>
      <w:pPr>
        <w:ind w:right="3620"/>
        <w:spacing w:after="0" w:line="22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160"/>
          </w:cols>
          <w:pgMar w:left="500" w:top="850" w:right="239" w:bottom="1440" w:gutter="0" w:footer="0" w:header="0"/>
        </w:sectPr>
      </w:pPr>
    </w:p>
    <w:p>
      <w:pPr>
        <w:spacing w:after="0" w:line="160" w:lineRule="exact"/>
        <w:rPr>
          <w:sz w:val="24"/>
          <w:szCs w:val="24"/>
          <w:color w:val="auto"/>
        </w:rPr>
      </w:pPr>
    </w:p>
    <w:p>
      <w:pPr>
        <w:ind w:left="10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80" w:lineRule="exact"/>
        <w:rPr>
          <w:sz w:val="24"/>
          <w:szCs w:val="24"/>
          <w:color w:val="auto"/>
        </w:rPr>
      </w:pPr>
    </w:p>
    <w:p>
      <w:pPr>
        <w:sectPr>
          <w:pgSz w:w="11900" w:h="16838" w:orient="portrait"/>
          <w:cols w:equalWidth="0" w:num="2">
            <w:col w:w="6820" w:space="720"/>
            <w:col w:w="3620"/>
          </w:cols>
          <w:pgMar w:left="500" w:top="850" w:right="239" w:bottom="1440" w:gutter="0" w:footer="0" w:header="0"/>
          <w:type w:val="continuous"/>
        </w:sectPr>
      </w:pPr>
    </w:p>
    <w:p>
      <w:pPr>
        <w:ind w:left="10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21" w:lineRule="exact"/>
        <w:rPr>
          <w:sz w:val="24"/>
          <w:szCs w:val="24"/>
          <w:color w:val="auto"/>
        </w:rPr>
      </w:pPr>
    </w:p>
    <w:p>
      <w:pPr>
        <w:sectPr>
          <w:pgSz w:w="11900" w:h="16838" w:orient="portrait"/>
          <w:cols w:equalWidth="0" w:num="2">
            <w:col w:w="6820" w:space="720"/>
            <w:col w:w="3620"/>
          </w:cols>
          <w:pgMar w:left="500" w:top="850" w:right="239" w:bottom="1440" w:gutter="0" w:footer="0" w:header="0"/>
          <w:type w:val="continuous"/>
        </w:sectPr>
      </w:pPr>
    </w:p>
    <w:p>
      <w:pPr>
        <w:ind w:left="10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160"/>
          </w:cols>
          <w:pgMar w:left="500" w:top="850" w:right="239" w:bottom="1440" w:gutter="0" w:footer="0" w:header="0"/>
          <w:type w:val="continuous"/>
        </w:sectPr>
      </w:pPr>
    </w:p>
    <w:p>
      <w:pPr>
        <w:spacing w:after="0" w:line="175"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spacing w:after="0"/>
        <w:rPr>
          <w:sz w:val="20"/>
          <w:szCs w:val="20"/>
          <w:color w:val="auto"/>
        </w:rPr>
      </w:pPr>
      <w:r>
        <w:rPr>
          <w:rFonts w:ascii="Arial" w:cs="Arial" w:eastAsia="Arial" w:hAnsi="Arial"/>
          <w:sz w:val="13"/>
          <w:szCs w:val="13"/>
          <w:color w:val="auto"/>
        </w:rPr>
        <w:t>As of March 21, 2018, 3,000 shares of the registrant’s common stock, $25,000 par value per share, were outstanding, all of which were owned indirectly by Brighthouse Financial, Inc.</w:t>
      </w:r>
    </w:p>
    <w:p>
      <w:pPr>
        <w:spacing w:after="0" w:line="117" w:lineRule="exact"/>
        <w:rPr>
          <w:sz w:val="24"/>
          <w:szCs w:val="24"/>
          <w:color w:val="auto"/>
        </w:rPr>
      </w:pPr>
    </w:p>
    <w:p>
      <w:pPr>
        <w:ind w:left="4440"/>
        <w:spacing w:after="0"/>
        <w:rPr>
          <w:sz w:val="20"/>
          <w:szCs w:val="20"/>
          <w:color w:val="auto"/>
        </w:rPr>
      </w:pPr>
      <w:r>
        <w:rPr>
          <w:rFonts w:ascii="Arial" w:cs="Arial" w:eastAsia="Arial" w:hAnsi="Arial"/>
          <w:sz w:val="14"/>
          <w:szCs w:val="14"/>
          <w:b w:val="1"/>
          <w:bCs w:val="1"/>
          <w:color w:val="auto"/>
        </w:rPr>
        <w:t>REDUCED DISCLOSURE FORMAT</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The registrant meets the conditions set forth in General Instruction I(1)(a) and (b) of Form 10-K and is therefore filing this Form with the reduced disclosure format.</w:t>
      </w:r>
    </w:p>
    <w:p>
      <w:pPr>
        <w:spacing w:after="0" w:line="5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220980</wp:posOffset>
            </wp:positionV>
            <wp:extent cx="68694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9430" cy="17145"/>
                    </a:xfrm>
                    <a:prstGeom prst="rect">
                      <a:avLst/>
                    </a:prstGeom>
                    <a:noFill/>
                  </pic:spPr>
                </pic:pic>
              </a:graphicData>
            </a:graphic>
          </wp:anchor>
        </w:drawing>
        <w:drawing>
          <wp:anchor simplePos="0" relativeHeight="251657728" behindDoc="1" locked="0" layoutInCell="0" allowOverlap="1">
            <wp:simplePos x="0" y="0"/>
            <wp:positionH relativeFrom="column">
              <wp:posOffset>28575</wp:posOffset>
            </wp:positionH>
            <wp:positionV relativeFrom="paragraph">
              <wp:posOffset>135255</wp:posOffset>
            </wp:positionV>
            <wp:extent cx="6869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ectPr>
          <w:pgSz w:w="11900" w:h="16838" w:orient="portrait"/>
          <w:cols w:equalWidth="0" w:num="1">
            <w:col w:w="11160"/>
          </w:cols>
          <w:pgMar w:left="500" w:top="85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0" w:type="dxa"/>
            <w:vAlign w:val="bottom"/>
            <w:gridSpan w:val="8"/>
          </w:tcPr>
          <w:p>
            <w:pPr>
              <w:ind w:left="600"/>
              <w:spacing w:after="0"/>
              <w:rPr>
                <w:sz w:val="20"/>
                <w:szCs w:val="20"/>
                <w:color w:val="auto"/>
              </w:rPr>
            </w:pPr>
            <w:r>
              <w:rPr>
                <w:rFonts w:ascii="Arial" w:cs="Arial" w:eastAsia="Arial" w:hAnsi="Arial"/>
                <w:sz w:val="18"/>
                <w:szCs w:val="18"/>
                <w:b w:val="1"/>
                <w:bCs w:val="1"/>
                <w:color w:val="auto"/>
              </w:rPr>
              <w:t>Table of Contents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1"/>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5"/>
          </w:tcPr>
          <w:p>
            <w:pPr>
              <w:ind w:left="74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40" w:type="dxa"/>
            <w:vAlign w:val="bottom"/>
            <w:gridSpan w:val="7"/>
            <w:vMerge w:val="restart"/>
          </w:tcPr>
          <w:p>
            <w:pPr>
              <w:jc w:val="center"/>
              <w:ind w:right="3540"/>
              <w:spacing w:after="0"/>
              <w:rPr>
                <w:sz w:val="20"/>
                <w:szCs w:val="20"/>
                <w:color w:val="auto"/>
              </w:rPr>
            </w:pPr>
            <w:r>
              <w:rPr>
                <w:rFonts w:ascii="Arial" w:cs="Arial" w:eastAsia="Arial" w:hAnsi="Arial"/>
                <w:sz w:val="16"/>
                <w:szCs w:val="16"/>
                <w:b w:val="1"/>
                <w:bCs w:val="1"/>
                <w:color w:val="auto"/>
              </w:rPr>
              <w:t>Part I</w:t>
            </w: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40" w:type="dxa"/>
            <w:vAlign w:val="bottom"/>
            <w:gridSpan w:val="7"/>
            <w:vMerge w:val="continue"/>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2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34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980" w:type="dxa"/>
            <w:vAlign w:val="bottom"/>
            <w:gridSpan w:val="3"/>
          </w:tcPr>
          <w:p>
            <w:pPr>
              <w:jc w:val="center"/>
              <w:ind w:left="751"/>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4</w:t>
              </w:r>
            </w:hyperlink>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834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1000" w:type="dxa"/>
            <w:vAlign w:val="bottom"/>
            <w:gridSpan w:val="4"/>
          </w:tcPr>
          <w:p>
            <w:pPr>
              <w:jc w:val="center"/>
              <w:ind w:left="711"/>
              <w:spacing w:after="0"/>
              <w:rPr>
                <w:rFonts w:ascii="Arial" w:cs="Arial" w:eastAsia="Arial" w:hAnsi="Arial"/>
                <w:sz w:val="16"/>
                <w:szCs w:val="16"/>
                <w:color w:val="0000EE"/>
                <w:w w:val="89"/>
              </w:rPr>
            </w:pPr>
            <w:hyperlink w:anchor="page22">
              <w:r>
                <w:rPr>
                  <w:rFonts w:ascii="Arial" w:cs="Arial" w:eastAsia="Arial" w:hAnsi="Arial"/>
                  <w:sz w:val="16"/>
                  <w:szCs w:val="16"/>
                  <w:color w:val="0000EE"/>
                  <w:w w:val="89"/>
                </w:rPr>
                <w:t>21</w:t>
              </w:r>
            </w:hyperlink>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gridSpan w:val="3"/>
          </w:tcPr>
          <w:p>
            <w:pPr>
              <w:spacing w:after="0"/>
              <w:rPr>
                <w:sz w:val="20"/>
                <w:szCs w:val="20"/>
                <w:color w:val="auto"/>
              </w:rPr>
            </w:pPr>
            <w:r>
              <w:rPr>
                <w:rFonts w:ascii="Arial" w:cs="Arial" w:eastAsia="Arial" w:hAnsi="Arial"/>
                <w:sz w:val="18"/>
                <w:szCs w:val="18"/>
                <w:color w:val="auto"/>
              </w:rPr>
              <w:t>Item 1B.</w:t>
            </w:r>
          </w:p>
        </w:tc>
        <w:tc>
          <w:tcPr>
            <w:tcW w:w="2060" w:type="dxa"/>
            <w:vAlign w:val="bottom"/>
            <w:gridSpan w:val="8"/>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Unresolved Staff Comments</w:t>
              </w:r>
            </w:hyperlink>
          </w:p>
        </w:tc>
        <w:tc>
          <w:tcPr>
            <w:tcW w:w="6280" w:type="dxa"/>
            <w:vAlign w:val="bottom"/>
            <w:gridSpan w:val="11"/>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gridSpan w:val="3"/>
          </w:tcPr>
          <w:p>
            <w:pPr>
              <w:jc w:val="center"/>
              <w:ind w:right="20"/>
              <w:spacing w:after="0"/>
              <w:rPr>
                <w:rFonts w:ascii="Arial" w:cs="Arial" w:eastAsia="Arial" w:hAnsi="Arial"/>
                <w:sz w:val="15"/>
                <w:szCs w:val="15"/>
                <w:color w:val="0000EE"/>
                <w:w w:val="71"/>
              </w:rPr>
            </w:pPr>
            <w:hyperlink w:anchor="page52">
              <w:r>
                <w:rPr>
                  <w:rFonts w:ascii="Arial" w:cs="Arial" w:eastAsia="Arial" w:hAnsi="Arial"/>
                  <w:sz w:val="15"/>
                  <w:szCs w:val="15"/>
                  <w:color w:val="0000EE"/>
                  <w:w w:val="71"/>
                </w:rPr>
                <w:t>51</w:t>
              </w:r>
            </w:hyperlink>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7"/>
              </w:rPr>
            </w:pPr>
            <w:hyperlink w:anchor="page52">
              <w:r>
                <w:rPr>
                  <w:rFonts w:ascii="Arial" w:cs="Arial" w:eastAsia="Arial" w:hAnsi="Arial"/>
                  <w:sz w:val="18"/>
                  <w:szCs w:val="18"/>
                  <w:color w:val="0000EE"/>
                  <w:w w:val="87"/>
                </w:rPr>
                <w:t>Properties</w:t>
              </w:r>
            </w:hyperlink>
          </w:p>
        </w:tc>
        <w:tc>
          <w:tcPr>
            <w:tcW w:w="1320" w:type="dxa"/>
            <w:vAlign w:val="bottom"/>
            <w:gridSpan w:val="6"/>
          </w:tcPr>
          <w:p>
            <w:pPr>
              <w:spacing w:after="0"/>
              <w:rPr>
                <w:sz w:val="21"/>
                <w:szCs w:val="21"/>
                <w:color w:val="auto"/>
              </w:rPr>
            </w:pPr>
          </w:p>
        </w:tc>
        <w:tc>
          <w:tcPr>
            <w:tcW w:w="6280" w:type="dxa"/>
            <w:vAlign w:val="bottom"/>
            <w:gridSpan w:val="11"/>
          </w:tcPr>
          <w:p>
            <w:pPr>
              <w:spacing w:after="0"/>
              <w:rPr>
                <w:sz w:val="21"/>
                <w:szCs w:val="21"/>
                <w:color w:val="auto"/>
              </w:rPr>
            </w:pPr>
          </w:p>
        </w:tc>
        <w:tc>
          <w:tcPr>
            <w:tcW w:w="1000" w:type="dxa"/>
            <w:vAlign w:val="bottom"/>
            <w:gridSpan w:val="4"/>
          </w:tcPr>
          <w:p>
            <w:pPr>
              <w:jc w:val="center"/>
              <w:ind w:left="731"/>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51</w:t>
              </w:r>
            </w:hyperlink>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1340" w:type="dxa"/>
            <w:vAlign w:val="bottom"/>
            <w:gridSpan w:val="4"/>
          </w:tcPr>
          <w:p>
            <w:pPr>
              <w:spacing w:after="0"/>
              <w:rPr>
                <w:rFonts w:ascii="Arial" w:cs="Arial" w:eastAsia="Arial" w:hAnsi="Arial"/>
                <w:sz w:val="18"/>
                <w:szCs w:val="18"/>
                <w:color w:val="0000EE"/>
                <w:w w:val="87"/>
              </w:rPr>
            </w:pPr>
            <w:hyperlink w:anchor="page52">
              <w:r>
                <w:rPr>
                  <w:rFonts w:ascii="Arial" w:cs="Arial" w:eastAsia="Arial" w:hAnsi="Arial"/>
                  <w:sz w:val="18"/>
                  <w:szCs w:val="18"/>
                  <w:color w:val="0000EE"/>
                  <w:w w:val="87"/>
                </w:rPr>
                <w:t>Legal Proceedings</w:t>
              </w:r>
            </w:hyperlink>
          </w:p>
        </w:tc>
        <w:tc>
          <w:tcPr>
            <w:tcW w:w="7000" w:type="dxa"/>
            <w:vAlign w:val="bottom"/>
            <w:gridSpan w:val="15"/>
          </w:tcPr>
          <w:p>
            <w:pPr>
              <w:spacing w:after="0"/>
              <w:rPr>
                <w:sz w:val="21"/>
                <w:szCs w:val="21"/>
                <w:color w:val="auto"/>
              </w:rPr>
            </w:pPr>
          </w:p>
        </w:tc>
        <w:tc>
          <w:tcPr>
            <w:tcW w:w="1000" w:type="dxa"/>
            <w:vAlign w:val="bottom"/>
            <w:gridSpan w:val="4"/>
          </w:tcPr>
          <w:p>
            <w:pPr>
              <w:jc w:val="center"/>
              <w:ind w:left="731"/>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51</w:t>
              </w:r>
            </w:hyperlink>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8340" w:type="dxa"/>
            <w:vAlign w:val="bottom"/>
            <w:gridSpan w:val="1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1000" w:type="dxa"/>
            <w:vAlign w:val="bottom"/>
            <w:gridSpan w:val="4"/>
          </w:tcPr>
          <w:p>
            <w:pPr>
              <w:jc w:val="center"/>
              <w:ind w:left="731"/>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51</w:t>
              </w:r>
            </w:hyperlink>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3"/>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40" w:type="dxa"/>
            <w:vAlign w:val="bottom"/>
            <w:gridSpan w:val="7"/>
          </w:tcPr>
          <w:p>
            <w:pPr>
              <w:jc w:val="center"/>
              <w:ind w:right="3520"/>
              <w:spacing w:after="0"/>
              <w:rPr>
                <w:sz w:val="20"/>
                <w:szCs w:val="20"/>
                <w:color w:val="auto"/>
              </w:rPr>
            </w:pPr>
            <w:r>
              <w:rPr>
                <w:rFonts w:ascii="Arial" w:cs="Arial" w:eastAsia="Arial" w:hAnsi="Arial"/>
                <w:sz w:val="16"/>
                <w:szCs w:val="16"/>
                <w:b w:val="1"/>
                <w:bCs w:val="1"/>
                <w:color w:val="auto"/>
              </w:rPr>
              <w:t>Part II</w:t>
            </w:r>
          </w:p>
        </w:tc>
        <w:tc>
          <w:tcPr>
            <w:tcW w:w="8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8340" w:type="dxa"/>
            <w:vAlign w:val="bottom"/>
            <w:gridSpan w:val="19"/>
          </w:tcPr>
          <w:p>
            <w:pPr>
              <w:spacing w:after="0"/>
              <w:rPr>
                <w:rFonts w:ascii="Arial" w:cs="Arial" w:eastAsia="Arial" w:hAnsi="Arial"/>
                <w:sz w:val="18"/>
                <w:szCs w:val="18"/>
                <w:color w:val="0000EE"/>
                <w:w w:val="93"/>
              </w:rPr>
            </w:pPr>
            <w:hyperlink w:anchor="page53">
              <w:r>
                <w:rPr>
                  <w:rFonts w:ascii="Arial" w:cs="Arial" w:eastAsia="Arial" w:hAnsi="Arial"/>
                  <w:sz w:val="18"/>
                  <w:szCs w:val="18"/>
                  <w:color w:val="0000EE"/>
                  <w:w w:val="93"/>
                </w:rPr>
                <w:t>Market for Registrant’s Common Equity, Related Stockholder Matters and Issuer Purchases of Equity Securities</w:t>
              </w:r>
            </w:hyperlink>
          </w:p>
        </w:tc>
        <w:tc>
          <w:tcPr>
            <w:tcW w:w="1000" w:type="dxa"/>
            <w:vAlign w:val="bottom"/>
            <w:gridSpan w:val="4"/>
          </w:tcPr>
          <w:p>
            <w:pPr>
              <w:jc w:val="center"/>
              <w:ind w:left="731"/>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52</w:t>
              </w:r>
            </w:hyperlink>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720" w:type="dxa"/>
            <w:vAlign w:val="bottom"/>
            <w:gridSpan w:val="5"/>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Selected Financial Data</w:t>
              </w:r>
            </w:hyperlink>
          </w:p>
        </w:tc>
        <w:tc>
          <w:tcPr>
            <w:tcW w:w="6360" w:type="dxa"/>
            <w:vAlign w:val="bottom"/>
            <w:gridSpan w:val="13"/>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4"/>
          </w:tcPr>
          <w:p>
            <w:pPr>
              <w:jc w:val="center"/>
              <w:ind w:left="731"/>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52</w:t>
              </w:r>
            </w:hyperlink>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gridSpan w:val="3"/>
          </w:tcPr>
          <w:p>
            <w:pPr>
              <w:spacing w:after="0"/>
              <w:rPr>
                <w:sz w:val="20"/>
                <w:szCs w:val="20"/>
                <w:color w:val="auto"/>
              </w:rPr>
            </w:pPr>
            <w:r>
              <w:rPr>
                <w:rFonts w:ascii="Arial" w:cs="Arial" w:eastAsia="Arial" w:hAnsi="Arial"/>
                <w:sz w:val="18"/>
                <w:szCs w:val="18"/>
                <w:color w:val="auto"/>
              </w:rPr>
              <w:t>Item 7.</w:t>
            </w:r>
          </w:p>
        </w:tc>
        <w:tc>
          <w:tcPr>
            <w:tcW w:w="8340" w:type="dxa"/>
            <w:vAlign w:val="bottom"/>
            <w:gridSpan w:val="19"/>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Management’s Discussion and Analysis of Financial Condition and Results of Operations</w:t>
              </w:r>
            </w:hyperlink>
          </w:p>
        </w:tc>
        <w:tc>
          <w:tcPr>
            <w:tcW w:w="1000" w:type="dxa"/>
            <w:vAlign w:val="bottom"/>
            <w:gridSpan w:val="4"/>
          </w:tcPr>
          <w:p>
            <w:pPr>
              <w:jc w:val="center"/>
              <w:ind w:left="731"/>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53</w:t>
              </w:r>
            </w:hyperlink>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gridSpan w:val="3"/>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15"/>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Quantitative and Qualitative Disclosures About Market Risk</w:t>
              </w:r>
            </w:hyperlink>
          </w:p>
        </w:tc>
        <w:tc>
          <w:tcPr>
            <w:tcW w:w="1880" w:type="dxa"/>
            <w:vAlign w:val="bottom"/>
            <w:gridSpan w:val="4"/>
          </w:tcPr>
          <w:p>
            <w:pPr>
              <w:spacing w:after="0"/>
              <w:rPr>
                <w:sz w:val="21"/>
                <w:szCs w:val="21"/>
                <w:color w:val="auto"/>
              </w:rPr>
            </w:pPr>
          </w:p>
        </w:tc>
        <w:tc>
          <w:tcPr>
            <w:tcW w:w="1000" w:type="dxa"/>
            <w:vAlign w:val="bottom"/>
            <w:gridSpan w:val="4"/>
          </w:tcPr>
          <w:p>
            <w:pPr>
              <w:jc w:val="center"/>
              <w:ind w:left="731"/>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72</w:t>
              </w:r>
            </w:hyperlink>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gridSpan w:val="3"/>
          </w:tcPr>
          <w:p>
            <w:pPr>
              <w:spacing w:after="0"/>
              <w:rPr>
                <w:sz w:val="20"/>
                <w:szCs w:val="20"/>
                <w:color w:val="auto"/>
              </w:rPr>
            </w:pPr>
            <w:r>
              <w:rPr>
                <w:rFonts w:ascii="Arial" w:cs="Arial" w:eastAsia="Arial" w:hAnsi="Arial"/>
                <w:sz w:val="18"/>
                <w:szCs w:val="18"/>
                <w:color w:val="auto"/>
              </w:rPr>
              <w:t>Item 8.</w:t>
            </w:r>
          </w:p>
        </w:tc>
        <w:tc>
          <w:tcPr>
            <w:tcW w:w="3340" w:type="dxa"/>
            <w:vAlign w:val="bottom"/>
            <w:gridSpan w:val="11"/>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Financial Statements and Supplementary Data</w:t>
              </w:r>
            </w:hyperlink>
          </w:p>
        </w:tc>
        <w:tc>
          <w:tcPr>
            <w:tcW w:w="1020" w:type="dxa"/>
            <w:vAlign w:val="bottom"/>
            <w:gridSpan w:val="2"/>
          </w:tcPr>
          <w:p>
            <w:pPr>
              <w:spacing w:after="0"/>
              <w:rPr>
                <w:sz w:val="21"/>
                <w:szCs w:val="21"/>
                <w:color w:val="auto"/>
              </w:rPr>
            </w:pPr>
          </w:p>
        </w:tc>
        <w:tc>
          <w:tcPr>
            <w:tcW w:w="3980" w:type="dxa"/>
            <w:vAlign w:val="bottom"/>
            <w:gridSpan w:val="6"/>
          </w:tcPr>
          <w:p>
            <w:pPr>
              <w:spacing w:after="0"/>
              <w:rPr>
                <w:sz w:val="21"/>
                <w:szCs w:val="21"/>
                <w:color w:val="auto"/>
              </w:rPr>
            </w:pPr>
          </w:p>
        </w:tc>
        <w:tc>
          <w:tcPr>
            <w:tcW w:w="1000" w:type="dxa"/>
            <w:vAlign w:val="bottom"/>
            <w:gridSpan w:val="4"/>
          </w:tcPr>
          <w:p>
            <w:pPr>
              <w:jc w:val="center"/>
              <w:ind w:left="731"/>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76</w:t>
              </w:r>
            </w:hyperlink>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gridSpan w:val="3"/>
          </w:tcPr>
          <w:p>
            <w:pPr>
              <w:spacing w:after="0"/>
              <w:rPr>
                <w:sz w:val="20"/>
                <w:szCs w:val="20"/>
                <w:color w:val="auto"/>
              </w:rPr>
            </w:pPr>
            <w:r>
              <w:rPr>
                <w:rFonts w:ascii="Arial" w:cs="Arial" w:eastAsia="Arial" w:hAnsi="Arial"/>
                <w:sz w:val="18"/>
                <w:szCs w:val="18"/>
                <w:color w:val="auto"/>
              </w:rPr>
              <w:t>Item 9.</w:t>
            </w:r>
          </w:p>
        </w:tc>
        <w:tc>
          <w:tcPr>
            <w:tcW w:w="6520" w:type="dxa"/>
            <w:vAlign w:val="bottom"/>
            <w:gridSpan w:val="16"/>
          </w:tcPr>
          <w:p>
            <w:pPr>
              <w:spacing w:after="0"/>
              <w:rPr>
                <w:rFonts w:ascii="Arial" w:cs="Arial" w:eastAsia="Arial" w:hAnsi="Arial"/>
                <w:sz w:val="18"/>
                <w:szCs w:val="18"/>
                <w:color w:val="0000EE"/>
                <w:w w:val="90"/>
              </w:rPr>
            </w:pPr>
            <w:hyperlink w:anchor="page178">
              <w:r>
                <w:rPr>
                  <w:rFonts w:ascii="Arial" w:cs="Arial" w:eastAsia="Arial" w:hAnsi="Arial"/>
                  <w:sz w:val="18"/>
                  <w:szCs w:val="18"/>
                  <w:color w:val="0000EE"/>
                  <w:w w:val="90"/>
                </w:rPr>
                <w:t>Changes in and Disagreements With Accountants on Accounting and Financial Disclosure</w:t>
              </w:r>
            </w:hyperlink>
          </w:p>
        </w:tc>
        <w:tc>
          <w:tcPr>
            <w:tcW w:w="1820" w:type="dxa"/>
            <w:vAlign w:val="bottom"/>
            <w:gridSpan w:val="3"/>
          </w:tcPr>
          <w:p>
            <w:pPr>
              <w:spacing w:after="0"/>
              <w:rPr>
                <w:sz w:val="21"/>
                <w:szCs w:val="21"/>
                <w:color w:val="auto"/>
              </w:rPr>
            </w:pPr>
          </w:p>
        </w:tc>
        <w:tc>
          <w:tcPr>
            <w:tcW w:w="1820" w:type="dxa"/>
            <w:vAlign w:val="bottom"/>
            <w:gridSpan w:val="5"/>
          </w:tcPr>
          <w:p>
            <w:pPr>
              <w:jc w:val="center"/>
              <w:spacing w:after="0"/>
              <w:rPr>
                <w:rFonts w:ascii="Arial" w:cs="Arial" w:eastAsia="Arial" w:hAnsi="Arial"/>
                <w:sz w:val="18"/>
                <w:szCs w:val="18"/>
                <w:color w:val="0000EE"/>
                <w:w w:val="86"/>
              </w:rPr>
            </w:pPr>
            <w:hyperlink w:anchor="page178">
              <w:r>
                <w:rPr>
                  <w:rFonts w:ascii="Arial" w:cs="Arial" w:eastAsia="Arial" w:hAnsi="Arial"/>
                  <w:sz w:val="18"/>
                  <w:szCs w:val="18"/>
                  <w:color w:val="0000EE"/>
                  <w:w w:val="86"/>
                </w:rPr>
                <w:t>176</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gridSpan w:val="3"/>
          </w:tcPr>
          <w:p>
            <w:pPr>
              <w:spacing w:after="0"/>
              <w:rPr>
                <w:sz w:val="20"/>
                <w:szCs w:val="20"/>
                <w:color w:val="auto"/>
              </w:rPr>
            </w:pPr>
            <w:r>
              <w:rPr>
                <w:rFonts w:ascii="Arial" w:cs="Arial" w:eastAsia="Arial" w:hAnsi="Arial"/>
                <w:sz w:val="18"/>
                <w:szCs w:val="18"/>
                <w:color w:val="auto"/>
              </w:rPr>
              <w:t>Item 9A.</w:t>
            </w:r>
          </w:p>
        </w:tc>
        <w:tc>
          <w:tcPr>
            <w:tcW w:w="1780" w:type="dxa"/>
            <w:vAlign w:val="bottom"/>
            <w:gridSpan w:val="6"/>
          </w:tcPr>
          <w:p>
            <w:pPr>
              <w:spacing w:after="0"/>
              <w:rPr>
                <w:rFonts w:ascii="Arial" w:cs="Arial" w:eastAsia="Arial" w:hAnsi="Arial"/>
                <w:sz w:val="18"/>
                <w:szCs w:val="18"/>
                <w:color w:val="0000EE"/>
                <w:w w:val="88"/>
              </w:rPr>
            </w:pPr>
            <w:hyperlink w:anchor="page178">
              <w:r>
                <w:rPr>
                  <w:rFonts w:ascii="Arial" w:cs="Arial" w:eastAsia="Arial" w:hAnsi="Arial"/>
                  <w:sz w:val="18"/>
                  <w:szCs w:val="18"/>
                  <w:color w:val="0000EE"/>
                  <w:w w:val="88"/>
                </w:rPr>
                <w:t>Controls and Procedures</w:t>
              </w:r>
            </w:hyperlink>
          </w:p>
        </w:tc>
        <w:tc>
          <w:tcPr>
            <w:tcW w:w="4740" w:type="dxa"/>
            <w:vAlign w:val="bottom"/>
            <w:gridSpan w:val="10"/>
          </w:tcPr>
          <w:p>
            <w:pPr>
              <w:spacing w:after="0"/>
              <w:rPr>
                <w:sz w:val="21"/>
                <w:szCs w:val="21"/>
                <w:color w:val="auto"/>
              </w:rPr>
            </w:pPr>
          </w:p>
        </w:tc>
        <w:tc>
          <w:tcPr>
            <w:tcW w:w="1820" w:type="dxa"/>
            <w:vAlign w:val="bottom"/>
            <w:gridSpan w:val="3"/>
          </w:tcPr>
          <w:p>
            <w:pPr>
              <w:spacing w:after="0"/>
              <w:rPr>
                <w:sz w:val="21"/>
                <w:szCs w:val="21"/>
                <w:color w:val="auto"/>
              </w:rPr>
            </w:pPr>
          </w:p>
        </w:tc>
        <w:tc>
          <w:tcPr>
            <w:tcW w:w="1820" w:type="dxa"/>
            <w:vAlign w:val="bottom"/>
            <w:gridSpan w:val="5"/>
          </w:tcPr>
          <w:p>
            <w:pPr>
              <w:jc w:val="center"/>
              <w:spacing w:after="0"/>
              <w:rPr>
                <w:rFonts w:ascii="Arial" w:cs="Arial" w:eastAsia="Arial" w:hAnsi="Arial"/>
                <w:sz w:val="18"/>
                <w:szCs w:val="18"/>
                <w:color w:val="0000EE"/>
                <w:w w:val="86"/>
              </w:rPr>
            </w:pPr>
            <w:hyperlink w:anchor="page178">
              <w:r>
                <w:rPr>
                  <w:rFonts w:ascii="Arial" w:cs="Arial" w:eastAsia="Arial" w:hAnsi="Arial"/>
                  <w:sz w:val="18"/>
                  <w:szCs w:val="18"/>
                  <w:color w:val="0000EE"/>
                  <w:w w:val="86"/>
                </w:rPr>
                <w:t>176</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gridSpan w:val="3"/>
          </w:tcPr>
          <w:p>
            <w:pPr>
              <w:spacing w:after="0"/>
              <w:rPr>
                <w:sz w:val="20"/>
                <w:szCs w:val="20"/>
                <w:color w:val="auto"/>
              </w:rPr>
            </w:pPr>
            <w:r>
              <w:rPr>
                <w:rFonts w:ascii="Arial" w:cs="Arial" w:eastAsia="Arial" w:hAnsi="Arial"/>
                <w:sz w:val="18"/>
                <w:szCs w:val="18"/>
                <w:color w:val="auto"/>
              </w:rPr>
              <w:t>Item 9B.</w:t>
            </w:r>
          </w:p>
        </w:tc>
        <w:tc>
          <w:tcPr>
            <w:tcW w:w="1780" w:type="dxa"/>
            <w:vAlign w:val="bottom"/>
            <w:gridSpan w:val="6"/>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Other Information</w:t>
              </w:r>
            </w:hyperlink>
          </w:p>
        </w:tc>
        <w:tc>
          <w:tcPr>
            <w:tcW w:w="6560" w:type="dxa"/>
            <w:vAlign w:val="bottom"/>
            <w:gridSpan w:val="13"/>
          </w:tcPr>
          <w:p>
            <w:pPr>
              <w:spacing w:after="0"/>
              <w:rPr>
                <w:sz w:val="21"/>
                <w:szCs w:val="21"/>
                <w:color w:val="auto"/>
              </w:rPr>
            </w:pPr>
          </w:p>
        </w:tc>
        <w:tc>
          <w:tcPr>
            <w:tcW w:w="1820" w:type="dxa"/>
            <w:vAlign w:val="bottom"/>
            <w:gridSpan w:val="5"/>
          </w:tcPr>
          <w:p>
            <w:pPr>
              <w:jc w:val="center"/>
              <w:spacing w:after="0"/>
              <w:rPr>
                <w:rFonts w:ascii="Arial" w:cs="Arial" w:eastAsia="Arial" w:hAnsi="Arial"/>
                <w:sz w:val="18"/>
                <w:szCs w:val="18"/>
                <w:color w:val="0000EE"/>
                <w:w w:val="86"/>
              </w:rPr>
            </w:pPr>
            <w:hyperlink w:anchor="page178">
              <w:r>
                <w:rPr>
                  <w:rFonts w:ascii="Arial" w:cs="Arial" w:eastAsia="Arial" w:hAnsi="Arial"/>
                  <w:sz w:val="18"/>
                  <w:szCs w:val="18"/>
                  <w:color w:val="0000EE"/>
                  <w:w w:val="86"/>
                </w:rPr>
                <w:t>176</w:t>
              </w:r>
            </w:hyperlink>
          </w:p>
        </w:tc>
        <w:tc>
          <w:tcPr>
            <w:tcW w:w="0" w:type="dxa"/>
            <w:vAlign w:val="bottom"/>
          </w:tcPr>
          <w:p>
            <w:pPr>
              <w:spacing w:after="0"/>
              <w:rPr>
                <w:sz w:val="1"/>
                <w:szCs w:val="1"/>
                <w:color w:val="auto"/>
              </w:rPr>
            </w:pPr>
          </w:p>
        </w:tc>
      </w:tr>
      <w:tr>
        <w:trPr>
          <w:trHeight w:val="393"/>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40" w:type="dxa"/>
            <w:vAlign w:val="bottom"/>
            <w:gridSpan w:val="7"/>
          </w:tcPr>
          <w:p>
            <w:pPr>
              <w:jc w:val="center"/>
              <w:ind w:right="3540"/>
              <w:spacing w:after="0"/>
              <w:rPr>
                <w:sz w:val="20"/>
                <w:szCs w:val="20"/>
                <w:color w:val="auto"/>
              </w:rPr>
            </w:pPr>
            <w:r>
              <w:rPr>
                <w:rFonts w:ascii="Arial" w:cs="Arial" w:eastAsia="Arial" w:hAnsi="Arial"/>
                <w:sz w:val="16"/>
                <w:szCs w:val="16"/>
                <w:b w:val="1"/>
                <w:bCs w:val="1"/>
                <w:color w:val="auto"/>
              </w:rPr>
              <w:t>Part III</w:t>
            </w:r>
          </w:p>
        </w:tc>
        <w:tc>
          <w:tcPr>
            <w:tcW w:w="8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20" w:type="dxa"/>
            <w:vAlign w:val="bottom"/>
            <w:gridSpan w:val="3"/>
          </w:tcPr>
          <w:p>
            <w:pPr>
              <w:spacing w:after="0"/>
              <w:rPr>
                <w:sz w:val="20"/>
                <w:szCs w:val="20"/>
                <w:color w:val="auto"/>
              </w:rPr>
            </w:pPr>
            <w:r>
              <w:rPr>
                <w:rFonts w:ascii="Arial" w:cs="Arial" w:eastAsia="Arial" w:hAnsi="Arial"/>
                <w:sz w:val="18"/>
                <w:szCs w:val="18"/>
                <w:color w:val="auto"/>
              </w:rPr>
              <w:t>Item 10.</w:t>
            </w:r>
          </w:p>
        </w:tc>
        <w:tc>
          <w:tcPr>
            <w:tcW w:w="4100" w:type="dxa"/>
            <w:vAlign w:val="bottom"/>
            <w:gridSpan w:val="12"/>
          </w:tcPr>
          <w:p>
            <w:pPr>
              <w:spacing w:after="0"/>
              <w:rPr>
                <w:rFonts w:ascii="Arial" w:cs="Arial" w:eastAsia="Arial" w:hAnsi="Arial"/>
                <w:sz w:val="18"/>
                <w:szCs w:val="18"/>
                <w:color w:val="0000EE"/>
                <w:w w:val="90"/>
              </w:rPr>
            </w:pPr>
            <w:hyperlink w:anchor="page179">
              <w:r>
                <w:rPr>
                  <w:rFonts w:ascii="Arial" w:cs="Arial" w:eastAsia="Arial" w:hAnsi="Arial"/>
                  <w:sz w:val="18"/>
                  <w:szCs w:val="18"/>
                  <w:color w:val="0000EE"/>
                  <w:w w:val="90"/>
                </w:rPr>
                <w:t>Directors, Executive Officers and Corporate Governance</w:t>
              </w:r>
            </w:hyperlink>
          </w:p>
        </w:tc>
        <w:tc>
          <w:tcPr>
            <w:tcW w:w="4240" w:type="dxa"/>
            <w:vAlign w:val="bottom"/>
            <w:gridSpan w:val="7"/>
          </w:tcPr>
          <w:p>
            <w:pPr>
              <w:spacing w:after="0"/>
              <w:rPr>
                <w:sz w:val="20"/>
                <w:szCs w:val="20"/>
                <w:color w:val="auto"/>
              </w:rPr>
            </w:pPr>
          </w:p>
        </w:tc>
        <w:tc>
          <w:tcPr>
            <w:tcW w:w="1820" w:type="dxa"/>
            <w:vAlign w:val="bottom"/>
            <w:gridSpan w:val="5"/>
          </w:tcPr>
          <w:p>
            <w:pPr>
              <w:jc w:val="center"/>
              <w:spacing w:after="0"/>
              <w:rPr>
                <w:rFonts w:ascii="Arial" w:cs="Arial" w:eastAsia="Arial" w:hAnsi="Arial"/>
                <w:sz w:val="18"/>
                <w:szCs w:val="18"/>
                <w:color w:val="0000EE"/>
                <w:w w:val="86"/>
              </w:rPr>
            </w:pPr>
            <w:hyperlink w:anchor="page179">
              <w:r>
                <w:rPr>
                  <w:rFonts w:ascii="Arial" w:cs="Arial" w:eastAsia="Arial" w:hAnsi="Arial"/>
                  <w:sz w:val="18"/>
                  <w:szCs w:val="18"/>
                  <w:color w:val="0000EE"/>
                  <w:w w:val="86"/>
                </w:rPr>
                <w:t>177</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gridSpan w:val="3"/>
          </w:tcPr>
          <w:p>
            <w:pPr>
              <w:spacing w:after="0"/>
              <w:rPr>
                <w:sz w:val="20"/>
                <w:szCs w:val="20"/>
                <w:color w:val="auto"/>
              </w:rPr>
            </w:pPr>
            <w:r>
              <w:rPr>
                <w:rFonts w:ascii="Arial" w:cs="Arial" w:eastAsia="Arial" w:hAnsi="Arial"/>
                <w:sz w:val="18"/>
                <w:szCs w:val="18"/>
                <w:color w:val="auto"/>
              </w:rPr>
              <w:t>Item 11.</w:t>
            </w:r>
          </w:p>
        </w:tc>
        <w:tc>
          <w:tcPr>
            <w:tcW w:w="4100" w:type="dxa"/>
            <w:vAlign w:val="bottom"/>
            <w:gridSpan w:val="12"/>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Executive Compensation</w:t>
              </w:r>
            </w:hyperlink>
          </w:p>
        </w:tc>
        <w:tc>
          <w:tcPr>
            <w:tcW w:w="4240" w:type="dxa"/>
            <w:vAlign w:val="bottom"/>
            <w:gridSpan w:val="7"/>
          </w:tcPr>
          <w:p>
            <w:pPr>
              <w:spacing w:after="0"/>
              <w:rPr>
                <w:sz w:val="21"/>
                <w:szCs w:val="21"/>
                <w:color w:val="auto"/>
              </w:rPr>
            </w:pPr>
          </w:p>
        </w:tc>
        <w:tc>
          <w:tcPr>
            <w:tcW w:w="1820" w:type="dxa"/>
            <w:vAlign w:val="bottom"/>
            <w:gridSpan w:val="5"/>
          </w:tcPr>
          <w:p>
            <w:pPr>
              <w:jc w:val="center"/>
              <w:spacing w:after="0"/>
              <w:rPr>
                <w:rFonts w:ascii="Arial" w:cs="Arial" w:eastAsia="Arial" w:hAnsi="Arial"/>
                <w:sz w:val="18"/>
                <w:szCs w:val="18"/>
                <w:color w:val="0000EE"/>
                <w:w w:val="86"/>
              </w:rPr>
            </w:pPr>
            <w:hyperlink w:anchor="page179">
              <w:r>
                <w:rPr>
                  <w:rFonts w:ascii="Arial" w:cs="Arial" w:eastAsia="Arial" w:hAnsi="Arial"/>
                  <w:sz w:val="18"/>
                  <w:szCs w:val="18"/>
                  <w:color w:val="0000EE"/>
                  <w:w w:val="86"/>
                </w:rPr>
                <w:t>177</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gridSpan w:val="3"/>
          </w:tcPr>
          <w:p>
            <w:pPr>
              <w:spacing w:after="0"/>
              <w:rPr>
                <w:sz w:val="20"/>
                <w:szCs w:val="20"/>
                <w:color w:val="auto"/>
              </w:rPr>
            </w:pPr>
            <w:r>
              <w:rPr>
                <w:rFonts w:ascii="Arial" w:cs="Arial" w:eastAsia="Arial" w:hAnsi="Arial"/>
                <w:sz w:val="18"/>
                <w:szCs w:val="18"/>
                <w:color w:val="auto"/>
              </w:rPr>
              <w:t>Item 12.</w:t>
            </w:r>
          </w:p>
        </w:tc>
        <w:tc>
          <w:tcPr>
            <w:tcW w:w="7300" w:type="dxa"/>
            <w:vAlign w:val="bottom"/>
            <w:gridSpan w:val="17"/>
          </w:tcPr>
          <w:p>
            <w:pPr>
              <w:spacing w:after="0"/>
              <w:rPr>
                <w:rFonts w:ascii="Arial" w:cs="Arial" w:eastAsia="Arial" w:hAnsi="Arial"/>
                <w:sz w:val="18"/>
                <w:szCs w:val="18"/>
                <w:color w:val="0000EE"/>
                <w:w w:val="90"/>
              </w:rPr>
            </w:pPr>
            <w:hyperlink w:anchor="page179">
              <w:r>
                <w:rPr>
                  <w:rFonts w:ascii="Arial" w:cs="Arial" w:eastAsia="Arial" w:hAnsi="Arial"/>
                  <w:sz w:val="18"/>
                  <w:szCs w:val="18"/>
                  <w:color w:val="0000EE"/>
                  <w:w w:val="90"/>
                </w:rPr>
                <w:t>Security Ownership of Certain Beneficial Owners and Management and Related Stockholder Matters</w:t>
              </w:r>
            </w:hyperlink>
          </w:p>
        </w:tc>
        <w:tc>
          <w:tcPr>
            <w:tcW w:w="1040" w:type="dxa"/>
            <w:vAlign w:val="bottom"/>
            <w:gridSpan w:val="2"/>
          </w:tcPr>
          <w:p>
            <w:pPr>
              <w:spacing w:after="0"/>
              <w:rPr>
                <w:sz w:val="21"/>
                <w:szCs w:val="21"/>
                <w:color w:val="auto"/>
              </w:rPr>
            </w:pPr>
          </w:p>
        </w:tc>
        <w:tc>
          <w:tcPr>
            <w:tcW w:w="1820" w:type="dxa"/>
            <w:vAlign w:val="bottom"/>
            <w:gridSpan w:val="5"/>
          </w:tcPr>
          <w:p>
            <w:pPr>
              <w:jc w:val="center"/>
              <w:spacing w:after="0"/>
              <w:rPr>
                <w:rFonts w:ascii="Arial" w:cs="Arial" w:eastAsia="Arial" w:hAnsi="Arial"/>
                <w:sz w:val="18"/>
                <w:szCs w:val="18"/>
                <w:color w:val="0000EE"/>
                <w:w w:val="86"/>
              </w:rPr>
            </w:pPr>
            <w:hyperlink w:anchor="page179">
              <w:r>
                <w:rPr>
                  <w:rFonts w:ascii="Arial" w:cs="Arial" w:eastAsia="Arial" w:hAnsi="Arial"/>
                  <w:sz w:val="18"/>
                  <w:szCs w:val="18"/>
                  <w:color w:val="0000EE"/>
                  <w:w w:val="86"/>
                </w:rPr>
                <w:t>177</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gridSpan w:val="3"/>
          </w:tcPr>
          <w:p>
            <w:pPr>
              <w:spacing w:after="0"/>
              <w:rPr>
                <w:sz w:val="20"/>
                <w:szCs w:val="20"/>
                <w:color w:val="auto"/>
              </w:rPr>
            </w:pPr>
            <w:r>
              <w:rPr>
                <w:rFonts w:ascii="Arial" w:cs="Arial" w:eastAsia="Arial" w:hAnsi="Arial"/>
                <w:sz w:val="18"/>
                <w:szCs w:val="18"/>
                <w:color w:val="auto"/>
              </w:rPr>
              <w:t>Item 13.</w:t>
            </w:r>
          </w:p>
        </w:tc>
        <w:tc>
          <w:tcPr>
            <w:tcW w:w="5460" w:type="dxa"/>
            <w:vAlign w:val="bottom"/>
            <w:gridSpan w:val="14"/>
          </w:tcPr>
          <w:p>
            <w:pPr>
              <w:spacing w:after="0"/>
              <w:rPr>
                <w:rFonts w:ascii="Arial" w:cs="Arial" w:eastAsia="Arial" w:hAnsi="Arial"/>
                <w:sz w:val="18"/>
                <w:szCs w:val="18"/>
                <w:color w:val="0000EE"/>
                <w:w w:val="89"/>
              </w:rPr>
            </w:pPr>
            <w:hyperlink w:anchor="page179">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1040" w:type="dxa"/>
            <w:vAlign w:val="bottom"/>
            <w:gridSpan w:val="2"/>
          </w:tcPr>
          <w:p>
            <w:pPr>
              <w:spacing w:after="0"/>
              <w:rPr>
                <w:sz w:val="21"/>
                <w:szCs w:val="21"/>
                <w:color w:val="auto"/>
              </w:rPr>
            </w:pPr>
          </w:p>
        </w:tc>
        <w:tc>
          <w:tcPr>
            <w:tcW w:w="1820" w:type="dxa"/>
            <w:vAlign w:val="bottom"/>
            <w:gridSpan w:val="5"/>
          </w:tcPr>
          <w:p>
            <w:pPr>
              <w:jc w:val="center"/>
              <w:spacing w:after="0"/>
              <w:rPr>
                <w:rFonts w:ascii="Arial" w:cs="Arial" w:eastAsia="Arial" w:hAnsi="Arial"/>
                <w:sz w:val="18"/>
                <w:szCs w:val="18"/>
                <w:color w:val="0000EE"/>
                <w:w w:val="86"/>
              </w:rPr>
            </w:pPr>
            <w:hyperlink w:anchor="page179">
              <w:r>
                <w:rPr>
                  <w:rFonts w:ascii="Arial" w:cs="Arial" w:eastAsia="Arial" w:hAnsi="Arial"/>
                  <w:sz w:val="18"/>
                  <w:szCs w:val="18"/>
                  <w:color w:val="0000EE"/>
                  <w:w w:val="86"/>
                </w:rPr>
                <w:t>177</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gridSpan w:val="3"/>
          </w:tcPr>
          <w:p>
            <w:pPr>
              <w:spacing w:after="0"/>
              <w:rPr>
                <w:sz w:val="20"/>
                <w:szCs w:val="20"/>
                <w:color w:val="auto"/>
              </w:rPr>
            </w:pPr>
            <w:r>
              <w:rPr>
                <w:rFonts w:ascii="Arial" w:cs="Arial" w:eastAsia="Arial" w:hAnsi="Arial"/>
                <w:sz w:val="18"/>
                <w:szCs w:val="18"/>
                <w:color w:val="auto"/>
              </w:rPr>
              <w:t>Item 14.</w:t>
            </w:r>
          </w:p>
        </w:tc>
        <w:tc>
          <w:tcPr>
            <w:tcW w:w="5460" w:type="dxa"/>
            <w:vAlign w:val="bottom"/>
            <w:gridSpan w:val="14"/>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Principal Accountant Fees and Services</w:t>
              </w:r>
            </w:hyperlink>
          </w:p>
        </w:tc>
        <w:tc>
          <w:tcPr>
            <w:tcW w:w="2880" w:type="dxa"/>
            <w:vAlign w:val="bottom"/>
            <w:gridSpan w:val="5"/>
          </w:tcPr>
          <w:p>
            <w:pPr>
              <w:spacing w:after="0"/>
              <w:rPr>
                <w:sz w:val="21"/>
                <w:szCs w:val="21"/>
                <w:color w:val="auto"/>
              </w:rPr>
            </w:pPr>
          </w:p>
        </w:tc>
        <w:tc>
          <w:tcPr>
            <w:tcW w:w="1820" w:type="dxa"/>
            <w:vAlign w:val="bottom"/>
            <w:gridSpan w:val="5"/>
          </w:tcPr>
          <w:p>
            <w:pPr>
              <w:jc w:val="center"/>
              <w:spacing w:after="0"/>
              <w:rPr>
                <w:rFonts w:ascii="Arial" w:cs="Arial" w:eastAsia="Arial" w:hAnsi="Arial"/>
                <w:sz w:val="18"/>
                <w:szCs w:val="18"/>
                <w:color w:val="0000EE"/>
                <w:w w:val="86"/>
              </w:rPr>
            </w:pPr>
            <w:hyperlink w:anchor="page179">
              <w:r>
                <w:rPr>
                  <w:rFonts w:ascii="Arial" w:cs="Arial" w:eastAsia="Arial" w:hAnsi="Arial"/>
                  <w:sz w:val="18"/>
                  <w:szCs w:val="18"/>
                  <w:color w:val="0000EE"/>
                  <w:w w:val="86"/>
                </w:rPr>
                <w:t>177</w:t>
              </w:r>
            </w:hyperlink>
          </w:p>
        </w:tc>
        <w:tc>
          <w:tcPr>
            <w:tcW w:w="0" w:type="dxa"/>
            <w:vAlign w:val="bottom"/>
          </w:tcPr>
          <w:p>
            <w:pPr>
              <w:spacing w:after="0"/>
              <w:rPr>
                <w:sz w:val="1"/>
                <w:szCs w:val="1"/>
                <w:color w:val="auto"/>
              </w:rPr>
            </w:pPr>
          </w:p>
        </w:tc>
      </w:tr>
      <w:tr>
        <w:trPr>
          <w:trHeight w:val="393"/>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40" w:type="dxa"/>
            <w:vAlign w:val="bottom"/>
            <w:gridSpan w:val="7"/>
          </w:tcPr>
          <w:p>
            <w:pPr>
              <w:jc w:val="center"/>
              <w:ind w:right="3520"/>
              <w:spacing w:after="0"/>
              <w:rPr>
                <w:sz w:val="20"/>
                <w:szCs w:val="20"/>
                <w:color w:val="auto"/>
              </w:rPr>
            </w:pPr>
            <w:r>
              <w:rPr>
                <w:rFonts w:ascii="Arial" w:cs="Arial" w:eastAsia="Arial" w:hAnsi="Arial"/>
                <w:sz w:val="16"/>
                <w:szCs w:val="16"/>
                <w:b w:val="1"/>
                <w:bCs w:val="1"/>
                <w:color w:val="auto"/>
              </w:rPr>
              <w:t>Part IV</w:t>
            </w:r>
          </w:p>
        </w:tc>
        <w:tc>
          <w:tcPr>
            <w:tcW w:w="8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20" w:type="dxa"/>
            <w:vAlign w:val="bottom"/>
            <w:gridSpan w:val="3"/>
          </w:tcPr>
          <w:p>
            <w:pPr>
              <w:spacing w:after="0"/>
              <w:rPr>
                <w:sz w:val="20"/>
                <w:szCs w:val="20"/>
                <w:color w:val="auto"/>
              </w:rPr>
            </w:pPr>
            <w:r>
              <w:rPr>
                <w:rFonts w:ascii="Arial" w:cs="Arial" w:eastAsia="Arial" w:hAnsi="Arial"/>
                <w:sz w:val="18"/>
                <w:szCs w:val="18"/>
                <w:color w:val="auto"/>
              </w:rPr>
              <w:t>Item 15.</w:t>
            </w:r>
          </w:p>
        </w:tc>
        <w:tc>
          <w:tcPr>
            <w:tcW w:w="8340" w:type="dxa"/>
            <w:vAlign w:val="bottom"/>
            <w:gridSpan w:val="19"/>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Exhibits and Financial Statement Schedules</w:t>
              </w:r>
            </w:hyperlink>
          </w:p>
        </w:tc>
        <w:tc>
          <w:tcPr>
            <w:tcW w:w="1820" w:type="dxa"/>
            <w:vAlign w:val="bottom"/>
            <w:gridSpan w:val="5"/>
          </w:tcPr>
          <w:p>
            <w:pPr>
              <w:jc w:val="center"/>
              <w:spacing w:after="0"/>
              <w:rPr>
                <w:rFonts w:ascii="Arial" w:cs="Arial" w:eastAsia="Arial" w:hAnsi="Arial"/>
                <w:sz w:val="18"/>
                <w:szCs w:val="18"/>
                <w:color w:val="0000EE"/>
                <w:w w:val="86"/>
              </w:rPr>
            </w:pPr>
            <w:hyperlink w:anchor="page181">
              <w:r>
                <w:rPr>
                  <w:rFonts w:ascii="Arial" w:cs="Arial" w:eastAsia="Arial" w:hAnsi="Arial"/>
                  <w:sz w:val="18"/>
                  <w:szCs w:val="18"/>
                  <w:color w:val="0000EE"/>
                  <w:w w:val="86"/>
                </w:rPr>
                <w:t>179</w:t>
              </w:r>
            </w:hyperlink>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rPr>
                <w:rFonts w:ascii="Arial" w:cs="Arial" w:eastAsia="Arial" w:hAnsi="Arial"/>
                <w:sz w:val="18"/>
                <w:szCs w:val="18"/>
                <w:b w:val="1"/>
                <w:bCs w:val="1"/>
                <w:color w:val="0000EE"/>
                <w:w w:val="92"/>
              </w:rPr>
            </w:pPr>
            <w:hyperlink w:anchor="page182">
              <w:r>
                <w:rPr>
                  <w:rFonts w:ascii="Arial" w:cs="Arial" w:eastAsia="Arial" w:hAnsi="Arial"/>
                  <w:sz w:val="18"/>
                  <w:szCs w:val="18"/>
                  <w:b w:val="1"/>
                  <w:bCs w:val="1"/>
                  <w:color w:val="0000EE"/>
                  <w:w w:val="92"/>
                </w:rPr>
                <w:t>Exhibit Index</w:t>
              </w:r>
            </w:hyperlink>
          </w:p>
        </w:tc>
        <w:tc>
          <w:tcPr>
            <w:tcW w:w="160" w:type="dxa"/>
            <w:vAlign w:val="bottom"/>
            <w:vMerge w:val="restart"/>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gridSpan w:val="2"/>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5"/>
          </w:tcPr>
          <w:p>
            <w:pPr>
              <w:jc w:val="center"/>
              <w:spacing w:after="0"/>
              <w:rPr>
                <w:rFonts w:ascii="Arial" w:cs="Arial" w:eastAsia="Arial" w:hAnsi="Arial"/>
                <w:sz w:val="18"/>
                <w:szCs w:val="18"/>
                <w:color w:val="0000EE"/>
                <w:w w:val="86"/>
              </w:rPr>
            </w:pPr>
            <w:hyperlink w:anchor="page182">
              <w:r>
                <w:rPr>
                  <w:rFonts w:ascii="Arial" w:cs="Arial" w:eastAsia="Arial" w:hAnsi="Arial"/>
                  <w:sz w:val="18"/>
                  <w:szCs w:val="18"/>
                  <w:color w:val="0000EE"/>
                  <w:w w:val="86"/>
                </w:rPr>
                <w:t>180</w:t>
              </w:r>
            </w:hyperlink>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rFonts w:ascii="Arial" w:cs="Arial" w:eastAsia="Arial" w:hAnsi="Arial"/>
                <w:sz w:val="18"/>
                <w:szCs w:val="18"/>
                <w:b w:val="1"/>
                <w:bCs w:val="1"/>
                <w:color w:val="0000EE"/>
                <w:w w:val="85"/>
              </w:rPr>
            </w:pPr>
            <w:hyperlink w:anchor="page183">
              <w:r>
                <w:rPr>
                  <w:rFonts w:ascii="Arial" w:cs="Arial" w:eastAsia="Arial" w:hAnsi="Arial"/>
                  <w:sz w:val="18"/>
                  <w:szCs w:val="18"/>
                  <w:b w:val="1"/>
                  <w:bCs w:val="1"/>
                  <w:color w:val="0000EE"/>
                  <w:w w:val="85"/>
                </w:rPr>
                <w:t>Signatures</w:t>
              </w:r>
            </w:hyperlink>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20" w:type="dxa"/>
            <w:vAlign w:val="bottom"/>
            <w:gridSpan w:val="5"/>
          </w:tcPr>
          <w:p>
            <w:pPr>
              <w:jc w:val="center"/>
              <w:spacing w:after="0"/>
              <w:rPr>
                <w:rFonts w:ascii="Arial" w:cs="Arial" w:eastAsia="Arial" w:hAnsi="Arial"/>
                <w:sz w:val="18"/>
                <w:szCs w:val="18"/>
                <w:color w:val="0000EE"/>
                <w:w w:val="86"/>
              </w:rPr>
            </w:pPr>
            <w:hyperlink w:anchor="page183">
              <w:r>
                <w:rPr>
                  <w:rFonts w:ascii="Arial" w:cs="Arial" w:eastAsia="Arial" w:hAnsi="Arial"/>
                  <w:sz w:val="18"/>
                  <w:szCs w:val="18"/>
                  <w:color w:val="0000EE"/>
                  <w:w w:val="86"/>
                </w:rPr>
                <w:t>181</w:t>
              </w:r>
            </w:hyperlink>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26"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As used in this Annual Report on Form 10-K, “BLIC,” the “Company,” “we,” “us” and “our” refer to Brighthouse Life Insurance Company (formerly, MetLife Insurance Company USA (“MetLife USA”) or MetLife Insurance Company of Connecticut (“MICC”)), a Delaware corporation originally incorporated in Connecticut in 1863, and its subsidiaries. Brighthouse Life Insurance Company is an indirect wholly-owned subsidiary of Brighthouse Financial, Inc. (together with its subsidiaries and affiliates, “Brighthouse”). The term “Separation” refers to the separation of MetLife, Inc.’s former Brighthouse Financial segment from MetLife’s other businesses and the creation of a separate, publicly traded company, Brighthouse Financial, Inc., to hold the assets (including the equity interests of certain MetLife, Inc. subsidiaries) and liabilities associated with MetLife, Inc.’s former Brighthouse Financial segment from and after the Distribution; the term “Distribution” refers to the distribution on August 4, 2017 of 96,776,670 shares, or 80.8%, of the 119,773,106 shares of Brighthouse Financial, Inc. common stock outstanding immediately prior to the Distribution date by MetLife, Inc. to shareholders of MetLife, Inc. as of the record date for the Distribution.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report and other written or oral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“forecast,” “objective,” “continue,” “aim,” “plan,” “believe” and other words and terms of similar meaning, or are tied to future periods, in connection with a discussion of future operating or financial performance. In particular, these include, without limitation, statements relating to future actions, prospective services or products, future performance or results of current and anticipated services or products, sales efforts, expenses, the outcome of contingencies such as legal proceedings, trends in operating and financial results, as well as statements regarding the expected benefits of the Separation and the recapitalization actions.</w:t>
      </w:r>
    </w:p>
    <w:p>
      <w:pPr>
        <w:spacing w:after="0" w:line="13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Any or all forward-looking statements may turn out to be wrong. They can be affected by inaccurate assumptions or by known or unknown risks and uncertainties. Many such factors will be important in determining the actual future results of BLIC.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11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differences between actual experience and actuarial assumptions and the effectiveness of our actuarial models;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higher risk management costs and exposure to increased counterparty risk due to guarantees within certain of our products;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exposure management strategy and the impact of such strategy on net income volatility and negative effects on our statutory capital;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sustained period of low equity market prices and interest rates that are lower than those we assumed when we issued our variable annuity products;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adverse capital and credit market conditions may have on our ability to meet liquidity needs and our access to capital;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changes in regulation and in supervisory and enforcement policies on our insurance business or other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risk management policies and procedures;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reinsurance and the ability of our counterparties to our reinsurance or indemnification arrangements to perform their obligations thereunder;</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heightened competition, including with respect to service, product features, scale, price, actual or perceived financial strength, claims-paying ratings, credit ratings, e-business capabilities and name recognition;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accounting standards, practices and/or policies applicable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insurance subsidiaries to pay dividends to us;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2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market and distribute our products through distribution channels;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Separation on our business and profitability due to MetLife’s strong brand and reputation, the increased costs related to replacing arrangements with MetLife with those of third parties;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whether the operational, strategic and other benefits of the Separation can be achieved, and our ability to implement our business strategy;</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all or any portion of the Separation tax consequences are not as expected, leading to material additional taxes or material adverse consequences to tax attributes that impact us;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uncertainty of the outcome of any disputes with MetLife over tax-related matters and agreements including the potential of outcomes adverse to us that could cause us to owe MetLife material tax reimbursements or payments;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on our business structure, profitability, cost of capital and flexibility due to restrictions we have agreed to that preserve the tax-free treatment of certain parts of the Separation;</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material negative tax impact of the Tax Cuts and Jobs Act (the “Tax Act”) and other potential future tax legislation that could decrease the value of our tax attributes, lead to increased risked-based capital (“RBC”) requirements and cause other cash expenses, such as reserves, to increase materially and make some of our products less attractive to consumers;</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Distribution will qualify for non-recognition treatment for U.S. federal income tax purposes and potential indemnification to MetLife if the Distribution does not so qualify;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factors described in this report and from time to time in documents that we file with the U.S. Securities and Exchange Commission (“SEC”).</w:t>
      </w:r>
    </w:p>
    <w:p>
      <w:pPr>
        <w:spacing w:after="0" w:line="1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reasons described above, we caution you against relying on any forward-looking statements, which should also be read in conjunction with the other cautionary statements included and the risks, uncertainties and other factors identified elsewhere in this Annual Report on Form 10-K, particularly in “Risk Factors,” and “Quantitative and Qualitative Disclosures About Market Risk,” as well as in our quarterly reports on Form 10-Q, current reports on Form 8-K and other documents we file from time to time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 Please consult any further disclosures BLIC makes on related subjects in reports to the SEC.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Reliance on Statements in Our Contracts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“Exhibit Index — Note Regarding Reliance on Statements in Our Contracts” for information regarding agreements included as exhibits to this Annual Report on Form 10-K.</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2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980" w:type="dxa"/>
            <w:vAlign w:val="bottom"/>
            <w:gridSpan w:val="6"/>
          </w:tcPr>
          <w:p>
            <w:pPr>
              <w:jc w:val="center"/>
              <w:ind w:right="2120"/>
              <w:spacing w:after="0"/>
              <w:rPr>
                <w:sz w:val="20"/>
                <w:szCs w:val="20"/>
                <w:color w:val="auto"/>
              </w:rPr>
            </w:pPr>
            <w:r>
              <w:rPr>
                <w:rFonts w:ascii="Arial" w:cs="Arial" w:eastAsia="Arial" w:hAnsi="Arial"/>
                <w:sz w:val="18"/>
                <w:szCs w:val="18"/>
                <w:b w:val="1"/>
                <w:bCs w:val="1"/>
                <w:color w:val="auto"/>
                <w:w w:val="98"/>
              </w:rPr>
              <w:t>PART I</w:t>
            </w:r>
          </w:p>
        </w:tc>
        <w:tc>
          <w:tcPr>
            <w:tcW w:w="0" w:type="dxa"/>
            <w:vAlign w:val="bottom"/>
          </w:tcPr>
          <w:p>
            <w:pPr>
              <w:spacing w:after="0"/>
              <w:rPr>
                <w:sz w:val="1"/>
                <w:szCs w:val="1"/>
                <w:color w:val="auto"/>
              </w:rPr>
            </w:pPr>
          </w:p>
        </w:tc>
      </w:tr>
      <w:tr>
        <w:trPr>
          <w:trHeight w:val="324"/>
        </w:trPr>
        <w:tc>
          <w:tcPr>
            <w:tcW w:w="2440" w:type="dxa"/>
            <w:vAlign w:val="bottom"/>
            <w:gridSpan w:val="7"/>
          </w:tcPr>
          <w:p>
            <w:pPr>
              <w:spacing w:after="0"/>
              <w:rPr>
                <w:sz w:val="20"/>
                <w:szCs w:val="20"/>
                <w:color w:val="auto"/>
              </w:rPr>
            </w:pPr>
            <w:r>
              <w:rPr>
                <w:rFonts w:ascii="Arial" w:cs="Arial" w:eastAsia="Arial" w:hAnsi="Arial"/>
                <w:sz w:val="18"/>
                <w:szCs w:val="18"/>
                <w:b w:val="1"/>
                <w:bCs w:val="1"/>
                <w:color w:val="auto"/>
              </w:rPr>
              <w:t>Item 1. Business</w:t>
            </w:r>
          </w:p>
        </w:tc>
        <w:tc>
          <w:tcPr>
            <w:tcW w:w="7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980" w:type="dxa"/>
            <w:vAlign w:val="bottom"/>
            <w:gridSpan w:val="6"/>
          </w:tcPr>
          <w:p>
            <w:pPr>
              <w:jc w:val="center"/>
              <w:ind w:right="2120"/>
              <w:spacing w:after="0"/>
              <w:rPr>
                <w:sz w:val="20"/>
                <w:szCs w:val="20"/>
                <w:color w:val="auto"/>
              </w:rPr>
            </w:pPr>
            <w:r>
              <w:rPr>
                <w:rFonts w:ascii="Arial" w:cs="Arial" w:eastAsia="Arial" w:hAnsi="Arial"/>
                <w:sz w:val="18"/>
                <w:szCs w:val="18"/>
                <w:b w:val="1"/>
                <w:bCs w:val="1"/>
                <w:color w:val="auto"/>
                <w:w w:val="86"/>
              </w:rPr>
              <w:t>Index to Business</w:t>
            </w:r>
          </w:p>
        </w:tc>
        <w:tc>
          <w:tcPr>
            <w:tcW w:w="0" w:type="dxa"/>
            <w:vAlign w:val="bottom"/>
          </w:tcPr>
          <w:p>
            <w:pPr>
              <w:spacing w:after="0"/>
              <w:rPr>
                <w:sz w:val="1"/>
                <w:szCs w:val="1"/>
                <w:color w:val="auto"/>
              </w:rPr>
            </w:pPr>
          </w:p>
        </w:tc>
      </w:tr>
      <w:tr>
        <w:trPr>
          <w:trHeight w:val="534"/>
        </w:trPr>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480" w:type="dxa"/>
            <w:vAlign w:val="bottom"/>
            <w:gridSpan w:val="5"/>
          </w:tcPr>
          <w:p>
            <w:pPr>
              <w:ind w:left="5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20" w:type="dxa"/>
            <w:vAlign w:val="bottom"/>
            <w:gridSpan w:val="4"/>
            <w:vMerge w:val="restart"/>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Business Overview</w:t>
              </w:r>
            </w:hyperlink>
          </w:p>
        </w:tc>
        <w:tc>
          <w:tcPr>
            <w:tcW w:w="880" w:type="dxa"/>
            <w:vAlign w:val="bottom"/>
            <w:gridSpan w:val="2"/>
            <w:vMerge w:val="restart"/>
          </w:tcPr>
          <w:p>
            <w:pPr>
              <w:spacing w:after="0"/>
              <w:rPr>
                <w:sz w:val="2"/>
                <w:szCs w:val="2"/>
                <w:color w:val="auto"/>
              </w:rPr>
            </w:pPr>
          </w:p>
        </w:tc>
        <w:tc>
          <w:tcPr>
            <w:tcW w:w="75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340" w:type="dxa"/>
            <w:vAlign w:val="bottom"/>
            <w:gridSpan w:val="5"/>
          </w:tcPr>
          <w:p>
            <w:pPr>
              <w:jc w:val="center"/>
              <w:ind w:left="8050"/>
              <w:spacing w:after="0" w:line="170"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220" w:type="dxa"/>
            <w:vAlign w:val="bottom"/>
            <w:gridSpan w:val="2"/>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2400" w:type="dxa"/>
            <w:vAlign w:val="bottom"/>
            <w:gridSpan w:val="6"/>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Segments and Corporate &amp; Other</w:t>
              </w:r>
            </w:hyperlink>
          </w:p>
        </w:tc>
        <w:tc>
          <w:tcPr>
            <w:tcW w:w="8340" w:type="dxa"/>
            <w:vAlign w:val="bottom"/>
            <w:gridSpan w:val="5"/>
          </w:tcPr>
          <w:p>
            <w:pPr>
              <w:jc w:val="center"/>
              <w:ind w:left="805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300" w:type="dxa"/>
            <w:vAlign w:val="bottom"/>
            <w:gridSpan w:val="2"/>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Sales Distribution</w:t>
              </w:r>
            </w:hyperlink>
          </w:p>
        </w:tc>
        <w:tc>
          <w:tcPr>
            <w:tcW w:w="1100" w:type="dxa"/>
            <w:vAlign w:val="bottom"/>
            <w:gridSpan w:val="4"/>
          </w:tcPr>
          <w:p>
            <w:pPr>
              <w:spacing w:after="0"/>
              <w:rPr>
                <w:sz w:val="21"/>
                <w:szCs w:val="21"/>
                <w:color w:val="auto"/>
              </w:rPr>
            </w:pPr>
          </w:p>
        </w:tc>
        <w:tc>
          <w:tcPr>
            <w:tcW w:w="8340" w:type="dxa"/>
            <w:vAlign w:val="bottom"/>
            <w:gridSpan w:val="5"/>
          </w:tcPr>
          <w:p>
            <w:pPr>
              <w:jc w:val="center"/>
              <w:ind w:left="805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0" w:type="dxa"/>
            <w:vAlign w:val="bottom"/>
            <w:gridSpan w:val="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Policyholder Liabilities</w:t>
              </w:r>
            </w:hyperlink>
          </w:p>
        </w:tc>
        <w:tc>
          <w:tcPr>
            <w:tcW w:w="8340" w:type="dxa"/>
            <w:vAlign w:val="bottom"/>
            <w:gridSpan w:val="5"/>
          </w:tcPr>
          <w:p>
            <w:pPr>
              <w:jc w:val="center"/>
              <w:ind w:left="805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520" w:type="dxa"/>
            <w:vAlign w:val="bottom"/>
            <w:gridSpan w:val="4"/>
          </w:tcPr>
          <w:p>
            <w:pPr>
              <w:spacing w:after="0"/>
              <w:rPr>
                <w:rFonts w:ascii="Arial" w:cs="Arial" w:eastAsia="Arial" w:hAnsi="Arial"/>
                <w:sz w:val="18"/>
                <w:szCs w:val="18"/>
                <w:color w:val="0000EE"/>
                <w:w w:val="91"/>
              </w:rPr>
            </w:pPr>
            <w:hyperlink w:anchor="page9">
              <w:r>
                <w:rPr>
                  <w:rFonts w:ascii="Arial" w:cs="Arial" w:eastAsia="Arial" w:hAnsi="Arial"/>
                  <w:sz w:val="18"/>
                  <w:szCs w:val="18"/>
                  <w:color w:val="0000EE"/>
                  <w:w w:val="91"/>
                </w:rPr>
                <w:t>Reinsurance Activity</w:t>
              </w:r>
            </w:hyperlink>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340" w:type="dxa"/>
            <w:vAlign w:val="bottom"/>
            <w:gridSpan w:val="5"/>
          </w:tcPr>
          <w:p>
            <w:pPr>
              <w:jc w:val="center"/>
              <w:ind w:left="8050"/>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520" w:type="dxa"/>
            <w:vAlign w:val="bottom"/>
            <w:gridSpan w:val="4"/>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Regulation</w:t>
              </w:r>
            </w:hyperlink>
          </w:p>
        </w:tc>
        <w:tc>
          <w:tcPr>
            <w:tcW w:w="880" w:type="dxa"/>
            <w:vAlign w:val="bottom"/>
            <w:gridSpan w:val="2"/>
          </w:tcPr>
          <w:p>
            <w:pPr>
              <w:spacing w:after="0"/>
              <w:rPr>
                <w:sz w:val="21"/>
                <w:szCs w:val="21"/>
                <w:color w:val="auto"/>
              </w:rPr>
            </w:pPr>
          </w:p>
        </w:tc>
        <w:tc>
          <w:tcPr>
            <w:tcW w:w="8340" w:type="dxa"/>
            <w:vAlign w:val="bottom"/>
            <w:gridSpan w:val="5"/>
          </w:tcPr>
          <w:p>
            <w:pPr>
              <w:jc w:val="center"/>
              <w:ind w:left="8070"/>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10</w:t>
              </w:r>
            </w:hyperlink>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81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0" w:type="dxa"/>
            <w:vAlign w:val="bottom"/>
            <w:gridSpan w:val="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Company Ratings</w:t>
              </w:r>
            </w:hyperlink>
          </w:p>
        </w:tc>
        <w:tc>
          <w:tcPr>
            <w:tcW w:w="8340" w:type="dxa"/>
            <w:vAlign w:val="bottom"/>
            <w:gridSpan w:val="5"/>
          </w:tcPr>
          <w:p>
            <w:pPr>
              <w:jc w:val="center"/>
              <w:ind w:left="807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21</w:t>
              </w:r>
            </w:hyperlink>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9"/>
        </w:trPr>
        <w:tc>
          <w:tcPr>
            <w:tcW w:w="40" w:type="dxa"/>
            <w:vAlign w:val="bottom"/>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500" w:type="dxa"/>
            <w:vAlign w:val="bottom"/>
          </w:tcPr>
          <w:p>
            <w:pPr>
              <w:jc w:val="right"/>
              <w:ind w:right="409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Brighthouse Life Insurance Company is a Delaware corporation originally incorporated in Connecticut in 1863. Brighthouse Life Insurance Company is licensed to issue insurance products in all U.S. states (except New York), the District of Columbia, the Bahamas, Guam, Puerto Rico, the British Virgin Islands and the U.S. Virgin Islands.</w:t>
      </w:r>
    </w:p>
    <w:p>
      <w:pPr>
        <w:spacing w:after="0" w:line="12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offers a range of individual annuities and individual life insurance products. The Company is organized into three segments: Annuities, Life and Run-off. In addition, the Company reports certain of its results of operations in Corporate &amp; Other. See “— Segments and Corporate &amp; Other,” “Management’s Discussion and Analysis of Financial Condition and Results of Operations — Overview” and Note 2 of the Notes to the Consolidated Financial Statements for further information on the Company’s segments and Corporate &amp; Other. Management continues to evaluate the Company’s segment performance and allocated resources and may adjust related measurements in the future to better reflect segment profitability.</w:t>
      </w:r>
    </w:p>
    <w:p>
      <w:pPr>
        <w:spacing w:after="0" w:line="1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Revenues derived from any customer did not exceed 10% of premiums, universal life and investment-type product policy fees and other revenues for the years ended December 31, 2017, 2016 and 2015. Substantially all of our premiums, universal life and investment-type product policy fees and other revenues originated in the U.S. Financial information, including revenues, expenses, adjusted earnings, and total assets by segment, as well as premiums, universal life and investment-type product policy fees and other revenues by major product groups, is provided in Note 2 of the Notes to the Consolidated Financial Statements. Adjusted earnings is a performance measure that is not based on accounting principles generally accepted in the United States of America (“GAAP”). See “Management’s Discussion and Analysis of Financial Condition and Results of Operations — Non- GAAP and Other Financial Disclosures” for a definition of such measure.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Key Information</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Significant Events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On January 12, 2016, MetLife, Inc. announced its plan to pursue the separation of a substantial portion of its former U.S. retail business (the “Separation”). Additionally, on July 21, 2016, MetLife, Inc. announced that the separated business would be rebranded as “Brighthouse Financial.” Effective March 6, 2017, and in connection with the Separation, the Company changed its name from MetLife Insurance Company USA to Brighthouse Life Insurance Company.</w:t>
      </w:r>
    </w:p>
    <w:p>
      <w:pPr>
        <w:spacing w:after="0" w:line="79" w:lineRule="exact"/>
        <w:rPr>
          <w:sz w:val="20"/>
          <w:szCs w:val="20"/>
          <w:color w:val="auto"/>
        </w:rPr>
      </w:pPr>
    </w:p>
    <w:p>
      <w:pPr>
        <w:jc w:val="both"/>
        <w:ind w:left="180" w:firstLine="324"/>
        <w:spacing w:after="0" w:line="288" w:lineRule="auto"/>
        <w:rPr>
          <w:sz w:val="20"/>
          <w:szCs w:val="20"/>
          <w:color w:val="auto"/>
        </w:rPr>
      </w:pPr>
      <w:r>
        <w:rPr>
          <w:rFonts w:ascii="Arial" w:cs="Arial" w:eastAsia="Arial" w:hAnsi="Arial"/>
          <w:sz w:val="16"/>
          <w:szCs w:val="16"/>
          <w:color w:val="auto"/>
        </w:rPr>
        <w:t>On October 5, 2016, Brighthouse Financial, Inc., which until the completion of the Separation on August 4, 2017 was a wholly-owned subsidiary of MetLife, Inc., filed a registration statement on Form 10 (as amended, the “Form 10”) with the SEC that was declared effective by the SEC on July 6, 2017. The Form 10 disclosed MetLife, Inc.’s plans to undertake several actions, including an internal reorganization involving its U.S. retail business (the “Restructuring”) and include, among others, Brighthouse Life Insurance Company, Brighthouse Life Insurance Company of NY (“BHNY”), New England Life Insurance Company (“NELICO”), Brighthouse Investment Advisers, LLC (formerly known as MetLife Advisers, LLC) and certain affiliated reinsurance companies in the separated business, and distribute at least 80.1% of the shares of Brighthouse Financial, Inc.’s common stock on a pro rata basis to the holders of MetLife, Inc. common stock. In connection with the Restructuring, in April 2017 following receipt of applicable regulatory approvals, MetLife, Inc. contributed certain affiliated reinsurance companies and BHNY to Brighthouse Life Insurance Company (the “Contribution Transactions”). The affiliated reinsurance companies were then merged into Brighthouse Reinsurance Company of Delaware (“BRCD”), a licensed reinsurance subsidiary of Brighthouse Life Insurance Company. See Note 3 of the Notes to the Consolidated Financial Statements for further information.</w:t>
      </w:r>
    </w:p>
    <w:p>
      <w:pPr>
        <w:spacing w:after="0" w:line="61"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On April 28, 2017, BRCD entered into a new financing arrangement with a pool of highly rated third party reinsurers and a total capacity of $10.0 billion. This financing arrangement consists of credit-linked notes that each have a term of 20 years.</w:t>
      </w:r>
    </w:p>
    <w:p>
      <w:pPr>
        <w:spacing w:after="0" w:line="62"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Additionally, in June 2017 in connection with the Separation: (i) MetLife, Inc. forgave the $750 million principal amount of 8.595% surplus notes issued by Brighthouse Life Insurance Company; and (ii) Brighthouse Holdings, LLC (“Brighthouse Holdings”) contributed $600 million in cash to Brighthouse Life Insurance Company. On July 28, 2017, MetLife, Inc. contributed Brighthouse Holdings to Brighthouse Financial, Inc., resulting in Brighthouse Life Insurance Company becoming an indirect wholly-owned subsidiary of Brighthouse Financial, Inc.</w:t>
      </w:r>
    </w:p>
    <w:p>
      <w:pPr>
        <w:spacing w:after="0" w:line="79" w:lineRule="exact"/>
        <w:rPr>
          <w:sz w:val="20"/>
          <w:szCs w:val="20"/>
          <w:color w:val="auto"/>
        </w:rPr>
      </w:pPr>
    </w:p>
    <w:p>
      <w:pPr>
        <w:jc w:val="both"/>
        <w:ind w:left="180" w:right="20" w:firstLine="324"/>
        <w:spacing w:after="0" w:line="308" w:lineRule="auto"/>
        <w:rPr>
          <w:sz w:val="20"/>
          <w:szCs w:val="20"/>
          <w:color w:val="auto"/>
        </w:rPr>
      </w:pPr>
      <w:r>
        <w:rPr>
          <w:rFonts w:ascii="Arial" w:cs="Arial" w:eastAsia="Arial" w:hAnsi="Arial"/>
          <w:sz w:val="17"/>
          <w:szCs w:val="17"/>
          <w:color w:val="auto"/>
        </w:rPr>
        <w:t>On August 4, 2017, MetLife, Inc. completed the Separation through a distribution of 96,776,670 of the 119,773,106 shares of the common stock of Brighthouse Financial Inc, representing 80.8% of MetLife Inc.’s interest in Brighthouse Financial Inc., to holders of MetLife, Inc. common stock.</w:t>
      </w:r>
    </w:p>
    <w:p>
      <w:pPr>
        <w:spacing w:after="0" w:line="38"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On August 10, 2017, September 8, 2017 and October 26, 2017 the Company received capital contributions of $400 million, $100 million and $200 million, respectively, in cash from Brighthouse Holdings.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2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In July 2016, MetLife, Inc. completed the sale to Massachusetts Mutual Life Insurance Company (“MassMutual”) of MetLife’s U.S. retail advisor force and certain assets associated with the MetLife Premier Client Group (“MPCG”), including all of the issued and outstanding shares of MetLife’s affiliated broker-dealer, MetLife Securities, Inc., a wholly-owned subsidiary of MetLife, Inc. MassMutual assumed all of the liabilities related to such assets that arise or occur (or have arisen or occurred) at or after the sale was closed. As part of the transactions, MetLife, Inc. and MassMutual entered into a product development agreement under which Brighthouse is the exclusive developer of certain annuity products to be issued by MassMutual. In connection with the Separation, Brighthouse entered into an agreement with MetLife, Inc., that among other things, provides for the sharing of certain liabilities that may arise with respect to this relationship.</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 and Corporate &amp; Other</w:t>
      </w:r>
    </w:p>
    <w:p>
      <w:pPr>
        <w:spacing w:after="0" w:line="121"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The Company is organized into three segments: two ongoing business segments, Annuities and Life, and the Run-off segment. In addition, the Company reports certain of its results of operations in Corporate &amp; Other.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Annuities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Annuities segment consists of a variety of variable, fixed, index-linked and income annuities designed to address contract holders’ needs for protected wealth accumulation on a tax-deferred basis, wealth transfer and income security.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w:t>
      </w:r>
    </w:p>
    <w:p>
      <w:pPr>
        <w:spacing w:after="0" w:line="11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Life segment consists of insurance products and services, including term, whole, universal and variable life products designed to address policyholders’ needs for financial security and protected wealth transfer, which may be provided on a tax-advantaged basis. In addition to contributing to our revenues and earnings, mortality protection-based products offered by our Life segment diversify the longevity and other risks in our Annuity segment.</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Pricing and Underwriting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Pricing</w:t>
      </w:r>
    </w:p>
    <w:p>
      <w:pPr>
        <w:spacing w:after="0" w:line="117"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Life insurance pricing at issuance is based on the expected payout of benefits calculated using our assumptions for mortality, morbidity, premium payment patterns, sales mix, expenses, persistency and investment returns, as well as certain macroeconomic factors, such as inflation. Our product pricing models consider additional factors, such as hedging costs, reinsurance programs, and capital requirements. We have historically leveraged the actuarial capabilities and long history of MetLife. Our product pricing reflects our pricing standards and guidelines. We continually review our pricing guidelines in light of applicable regulations and to ensure that our policies remain competitive and supportive of our marketing strategies and profitability goals.</w:t>
      </w:r>
    </w:p>
    <w:p>
      <w:pPr>
        <w:spacing w:after="0" w:line="85"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We have a dedicated unit, the primary responsibility of which is the development of product pricing standards and independent pricing and underwriting oversight for our insurance business. Further important controls around management of underwriting and pricing processes include regular experience studies to monitor assumptions against expectations, formal new product approval processes, periodic updates to product profitability studies and the use of reinsurance to manage our exposures, as appropriate. See “Management’s Discussion and Analysis of Financial Condition and Results of Operations — Summary of Critical Accounting Estimates — Reinsurance.”</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Underwriting</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Underwriting generally involves an evaluation of applications by a professional staff of underwriters and actuaries, who determine the type and the amount of insurance risk that we are willing to accept. We employ detailed underwriting policies, guidelines and procedures designed to assist the underwriters to properly assess and quantify such risks before issuing policies to qualified applicants or groups.</w:t>
      </w:r>
    </w:p>
    <w:p>
      <w:pPr>
        <w:spacing w:after="0" w:line="73"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Insurance underwriting may consider not only an insured’s medical history, but also other factors such as the insured’s foreign travel, vocations, alcohol, drug and tobacco use, and the policyholder’s financial profile. We generally perform our own underwriting; however, certain policies are reviewed by intermediaries under guidelines established by us. Requests for coverage are reviewed on their merits and a policy is not issued unless the particular risk has been examined and approved in accordance with our underwriting guidelines.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2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left="340" w:firstLine="324"/>
        <w:spacing w:after="0" w:line="308" w:lineRule="auto"/>
        <w:rPr>
          <w:sz w:val="20"/>
          <w:szCs w:val="20"/>
          <w:color w:val="auto"/>
        </w:rPr>
      </w:pPr>
      <w:r>
        <w:rPr>
          <w:rFonts w:ascii="Arial" w:cs="Arial" w:eastAsia="Arial" w:hAnsi="Arial"/>
          <w:sz w:val="17"/>
          <w:szCs w:val="17"/>
          <w:color w:val="auto"/>
        </w:rPr>
        <w:t>The underwriting conducted by our corporate underwriting office and intermediaries is subject to periodic quality assurance reviews to maintain high standards of underwriting and consistency. The office is also subject to periodic external audits by reinsurers with whom we do business.</w:t>
      </w:r>
    </w:p>
    <w:p>
      <w:pPr>
        <w:spacing w:after="0" w:line="38"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We have established oversight of the underwriting process that facilitates quality sales and serves the needs of our customers, while supporting our financial strength and business objectives. Our goal is to achieve the underwriting, mortality and morbidity levels reflected in the assumptions in our product pricing. This is accomplished by determining and establishing underwriting policies, guidelines, philosophies and strategies that are competitive and suitable for the customer, the agent and us.</w:t>
      </w:r>
    </w:p>
    <w:p>
      <w:pPr>
        <w:spacing w:after="0" w:line="79"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We continually review our underwriting guidelines (i) in light of applicable regulations and (ii) to ensure that our practices remain competitive and supportive of our marketing strategies, emerging industry trends and profitability goals.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Run-off</w:t>
      </w:r>
    </w:p>
    <w:p>
      <w:pPr>
        <w:spacing w:after="0" w:line="11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Run-off segment consists of products no longer actively sold and which are separately managed, including structured settlements, pension risk transfer contracts, certain company-owned life insurance policies, funding agreements, and universal life with secondary guarantees (“ULSG”).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17" w:lineRule="exact"/>
        <w:rPr>
          <w:sz w:val="20"/>
          <w:szCs w:val="20"/>
          <w:color w:val="auto"/>
        </w:rPr>
      </w:pPr>
    </w:p>
    <w:p>
      <w:pPr>
        <w:jc w:val="both"/>
        <w:ind w:left="180" w:firstLine="324"/>
        <w:spacing w:after="0" w:line="271" w:lineRule="auto"/>
        <w:rPr>
          <w:sz w:val="20"/>
          <w:szCs w:val="20"/>
          <w:color w:val="auto"/>
        </w:rPr>
      </w:pPr>
      <w:r>
        <w:rPr>
          <w:rFonts w:ascii="Arial" w:cs="Arial" w:eastAsia="Arial" w:hAnsi="Arial"/>
          <w:sz w:val="17"/>
          <w:szCs w:val="17"/>
          <w:color w:val="auto"/>
        </w:rPr>
        <w:t>Corporate &amp; Other contains the excess capital not allocated to the segments and interest expense related to the majority of the Company’s outstanding debt, as well as expenses associated with certain legal proceedings and income tax audit issues. Additionally, Corporate &amp; Other includes assumed reinsurance of certain variable annuity products from a former affiliated operating joint venture in Japan. Under this in-force reinsurance agreement, the Company reinsured living and death benefit guarantees issued in connection with variable annuity products. Also, Corporate &amp; Other includes a reinsurance agreement to assume certain blocks of indemnity reinsurance from a former affiliate. These reinsurance agreements were recaptured effective November 1, 2014. Corporate &amp; Other also includes the elimination of intersegment amounts, long-term care and workers compensation business reinsured through 100% quota share reinsurance agreements, and a portion of MetLife’s former U.S. insurance business sold direct to consumers, which is no longer being offered for new sales.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Distribution</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distribute our annuity and life insurance products through a diverse network of independent distribution partners. Our partners include over 400 national and regional brokerage firms, banks, other financial institutions and financial planners, in connection with the sale of our annuity products, and general agencies, financial advisors, brokerage general agencies and financial intermediaries, in connection with the distribution of our life insurance products. We believe this strategy will permit us to maximize penetration of our target markets and distribution partners without incurring the fixed costs of maintaining a proprietary distribution channel and will facilitate our ability to quickly comply with evolving regulatory requirements applicable to the sale of our products.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Policyholder Liabilities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establish, and carry as liabilities, actuarially determined amounts that are calculated to meet policy obligations or to provide for future annuity payments. Amounts for actuarial liabilities are computed and reported on the financial statements in conformity with GAAP. For more details on policyholder liabilities, see “Management’s Discussion and Analysis of Financial Condition and Results of Operations — Summary of Critical Accounting Estimates — Liability for Future Policy Benefits.”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Due to the nature of the underlying risks and the uncertainty associated with the determination of actuarial liabilities, we cannot precisely determine the amounts that will ultimately be paid with respect to these actuarial liabilities, and the ultimate amounts may vary from the estimated amounts, particularly when payment may not occur until well into the future.</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periodically review the assumptions supporting our estimates of actuarial liabilities for future policy benefits. We revise estimates, to the extent permitted or required under GAAP, if we determine that future expected experience differs from assumptions used in the development of actuarial liabilities. If the liabilities originally established for future benefit payments prove inadequate, we must increase them. We charge or credit changes in our liabilities to expenses in the period the liabilities are established or re-estimated. Any increase could adversely affect our earnings and have a material adverse effect on our business, results of operations and financial condition.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2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have experienced, and will likely in the future experience, catastrophe losses and possibly acts of terrorism, as well as turbulent financial markets that may have an adverse impact on our business, results of operations, and financial condition. Due to their nature, we cannot predict the incidence, timing, severity or amount of losses from catastrophes and acts of terrorism, but we make broad use of catastrophic and noncatastrophic reinsurance to manage risk from these perils. We also use hedging, reinsurance and other risk management activities to mitigate financial market volatility.</w:t>
      </w:r>
    </w:p>
    <w:p>
      <w:pPr>
        <w:spacing w:after="0" w:line="10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Pursuant to applicable insurance laws and regulations, the Company establishes statutory reserves, reported as liabilities, to meet its obligations on its policies. These statutory reserves are established in amounts sufficient to meet policy and contract obligations, when taken together with expected future premiums and interest at assumed rates. Statutory reserves and actuarial liabilities for future policy benefits generally differ based on accounting guidance.</w:t>
      </w:r>
    </w:p>
    <w:p>
      <w:pPr>
        <w:spacing w:after="0" w:line="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Delaware insurance laws and regulations require us to submit to the Delaware Commissioner of Insurance with each annual report, an opinion and memorandum of a “qualified actuary” that the statutory reserves and related actuarial amounts recorded in support of specified policies and contracts, and the assets supporting such statutory reserves and related actuarial amounts, make adequate provision for our statutory liabilities with respect to these obligations. See “— Regulation — Insurance Regulation — Policy and Contract Reserve Adequacy Analysis.”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 Activity</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connection with our risk management efforts and in order to provide opportunities for growth and capital management, we enter into reinsurance arrangements pursuant to which we cede certain insurance risks to unaffiliated reinsurers (“Unaffiliated Third-party Reinsurance”). We also enter into reserve financing and other transactions involving the assumption and cession of insurance risks with affiliated reinsurers and ceding companies (“Affiliated Reinsurance”). We discuss below our use of Unaffiliated Third-party Reinsurance, as well as our use of Affiliated Reinsurance. We also discuss the cession of a block of legacy insurance liabilities to a third party and related indemnification and assignment arrangements.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Unaffiliated Third-Party Reinsurance</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cede risks to third parties in order to limit losses, minimize exposure to significant risks and provide capacity for future growth. We enter into various agreements with reinsurers that cover groups of risks, as well as individual risks. Our ceded reinsurance to third parties is primarily structured on a treaty basis as coinsurance, yearly renewable term, excess or catastrophe excess of retention insurance. These reinsurance arrangements are an important part of our risk management strategy because they permit us to spread risk and minimize the effect of losses. The extent of each risk retained by us depends on our evaluation of the specific risk, subject, in certain circumstances, to maximum retention limits based on the characteristics and relative cost of reinsurance. We also cede first dollar mortality risk under certain contracts. In addition to reinsuring mortality risk, we cede other risks, as well as specific coverages.</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the terms of the reinsurance agreements, the reinsurer agrees to reimburse us for the ceded amount in the event that we pay a claim. Cessions under reinsurance agreements do not discharge our obligations as the primary insurer. In the event the reinsurers do not meet their obligations under the terms of the reinsurance agreements, reinsurance recoverable balances could become uncollectible.</w:t>
      </w:r>
    </w:p>
    <w:p>
      <w:pPr>
        <w:spacing w:after="0" w:line="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historically reinsured the mortality risk on our life insurance policies primarily on an excess of retention basis or on a quota share basis. When we cede risks to a reinsurer on an excess of retention basis we retain the liability up to a contractually specified amount and the reinsurer is responsible for indemnifying us for amounts in excess of the liability we retain, subject sometimes to a cap. When we cede risks on a quota share basis we share a portion of the risk within a contractually specified layer of reinsurance coverage. We reinsure on a facultative basis for risks with specified characteristics. On a case by case basis, we may retain up to $20 million per life and reinsure 100% of the risk in excess of $20 million. We also reinsure portions of the risk associated with certain whole life policies to a former affiliate and we assume certain term life policies and universal life policies with secondary death benefit guarantees issued by a former affiliate. We routinely evaluate our reinsurance program and may increase or decrease our retention at any time.</w:t>
      </w:r>
    </w:p>
    <w:p>
      <w:pPr>
        <w:spacing w:after="0" w:line="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also reinsure portions of the living and death benefit guarantees issued in connection with variable annuities to unaffiliated reinsurers. Under these arrangements, we typically pay a reinsurance premium based on fees associated with the guarantees collected from contract holders, and receive reimbursement for benefits paid or accrued in excess of account values, subject to certain limitations. We reinsure 100% of certain variable annuity risks to a former affiliate. We also assume 100% of the living and death benefit guarantees issued in connection with certain variable annuities issued by our affiliated, NELICO.</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2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reinsurance is diversified with a group of well-capitalized, highly rated reinsurers. We analyze recent trends in arbitration and litigation outcomes in disputes, if any, with our reinsurers. We monitor ratings and evaluate the financial strength of our reinsurers by analyzing their financial statements. In addition, the reinsurance recoverable balance due from each reinsurer is evaluated as part of the overall monitoring process. Recoverability of reinsurance recoverable balances is evaluated based on these analyses. We generally secure large reinsurance recoverable balances with various forms of collateral, including secured trusts, funds withheld accounts and irrevocable letters of credit.</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reinsure, through 100% quota share reinsurance agreements, certain run-off long-term care and workers’ compensation business that we have originally written. For products formerly issued by MetLife’s Retirement &amp; Income Solutions business (formerly known as Corporate Benefit Funding), we have periodically engaged in reinsurance activities on an opportunistic basis.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Affiliated Reinsurance</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required to calculate reserves for term life products and ULSG products pursuant to the NAIC Valuation of Life Insurance Model Regulation (“Regulation XXX”) and the NAIC Actuarial Guideline 38 (“Guideline AXXX”), respectively. Affiliated reinsurance companies are affiliated insurance companies licensed under specific provisions of insurance law of their respective jurisdictions, such as the Special Purpose Financial Captive law adopted by several states including Delaware, and have a very narrow business plan that specifically restricts the majority or all of their activity to reinsuring business from their affiliates. We are party to reinsurance agreements with a former affiliate in order to mitigate risk, as well as free up capital, which can be used for diverse corporate purposes. Additionally, our reinsurance subsidiary, BRCD, was formed to manage our capital and risk exposures and to support our various operations, through the use of affiliated reinsurance arrangements and related reserve financing. See “Risk Factors — Risks Related to Our Business — We may not be able to take credit for reinsurance, our statutory life insurance reserve financings may be subject to cost increases and new financings may be subject to limited market capacity” and “Regulation — Insurance Regulation.”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Catastrophe Coverage</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exposure to catastrophes which could contribute to significant fluctuations in our results of operations. We use excess reinsurance agreements, under which the direct writing company reinsures risk in excess of a specific dollar value for each policy within a class of policies, to provide greater diversification of risk and minimize exposure to larger risks. Such excess reinsurance agreements include retention reinsurance agreements and quota share reinsurance agreements. Retention reinsurance agreements provide for a portion of a risk to remain with the direct writing company, and quota share reinsurance agreements provide for the direct writing company to transfer a fixed percentage of all risks of a class of policies. Our life insurance products subject us to catastrophe risk which we do not reinsure other than through our ongoing mortality reinsurance program which transfers risk at the individual policy level.</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Care Reinsurance and Indemnity</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2005, our former parent, MetLife acquired Travelers from Citigroup. Travelers was redomesticated to Delaware in 2014, merged with two affiliated life insurance companies and a former offshore, reinsurance subsidiary and renamed MetLife USA, now BLIC. Prior to this acquisition, Travelers agreed to reinsure a 90% quota share of its long-term care insurance business to certain affiliates of General Electric Company, which following a spin-off became part of Genworth Financial, Inc. (“Genworth”) and subsequently agreed to reinsure the remaining 10% quota share of such long-term care insurance business to what became Genworth. The applicable Genworth reinsurers, Genworth Life Insurance Company and Genworth Life Insurance Company of New York, established trust accounts for our benefit to secure their obligations under such arrangements with qualifying collateral. Although the Genworth reinsurers are primarily obligated for the liabilities of the long-term care insurance business, such reinsurance arrangements do not relieve BLIC of its direct liability under the ceded long-term care insurance policies. In connection with the acquisition of Travelers by MetLife, Citigroup agreed to indemnify MetLife for any losses and certain other payment obligations MetLife might incur with respect to the long-term care insurance business reinsured by Genworth. Prior to the Separation from MetLife, MetLife assigned its indemnification rights to us with the consent of Citigroup and, together with MetLife, we agreed to comply with certain obligations relating to these indemnification rights in connection with the long-term care insurance business. The long-term care insurance business of Travelers had reserves of $6.5 billion at December 31, 2017 and BLIC had reinsurance recoverables of $6.5 billion associated with the reinsurance transaction with Genworth at December 31, 2017.</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2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80" w:type="dxa"/>
            <w:vAlign w:val="bottom"/>
            <w:gridSpan w:val="4"/>
          </w:tcPr>
          <w:p>
            <w:pPr>
              <w:ind w:left="780"/>
              <w:spacing w:after="0"/>
              <w:rPr>
                <w:sz w:val="20"/>
                <w:szCs w:val="20"/>
                <w:color w:val="auto"/>
              </w:rPr>
            </w:pPr>
            <w:r>
              <w:rPr>
                <w:rFonts w:ascii="Arial" w:cs="Arial" w:eastAsia="Arial" w:hAnsi="Arial"/>
                <w:sz w:val="18"/>
                <w:szCs w:val="18"/>
                <w:b w:val="1"/>
                <w:bCs w:val="1"/>
                <w:color w:val="auto"/>
              </w:rPr>
              <w:t>Index to Regulation</w:t>
            </w:r>
          </w:p>
        </w:tc>
      </w:tr>
      <w:tr>
        <w:trPr>
          <w:trHeight w:val="575"/>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3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33"/>
        </w:trPr>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7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6"/>
        </w:trPr>
        <w:tc>
          <w:tcPr>
            <w:tcW w:w="4300" w:type="dxa"/>
            <w:vAlign w:val="bottom"/>
            <w:gridSpan w:val="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Overview</w:t>
              </w:r>
            </w:hyperlink>
          </w:p>
        </w:tc>
        <w:tc>
          <w:tcPr>
            <w:tcW w:w="6480" w:type="dxa"/>
            <w:vAlign w:val="bottom"/>
            <w:gridSpan w:val="3"/>
          </w:tcPr>
          <w:p>
            <w:pPr>
              <w:jc w:val="center"/>
              <w:ind w:left="6230"/>
              <w:spacing w:after="0" w:line="196"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11</w:t>
              </w:r>
            </w:hyperlink>
          </w:p>
        </w:tc>
        <w:tc>
          <w:tcPr>
            <w:tcW w:w="600" w:type="dxa"/>
            <w:vAlign w:val="bottom"/>
          </w:tcPr>
          <w:p>
            <w:pPr>
              <w:spacing w:after="0"/>
              <w:rPr>
                <w:sz w:val="17"/>
                <w:szCs w:val="17"/>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4300" w:type="dxa"/>
            <w:vAlign w:val="bottom"/>
            <w:gridSpan w:val="8"/>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Insurance Regulation</w:t>
              </w:r>
            </w:hyperlink>
          </w:p>
        </w:tc>
        <w:tc>
          <w:tcPr>
            <w:tcW w:w="6480" w:type="dxa"/>
            <w:vAlign w:val="bottom"/>
            <w:gridSpan w:val="3"/>
          </w:tcPr>
          <w:p>
            <w:pPr>
              <w:jc w:val="center"/>
              <w:ind w:left="6230"/>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11</w:t>
              </w:r>
            </w:hyperlink>
          </w:p>
        </w:tc>
        <w:tc>
          <w:tcPr>
            <w:tcW w:w="600" w:type="dxa"/>
            <w:vAlign w:val="bottom"/>
          </w:tcPr>
          <w:p>
            <w:pPr>
              <w:spacing w:after="0"/>
              <w:rPr>
                <w:sz w:val="21"/>
                <w:szCs w:val="21"/>
                <w:color w:val="auto"/>
              </w:rPr>
            </w:pPr>
          </w:p>
        </w:tc>
      </w:tr>
      <w:tr>
        <w:trPr>
          <w:trHeight w:val="20"/>
        </w:trPr>
        <w:tc>
          <w:tcPr>
            <w:tcW w:w="1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4300" w:type="dxa"/>
            <w:vAlign w:val="bottom"/>
            <w:gridSpan w:val="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Department of Labor and ERISA Considerations</w:t>
              </w:r>
            </w:hyperlink>
          </w:p>
        </w:tc>
        <w:tc>
          <w:tcPr>
            <w:tcW w:w="6480" w:type="dxa"/>
            <w:vAlign w:val="bottom"/>
            <w:gridSpan w:val="3"/>
          </w:tcPr>
          <w:p>
            <w:pPr>
              <w:jc w:val="center"/>
              <w:ind w:left="621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17</w:t>
              </w:r>
            </w:hyperlink>
          </w:p>
        </w:tc>
        <w:tc>
          <w:tcPr>
            <w:tcW w:w="600" w:type="dxa"/>
            <w:vAlign w:val="bottom"/>
          </w:tcPr>
          <w:p>
            <w:pPr>
              <w:spacing w:after="0"/>
              <w:rPr>
                <w:sz w:val="21"/>
                <w:szCs w:val="21"/>
                <w:color w:val="auto"/>
              </w:rPr>
            </w:pPr>
          </w:p>
        </w:tc>
      </w:tr>
      <w:tr>
        <w:trPr>
          <w:trHeight w:val="250"/>
        </w:trPr>
        <w:tc>
          <w:tcPr>
            <w:tcW w:w="3500" w:type="dxa"/>
            <w:vAlign w:val="bottom"/>
            <w:tcBorders>
              <w:top w:val="single" w:sz="8" w:color="0000EE"/>
            </w:tcBorders>
            <w:gridSpan w:val="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Federal Tax Reform</w:t>
              </w:r>
            </w:hyperlink>
          </w:p>
        </w:tc>
        <w:tc>
          <w:tcPr>
            <w:tcW w:w="800" w:type="dxa"/>
            <w:vAlign w:val="bottom"/>
          </w:tcPr>
          <w:p>
            <w:pPr>
              <w:spacing w:after="0"/>
              <w:rPr>
                <w:sz w:val="21"/>
                <w:szCs w:val="21"/>
                <w:color w:val="auto"/>
              </w:rPr>
            </w:pPr>
          </w:p>
        </w:tc>
        <w:tc>
          <w:tcPr>
            <w:tcW w:w="6320" w:type="dxa"/>
            <w:vAlign w:val="bottom"/>
            <w:gridSpan w:val="2"/>
          </w:tcPr>
          <w:p>
            <w:pPr>
              <w:spacing w:after="0"/>
              <w:rPr>
                <w:sz w:val="21"/>
                <w:szCs w:val="21"/>
                <w:color w:val="auto"/>
              </w:rPr>
            </w:pPr>
          </w:p>
        </w:tc>
        <w:tc>
          <w:tcPr>
            <w:tcW w:w="160" w:type="dxa"/>
            <w:vAlign w:val="bottom"/>
            <w:tcBorders>
              <w:top w:val="single" w:sz="8" w:color="0000EE"/>
            </w:tcBorders>
          </w:tcPr>
          <w:p>
            <w:pPr>
              <w:jc w:val="center"/>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19</w:t>
              </w:r>
            </w:hyperlink>
          </w:p>
        </w:tc>
        <w:tc>
          <w:tcPr>
            <w:tcW w:w="600" w:type="dxa"/>
            <w:vAlign w:val="bottom"/>
          </w:tcPr>
          <w:p>
            <w:pPr>
              <w:spacing w:after="0"/>
              <w:rPr>
                <w:sz w:val="21"/>
                <w:szCs w:val="21"/>
                <w:color w:val="auto"/>
              </w:rPr>
            </w:pPr>
          </w:p>
        </w:tc>
      </w:tr>
      <w:tr>
        <w:trPr>
          <w:trHeight w:val="20"/>
        </w:trPr>
        <w:tc>
          <w:tcPr>
            <w:tcW w:w="144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32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19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Consumer Protection Laws</w:t>
              </w:r>
            </w:hyperlink>
          </w:p>
        </w:tc>
        <w:tc>
          <w:tcPr>
            <w:tcW w:w="2340" w:type="dxa"/>
            <w:vAlign w:val="bottom"/>
            <w:gridSpan w:val="4"/>
          </w:tcPr>
          <w:p>
            <w:pPr>
              <w:spacing w:after="0"/>
              <w:rPr>
                <w:sz w:val="21"/>
                <w:szCs w:val="21"/>
                <w:color w:val="auto"/>
              </w:rPr>
            </w:pPr>
          </w:p>
        </w:tc>
        <w:tc>
          <w:tcPr>
            <w:tcW w:w="6320" w:type="dxa"/>
            <w:vAlign w:val="bottom"/>
            <w:gridSpan w:val="2"/>
          </w:tcPr>
          <w:p>
            <w:pPr>
              <w:spacing w:after="0"/>
              <w:rPr>
                <w:sz w:val="21"/>
                <w:szCs w:val="21"/>
                <w:color w:val="auto"/>
              </w:rPr>
            </w:pPr>
          </w:p>
        </w:tc>
        <w:tc>
          <w:tcPr>
            <w:tcW w:w="160" w:type="dxa"/>
            <w:vAlign w:val="bottom"/>
            <w:tcBorders>
              <w:bottom w:val="single" w:sz="8" w:color="0000EE"/>
            </w:tcBorders>
          </w:tcPr>
          <w:p>
            <w:pPr>
              <w:jc w:val="center"/>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19</w:t>
              </w:r>
            </w:hyperlink>
          </w:p>
        </w:tc>
        <w:tc>
          <w:tcPr>
            <w:tcW w:w="600" w:type="dxa"/>
            <w:vAlign w:val="bottom"/>
          </w:tcPr>
          <w:p>
            <w:pPr>
              <w:spacing w:after="0"/>
              <w:rPr>
                <w:sz w:val="21"/>
                <w:szCs w:val="21"/>
                <w:color w:val="auto"/>
              </w:rPr>
            </w:pPr>
          </w:p>
        </w:tc>
      </w:tr>
      <w:tr>
        <w:trPr>
          <w:trHeight w:val="250"/>
        </w:trPr>
        <w:tc>
          <w:tcPr>
            <w:tcW w:w="31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Regulation of Over-the-Counter Derivatives</w:t>
              </w:r>
            </w:hyperlink>
          </w:p>
        </w:tc>
        <w:tc>
          <w:tcPr>
            <w:tcW w:w="1120" w:type="dxa"/>
            <w:vAlign w:val="bottom"/>
            <w:gridSpan w:val="3"/>
          </w:tcPr>
          <w:p>
            <w:pPr>
              <w:spacing w:after="0"/>
              <w:rPr>
                <w:sz w:val="21"/>
                <w:szCs w:val="21"/>
                <w:color w:val="auto"/>
              </w:rPr>
            </w:pPr>
          </w:p>
        </w:tc>
        <w:tc>
          <w:tcPr>
            <w:tcW w:w="6320" w:type="dxa"/>
            <w:vAlign w:val="bottom"/>
            <w:gridSpan w:val="2"/>
          </w:tcPr>
          <w:p>
            <w:pPr>
              <w:spacing w:after="0"/>
              <w:rPr>
                <w:sz w:val="21"/>
                <w:szCs w:val="21"/>
                <w:color w:val="auto"/>
              </w:rPr>
            </w:pPr>
          </w:p>
        </w:tc>
        <w:tc>
          <w:tcPr>
            <w:tcW w:w="160" w:type="dxa"/>
            <w:vAlign w:val="bottom"/>
            <w:tcBorders>
              <w:bottom w:val="single" w:sz="8" w:color="0000EE"/>
            </w:tcBorders>
          </w:tcPr>
          <w:p>
            <w:pPr>
              <w:jc w:val="center"/>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20</w:t>
              </w:r>
            </w:hyperlink>
          </w:p>
        </w:tc>
        <w:tc>
          <w:tcPr>
            <w:tcW w:w="600" w:type="dxa"/>
            <w:vAlign w:val="bottom"/>
          </w:tcPr>
          <w:p>
            <w:pPr>
              <w:spacing w:after="0"/>
              <w:rPr>
                <w:sz w:val="21"/>
                <w:szCs w:val="21"/>
                <w:color w:val="auto"/>
              </w:rPr>
            </w:pPr>
          </w:p>
        </w:tc>
      </w:tr>
      <w:tr>
        <w:trPr>
          <w:trHeight w:val="250"/>
        </w:trPr>
        <w:tc>
          <w:tcPr>
            <w:tcW w:w="33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Securities and Investment Advisor Regulation</w:t>
              </w:r>
            </w:hyperlink>
          </w:p>
        </w:tc>
        <w:tc>
          <w:tcPr>
            <w:tcW w:w="980" w:type="dxa"/>
            <w:vAlign w:val="bottom"/>
            <w:gridSpan w:val="2"/>
          </w:tcPr>
          <w:p>
            <w:pPr>
              <w:spacing w:after="0"/>
              <w:rPr>
                <w:sz w:val="21"/>
                <w:szCs w:val="21"/>
                <w:color w:val="auto"/>
              </w:rPr>
            </w:pPr>
          </w:p>
        </w:tc>
        <w:tc>
          <w:tcPr>
            <w:tcW w:w="6320" w:type="dxa"/>
            <w:vAlign w:val="bottom"/>
            <w:gridSpan w:val="2"/>
          </w:tcPr>
          <w:p>
            <w:pPr>
              <w:spacing w:after="0"/>
              <w:rPr>
                <w:sz w:val="21"/>
                <w:szCs w:val="21"/>
                <w:color w:val="auto"/>
              </w:rPr>
            </w:pPr>
          </w:p>
        </w:tc>
        <w:tc>
          <w:tcPr>
            <w:tcW w:w="160" w:type="dxa"/>
            <w:vAlign w:val="bottom"/>
            <w:tcBorders>
              <w:bottom w:val="single" w:sz="8" w:color="0000EE"/>
            </w:tcBorders>
          </w:tcPr>
          <w:p>
            <w:pPr>
              <w:jc w:val="center"/>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20</w:t>
              </w:r>
            </w:hyperlink>
          </w:p>
        </w:tc>
        <w:tc>
          <w:tcPr>
            <w:tcW w:w="600" w:type="dxa"/>
            <w:vAlign w:val="bottom"/>
          </w:tcPr>
          <w:p>
            <w:pPr>
              <w:spacing w:after="0"/>
              <w:rPr>
                <w:sz w:val="21"/>
                <w:szCs w:val="21"/>
                <w:color w:val="auto"/>
              </w:rPr>
            </w:pPr>
          </w:p>
        </w:tc>
      </w:tr>
      <w:tr>
        <w:trPr>
          <w:trHeight w:val="250"/>
        </w:trPr>
        <w:tc>
          <w:tcPr>
            <w:tcW w:w="4300" w:type="dxa"/>
            <w:vAlign w:val="bottom"/>
            <w:gridSpan w:val="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Unclaimed Property</w:t>
              </w:r>
            </w:hyperlink>
          </w:p>
        </w:tc>
        <w:tc>
          <w:tcPr>
            <w:tcW w:w="6480" w:type="dxa"/>
            <w:vAlign w:val="bottom"/>
            <w:gridSpan w:val="3"/>
          </w:tcPr>
          <w:p>
            <w:pPr>
              <w:jc w:val="center"/>
              <w:ind w:left="621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21</w:t>
              </w:r>
            </w:hyperlink>
          </w:p>
        </w:tc>
        <w:tc>
          <w:tcPr>
            <w:tcW w:w="600" w:type="dxa"/>
            <w:vAlign w:val="bottom"/>
          </w:tcPr>
          <w:p>
            <w:pPr>
              <w:spacing w:after="0"/>
              <w:rPr>
                <w:sz w:val="21"/>
                <w:szCs w:val="2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2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and our life insurance subsidiaries, BRCD and BHNY, are regulated primarily at the state level, with some products and services also subject to federal regulation. Furthermore, some of our operations, products and services are subject to ERISA, consumer protection laws, securities, broker-dealer and investment advisor regulations, and environmental and unclaimed property laws and regulations. See “Risk Factors — Regulatory and Legal Risks — Our business is highly regulated, and changes in regulation and in supervisory and enforcement policies may materially impact our capitalization or cash flows, reduce our profitability and limit our growth.”</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Regulation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State insurance regulation generally aims at supervising and regulating insurers, with the goal of protecting policyholders and ensuring that insurance companies remain solvent. Insurance regulators have increasingly sought information about the potential impact of activities in holding company systems as a whole and have adopted laws and regulations enhancing “group-wide” supervision. See “— Holding Company Regulation” for information regarding an enterprise risk report.</w:t>
      </w:r>
    </w:p>
    <w:p>
      <w:pPr>
        <w:spacing w:after="0" w:line="7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and each of our insurance subsidiaries is licensed and regulated in each U.S. jurisdiction where it conducts insurance business. Brighthouse Life Insurance Company is licensed to issue insurance products in all U.S. states (except New York), the District of Columbia, the Bahamas, Guam, Puerto Rico, the British Virgin Islands and the U.S. Virgin Islands. BHNY is only licensed to issue insurance products in New York. The primary regulator of an insurance company, however, is the insurance regulator in its state of domicile. Brighthouse Life Insurance Company is domiciled in Delaware and BHNY is domiciled in New York, and regulated by the Delaware Department of Insurance and the New York State Department of Financial Services (“NYDFS”), respectively. In addition, BRCD, which provides reinsurance to us and BHNY, is domiciled in Delaware and regulated by the Delaware Department of Insurance.</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extent of such regulation varies, but most jurisdictions have laws and regulations governing the financial aspects and business conduct of insurers.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 laws in the U.S. grant insurance regulatory authorities broad administrative powers with respect to, among other things:</w:t>
      </w:r>
    </w:p>
    <w:p>
      <w:pPr>
        <w:spacing w:after="0" w:line="10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licensing companies and agents to transact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calculating the value of assets to determine compliance with statutory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mandating certain insurance benefits;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regulating certain premium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reviewing and approving certain policy forms and rates;</w:t>
      </w:r>
    </w:p>
    <w:p>
      <w:pPr>
        <w:spacing w:after="0" w:line="117"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regulating unfair trade and claims practices, including through the imposition of restrictions on marketing and sales practices, distribution arrangements and payment of inducements, and identifying and paying to the states benefits and other property that are not claimed by the owners;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regulating advertising and marketing of insurance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protecting privacy;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establishing statutory capital (including RBC) and reserve requirements and solvency standards;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specifying the conditions under which a ceding company can take credit for reinsurance in its statutory financial statements (i.e., reduce its reserves by the amount of reserves ceded to a reinsurer);</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fixing maximum interest rates on insurance policy loans and minimum rates for guaranteed crediting rates on life insurance policies and annuity contracts;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adopting and enforcing suitability standards with respect to the sale of annuities and other insurance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approving changes in control of insurance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restricting the payment of dividends and other transactions between affiliates;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regulating the types, amounts and valuation of investments.</w:t>
      </w:r>
    </w:p>
    <w:p>
      <w:pPr>
        <w:spacing w:after="0" w:line="11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required to file reports, generally including detailed annual financial statements, with insurance regulatory authorities in each of the jurisdictions in which we do business, and our operations and accounts are subject to periodic examination by such authorities. We must also file, and in many jurisdictions and in some lines of insurance obtain regulatory approval for, rules, rates and forms relating to the insurance written in the jurisdictions in which we operate.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2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State and federal insurance and securities regulatory authorities and other state law enforcement agencies and attorneys general from time to time may make inquiries regarding our compliance with insurance, securities and other laws and regulations regarding the conduct of our insurance and securities businesses. We cooperate with such inquiries and take corrective action when warranted. See Note 14 of the Notes to the Consolidated Financial Statements.</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Holding Company Regulation</w:t>
      </w:r>
    </w:p>
    <w:p>
      <w:pPr>
        <w:spacing w:after="0" w:line="117" w:lineRule="exact"/>
        <w:rPr>
          <w:sz w:val="20"/>
          <w:szCs w:val="20"/>
          <w:color w:val="auto"/>
        </w:rPr>
      </w:pPr>
    </w:p>
    <w:p>
      <w:pPr>
        <w:jc w:val="both"/>
        <w:ind w:left="180" w:firstLine="324"/>
        <w:spacing w:after="0" w:line="254" w:lineRule="auto"/>
        <w:rPr>
          <w:sz w:val="20"/>
          <w:szCs w:val="20"/>
          <w:color w:val="auto"/>
        </w:rPr>
      </w:pPr>
      <w:r>
        <w:rPr>
          <w:rFonts w:ascii="Arial" w:cs="Arial" w:eastAsia="Arial" w:hAnsi="Arial"/>
          <w:sz w:val="18"/>
          <w:szCs w:val="18"/>
          <w:color w:val="auto"/>
        </w:rPr>
        <w:t>Insurance holding company laws and regulations vary from jurisdiction to jurisdiction, but generally require a controlled insurance company (i.e., insurers that are subsidiaries of insurance holding companies) to register with state regulatory authorities and to file with those authorities certain reports, including information concerning its capital structure, ownership, financial condition, certain intercompany transactions and general business operations. The National Association of Insurance Commissioners (“NAIC”) adopted revisions to the NAIC Insurance Holding Company System Model Act (“Model Holding Company Act”) and the Insurance Holding Company System Model Regulation (“Model Holding Company Regulation”) in December 2010 and December 2014. Certain of the states, including Delaware, have adopted insurance holding company laws and regulations in a substantially similar manner to the model law and regulation. Other states, including New York, have adopted modified versions, although their supporting regulation is substantially similar to the model regulation.</w:t>
      </w:r>
    </w:p>
    <w:p>
      <w:pPr>
        <w:spacing w:after="0" w:line="84"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Insurance holding company regulations generally provide that no person, corporation or other entity may acquire control of an insurance company, or a controlling interest in any parent company of an insurance company, without the prior approval of such insurance company’s domiciliary state insurance regulator. Under the laws of both of Delaware and New York, any person acquiring, directly or indirectly, 10% or more of the voting securities of an insurance company is presumed to have acquired “control” of the company. This statutory presumption of control may be rebutted by a showing that control does not exist in fact. The state insurance regulators, however, may find that “control” exists in circumstances in which a person owns or controls less than 10% of voting securities.</w:t>
      </w:r>
    </w:p>
    <w:p>
      <w:pPr>
        <w:spacing w:after="0" w:line="85"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laws and regulations regarding acquisition of control transactions may discourage potential acquisition proposals and may delay, deter or prevent a change of control involving us, including through unsolicited transactions.</w:t>
      </w:r>
    </w:p>
    <w:p>
      <w:pPr>
        <w:spacing w:after="0" w:line="62"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insurance company laws and regulations include a requirement that the ultimate controlling person of a U.S. insurer file an annual enterprise risk report with the lead state of the insurance holding company system identifying risks likely to have a material adverse effect upon the financial condition or liquidity of the insurer or its insurance holding company system as a whole. To date, all of the states where Brighthouse has domestic insurers have enacted this enterprise risk reporting requirement.</w:t>
      </w:r>
    </w:p>
    <w:p>
      <w:pPr>
        <w:spacing w:after="0" w:line="79" w:lineRule="exact"/>
        <w:rPr>
          <w:sz w:val="20"/>
          <w:szCs w:val="20"/>
          <w:color w:val="auto"/>
        </w:rPr>
      </w:pPr>
    </w:p>
    <w:p>
      <w:pPr>
        <w:jc w:val="both"/>
        <w:ind w:left="180" w:firstLine="324"/>
        <w:spacing w:after="0" w:line="312" w:lineRule="auto"/>
        <w:rPr>
          <w:sz w:val="20"/>
          <w:szCs w:val="20"/>
          <w:color w:val="auto"/>
        </w:rPr>
      </w:pPr>
      <w:r>
        <w:rPr>
          <w:rFonts w:ascii="Arial" w:cs="Arial" w:eastAsia="Arial" w:hAnsi="Arial"/>
          <w:sz w:val="16"/>
          <w:szCs w:val="16"/>
          <w:color w:val="auto"/>
        </w:rPr>
        <w:t>State insurance statutes also typically place restrictions and limitations on the amount of dividends or other distributions payable by insurance subsidiaries to their parent companies, as well as on transactions between an insurer and its affiliates. Dividends in excess of prescribed limits and transactions above a specified size between an insurer and its affiliates require the approval of the insurance regulator in the insurer’s state of domicile.</w:t>
      </w:r>
    </w:p>
    <w:p>
      <w:pPr>
        <w:spacing w:after="0" w:line="39" w:lineRule="exact"/>
        <w:rPr>
          <w:sz w:val="20"/>
          <w:szCs w:val="20"/>
          <w:color w:val="auto"/>
        </w:rPr>
      </w:pPr>
    </w:p>
    <w:p>
      <w:pPr>
        <w:jc w:val="both"/>
        <w:ind w:left="180" w:firstLine="324"/>
        <w:spacing w:after="0" w:line="270" w:lineRule="auto"/>
        <w:rPr>
          <w:sz w:val="20"/>
          <w:szCs w:val="20"/>
          <w:color w:val="auto"/>
        </w:rPr>
      </w:pPr>
      <w:r>
        <w:rPr>
          <w:rFonts w:ascii="Arial" w:cs="Arial" w:eastAsia="Arial" w:hAnsi="Arial"/>
          <w:sz w:val="17"/>
          <w:szCs w:val="17"/>
          <w:color w:val="auto"/>
        </w:rPr>
        <w:t>Under the Delaware Insurance Code, Brighthouse Life Insurance Company is permitted, without prior insurance regulatory clearance, to pay a stockholder dividend as long as the amount of the dividend when aggregated with all other dividends in the preceding 12 months does not exceed the greater of: (i) 10% of its surplus to policyholders as of the end of the immediately preceding calendar year; or (ii) its net statutory gain from operations for the immediately preceding calendar year (excluding realized capital gains), not including pro rata distributions of Brighthouse Life Insurance Company’s own securities. Brighthouse Life Insurance Company will be permitted to pay a stockholder dividend in excess of the greater of such two amounts only if it files notice of the declaration of such a dividend and the amount thereof with the Delaware Commissioner and the Delaware Commissioner either approves the distribution of the dividend or does not disapprove the distribution within 30 days of its filing. In addition, any dividend that exceeds earned surplus (defined as “unassigned funds (surplus)”) as of the immediately preceding calendar year requires insurance regulatory approval. Under the Delaware Insurance Code, the Delaware Commissioner has broad discretion in determining whether the financial condition of a stock life insurance company would support the payment of such dividends to its stockholders.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2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left="180" w:firstLine="324"/>
        <w:spacing w:after="0" w:line="268" w:lineRule="auto"/>
        <w:rPr>
          <w:sz w:val="20"/>
          <w:szCs w:val="20"/>
          <w:color w:val="auto"/>
        </w:rPr>
      </w:pPr>
      <w:r>
        <w:rPr>
          <w:rFonts w:ascii="Arial" w:cs="Arial" w:eastAsia="Arial" w:hAnsi="Arial"/>
          <w:sz w:val="17"/>
          <w:szCs w:val="17"/>
          <w:color w:val="auto"/>
        </w:rPr>
        <w:t>Effective for dividends paid during 2016 and going forward, the New York Insurance Law was amended permitting BHNY, without prior insurance regulatory clearance, to pay stockholder dividends to its parent in any calendar year based on either of two standards. Under one standard, BHNY is permitted, without prior insurance regulatory clearance, to pay dividends out of earned surplus (defined as positive “unassigned funds (surplus)”), excluding 85% of the change in net unrealized capital gains or losses (less capital gains tax), for the immediately preceding calendar year), in an amount up to the greater of: (i) 10% of its surplus to policyholders as of the end of the immediately preceding calendar year, or (ii) its statutory net gain from operations for the immediately preceding calendar year (excluding realized capital gains), not to exceed 30% of surplus to policyholders as of the end of the immediately preceding calendar year. In addition, under this standard, BHNY may not, without prior insurance regulatory clearance, pay any dividends in any calendar year immediately following a calendar year for which its net gain from operations, excluding realized capital gains, was negative. Under the second standard, if dividends are paid out of other than earned surplus, BHNY may, without prior insurance regulatory clearance, pay an amount up to the lesser of: (i) 10% of its surplus to policyholders as of the end of the immediately preceding calendar year, or (ii) its statutory net gain from operations for the immediately preceding calendar year (excluding realized capital gains). In addition, BHNY will be permitted to pay a dividend to its parent in excess of the amounts allowed under both standards only if it files notice of its intention to declare such a dividend and the amount thereof with the New York Superintendent of Financial Services (the “Superintendent”) and the Superintendent either approves the distribution of the dividend or does not disapprove the dividend within 30 days of its filing. Under New York Insurance Law, the Superintendent has broad discretion in determining whether the financial condition of a stock life insurance company would support the payment of such dividends to its stockholders. Dividends are not anticipated to be paid by BHNY in 2018.</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Under BRCD’s plan of operations, no dividend or distribution may be made by BRCD without the prior approval of the Delaware Commissioner.</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During the year ended December 31, 2017, BRCD paid an extraordinary cash dividend of $535 million to Brighthouse Life Insurance Company.</w:t>
      </w:r>
    </w:p>
    <w:p>
      <w:pPr>
        <w:spacing w:after="0" w:line="114"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See “Market for Registrant’s Common Equity, Related Stockholder Matters and Issuer Purchases of Equity Securities.” See also “Dividend Restrictions” in Note 11 of the Notes to the Consolidated Financial Statements for further information regarding such limitations.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Own Risk and Solvency Assessment Model Act</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In September 2012, the NAIC adopted the Risk Management and Own Risk and Solvency Assessment Model Act (“ORSA”), which has been enacted by our insurance subsidiaries’ domiciliary states. ORSA requires that insurers maintain a risk management framework and conduct an internal own risk and solvency assessment of the insurer’s material risks in normal and stressed environments. The assessment must be documented in a confidential annual summary report, a copy of which must be made available to regulators as required or upon request. To date, all of the states where Brighthouse has domestic insurers have enacted ORSA.</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Federal Initiatives</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Although the insurance business in the United States is primarily regulated by the states, federal initiatives often have an impact on our business in a variety of ways. From time to time, federal measures are proposed which may significantly and adversely affect the insurance business. These areas include financial services regulation, securities regulation, derivatives regulation, pension regulation, privacy, tort reform legislation and taxation. In addition, various forms of direct and indirect federal regulation of insurance have been proposed from time to time, including proposals for the establishment of an optional federal charter for insurance companies. See “Risk Factors — Regulatory and Legal Risks — Our business is highly regulated, and changes in regulation and in supervisory and enforcement policies may materially impact our capitalization or cash flows, reduce our profitability and limit our growth.”</w:t>
      </w:r>
    </w:p>
    <w:p>
      <w:pPr>
        <w:spacing w:after="0" w:line="81"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Dodd-Frank Wall Street Reform and Consumer Protection Act (“Dodd-Frank”) effected the most far-reaching overhaul of financial regulation in the U.S. in decades. The full impact of Dodd-Frank on us will depend on numerous rulemaking initiatives required or permitted by Dodd-Frank and the various studies mandated by Dodd-Frank, a number of which remain to be completed.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2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left="180" w:firstLine="324"/>
        <w:spacing w:after="0" w:line="270" w:lineRule="auto"/>
        <w:rPr>
          <w:sz w:val="20"/>
          <w:szCs w:val="20"/>
          <w:color w:val="auto"/>
        </w:rPr>
      </w:pPr>
      <w:r>
        <w:rPr>
          <w:rFonts w:ascii="Arial" w:cs="Arial" w:eastAsia="Arial" w:hAnsi="Arial"/>
          <w:sz w:val="17"/>
          <w:szCs w:val="17"/>
          <w:color w:val="auto"/>
        </w:rPr>
        <w:t>Dodd-Frank established the Federal Insurance Office (“FIO”) within the Department of the Treasury, which has the authority to participate in the negotiations of international insurance agreements with foreign regulators for the United States, as well as to collect information about the insurance industry, negotiate covered agreements with one or more foreign governments and recommend prudential standards. While not having a general supervisory or regulatory authority over the business of insurance, the director of this office performs various functions with respect to insurance, including serving as a non-voting member of the Financial Stability Oversight Council (“FSOC”) and making recommendations to the FSOC regarding insurers to be designated for more stringent regulation. On December 12, 2013, the FIO issued a report, mandated by Dodd-Frank, which, among other things, urged the states to modernize and promote greater uniformity in insurance regulation. However, the report also discussed potential federal solutions if states fail to modernize and improve regulation and some of the report’s recommendations, for instance, favored a greater federal role in monitoring financial stability and identifying issues or gaps in the regulation of large national and internationally active insurers.</w:t>
      </w:r>
    </w:p>
    <w:p>
      <w:pPr>
        <w:spacing w:after="0" w:line="74" w:lineRule="exact"/>
        <w:rPr>
          <w:sz w:val="20"/>
          <w:szCs w:val="20"/>
          <w:color w:val="auto"/>
        </w:rPr>
      </w:pPr>
    </w:p>
    <w:p>
      <w:pPr>
        <w:jc w:val="both"/>
        <w:ind w:left="180" w:firstLine="324"/>
        <w:spacing w:after="0" w:line="269" w:lineRule="auto"/>
        <w:rPr>
          <w:sz w:val="20"/>
          <w:szCs w:val="20"/>
          <w:color w:val="auto"/>
        </w:rPr>
      </w:pPr>
      <w:r>
        <w:rPr>
          <w:rFonts w:ascii="Arial" w:cs="Arial" w:eastAsia="Arial" w:hAnsi="Arial"/>
          <w:sz w:val="17"/>
          <w:szCs w:val="17"/>
          <w:color w:val="auto"/>
        </w:rPr>
        <w:t>Under the provisions of Dodd-Frank relating to the resolution or liquidation of certain types of financial institutions, if Brighthouse or another financial institution were to become insolvent or were in danger of defaulting on its obligations, it could be compelled to undergo liquidation with the Federal Deposit Insurance Corporation (“FDIC”) as receiver. For this new regime to be applicable, a number of determinations would have to be made, including that a default by the affected company would have serious adverse effects on financial stability in the U.S. Under this new regime an insurance company such as Brighthouse Life Insurance Company, BHNY or NELICO would be resolved in accordance with state insurance law. If the FDIC were to be appointed as the receiver for another type of company (including an insurance holding company such as Brighthouse Financial, Inc.), the liquidation of that company would occur under the provisions of the new liquidation authority, and not under the Bankruptcy Code, which ordinarily governs liquidations. The FDIC’s purpose under the liquidation regime is to mitigate the systemic risks the institution’s failure poses, which is different from that of a bankruptcy trustee under the Bankruptcy Code. In an FDIC-managed liquidation, the holders of such company’s debt could in certain respects be treated differently than under the Bankruptcy Code. As required by Dodd-Frank, the FDIC has established rules relating to the priority of creditors’ claims and the potentially dissimilar treatment of similarly situated creditors. These provisions could apply to some financial institutions whose outstanding debt securities we hold in our investment portfolios.</w:t>
      </w:r>
    </w:p>
    <w:p>
      <w:pPr>
        <w:spacing w:after="0" w:line="72" w:lineRule="exact"/>
        <w:rPr>
          <w:sz w:val="20"/>
          <w:szCs w:val="20"/>
          <w:color w:val="auto"/>
        </w:rPr>
      </w:pPr>
    </w:p>
    <w:p>
      <w:pPr>
        <w:jc w:val="both"/>
        <w:ind w:left="180" w:firstLine="324"/>
        <w:spacing w:after="0" w:line="254" w:lineRule="auto"/>
        <w:rPr>
          <w:sz w:val="20"/>
          <w:szCs w:val="20"/>
          <w:color w:val="auto"/>
        </w:rPr>
      </w:pPr>
      <w:r>
        <w:rPr>
          <w:rFonts w:ascii="Arial" w:cs="Arial" w:eastAsia="Arial" w:hAnsi="Arial"/>
          <w:sz w:val="18"/>
          <w:szCs w:val="18"/>
          <w:color w:val="auto"/>
        </w:rPr>
        <w:t>The Trump administration has released a memorandum that generally delayed all pending regulations from publication in the Federal Register pending their review and approval by a department or agency head appointed or designated by President Trump. President Trump has also issued an executive order that calls for a comprehensive review of Dodd-Frank and requires the Secretary of the Treasury to consult with the heads of the member agencies of FSOC to identify any laws, regulations or requirements that inhibit federal regulation of the financial system in a manner consistent with the core principles identified in the executive order. On June 8, 2017, the U.S. House of Representatives passed the Financial CHOICE Act of 2017, which proposes to amend or repeal various sections of Dodd-Frank. This proposed legislation will now be considered by the U.S. Senate. We cannot predict what other proposals may be made or what legislation may be introduced or enacted, or what impact any such legislation may have on our business, results of operations and financial condition.</w:t>
      </w:r>
    </w:p>
    <w:p>
      <w:pPr>
        <w:spacing w:after="0" w:line="84" w:lineRule="exact"/>
        <w:rPr>
          <w:sz w:val="20"/>
          <w:szCs w:val="20"/>
          <w:color w:val="auto"/>
        </w:rPr>
      </w:pPr>
    </w:p>
    <w:p>
      <w:pPr>
        <w:jc w:val="both"/>
        <w:ind w:left="180" w:firstLine="324"/>
        <w:spacing w:after="0" w:line="289" w:lineRule="auto"/>
        <w:rPr>
          <w:sz w:val="20"/>
          <w:szCs w:val="20"/>
          <w:color w:val="auto"/>
        </w:rPr>
      </w:pPr>
      <w:r>
        <w:rPr>
          <w:rFonts w:ascii="Arial" w:cs="Arial" w:eastAsia="Arial" w:hAnsi="Arial"/>
          <w:sz w:val="16"/>
          <w:szCs w:val="16"/>
          <w:color w:val="auto"/>
        </w:rPr>
        <w:t>On September 22, 2017, the U.S. Department of the Treasury and the Office of the U.S. Trade Representative entered into a bilateral covered agreement on insurance and reinsurance with the European Union (the “Covered Agreement”), which addresses, among other things, reinsurance collateral requirements and insurance group supervision. In connection with the announcement of its signature, the U.S. Department of the Treasury and the Office of the U.S. Trade Representative released a “Statement of the United States on the Covered Agreement with the European Union” (the “Policy Statement”). To comply with the terms of the Covered Agreement, the Policy Statement encourages each U.S. state to adopt applicable credit for reinsurance laws and regulations and to phase out the amount of collateral required for full credit for reinsurance cessions to European Union reinsurers. It also states that the U.S. expects that the group capital calculation under development by the NAIC will satisfy the Covered Agreement’s group capital assessment requirement. The Covered Agreement is to be fully applicable to the U.S. and the European Union 60 months after signature. However, some parts of the agreement are subject to further procedural requirements, and so full implementation of the Covered Agreement may occur, if at all, only after a significant period of time.</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Guaranty Associations and Similar Arrangements</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Most of the jurisdictions in which we are admitted to transact business require life insurers doing business within the jurisdiction to participate in guaranty associations, which are organized to pay contractual benefits owed pursuant to insurance policies issued by impaired, insolvent or failed insurers, or those that may become impaired, insolvent or fail, for example, following the occurrence of one or more catastrophic events. These associations levy assessments, up to prescribed limits, on all member insurers in a particular state on the basis of the proportionate share of the premiums written by member insurers in the lines of business in which the impaired, insolvent or failed insurer is engaged. Some states permit member insurers to recover assessments paid through full or partial premium tax offsets.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2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In December of 2017, the NAIC approved revisions to its Life and Health Insurance Guaranty Association Model Act governing assessments for long-term care insurance. The revisions include a 50/50 split between life and health carriers for future long term care insolvencies, the inclusion of HMOs in the assessment base, and no change to the premium tax offset. Several states are now considering legislation to codify these changes into law, and more states are expected to propose legislation in their 2018 legislative sessions.</w:t>
      </w:r>
    </w:p>
    <w:p>
      <w:pPr>
        <w:spacing w:after="0" w:line="79"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In the past five years, the aggregate assessments levied against us have not been material. We have established liabilities for guaranty fund assessments that we consider adequate. See “Risk Factors — Regulatory and Legal Risks — State insurance guaranty associations” and Note 14 of the Notes to the Consolidated Financial Statements for additional information on the guaranty association assessments.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Insurance Regulatory Examinations and Other Activities</w:t>
      </w:r>
    </w:p>
    <w:p>
      <w:pPr>
        <w:spacing w:after="0" w:line="117"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As part of their regulatory oversight process, state insurance departments conduct periodic detailed examinations of the books, records, accounts, and business practices of insurers domiciled in their states. State insurance departments also have the authority to conduct examinations of non-domiciliary insurers that are licensed in their states. During the years ended December 31, 2017, 2016 and 2015, the Company did not receive any material adverse findings resulting from state insurance department examinations of it or any of its insurance subsidiaries.</w:t>
      </w:r>
    </w:p>
    <w:p>
      <w:pPr>
        <w:spacing w:after="0" w:line="63"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Regulatory authorities in a small number of states, the Financial Industry Regulatory Authority, Inc. (“FINRA”) and, occasionally, the SEC, have had investigations or inquiries relating to sales of individual life insurance policies, annuities or other products by us or our affiliates. These investigations have focused on the conduct of particular financial services representatives, the sale of unregistered or unsuitable products, the misuse of client assets, and sales and replacements of annuities and certain riders on such annuities. Over the past several years, these and a number of investigations by other regulatory authorities were resolved for monetary payments and certain other relief, including restitution payments. We may continue to receive, and may resolve, further investigations and actions on these matters in a similar manner.</w:t>
      </w:r>
    </w:p>
    <w:p>
      <w:pPr>
        <w:spacing w:after="0" w:line="70" w:lineRule="exact"/>
        <w:rPr>
          <w:sz w:val="20"/>
          <w:szCs w:val="20"/>
          <w:color w:val="auto"/>
        </w:rPr>
      </w:pPr>
    </w:p>
    <w:p>
      <w:pPr>
        <w:jc w:val="both"/>
        <w:ind w:left="180" w:right="20" w:firstLine="324"/>
        <w:spacing w:after="0" w:line="308" w:lineRule="auto"/>
        <w:rPr>
          <w:sz w:val="20"/>
          <w:szCs w:val="20"/>
          <w:color w:val="auto"/>
        </w:rPr>
      </w:pPr>
      <w:r>
        <w:rPr>
          <w:rFonts w:ascii="Arial" w:cs="Arial" w:eastAsia="Arial" w:hAnsi="Arial"/>
          <w:sz w:val="17"/>
          <w:szCs w:val="17"/>
          <w:color w:val="auto"/>
        </w:rPr>
        <w:t>In addition, claims payment practices by insurance companies have received increased scrutiny from regulators. See Note 14 of the Notes to the Consolidated Financial Statements for further information regarding unclaimed property inquiries and related litigation and sales practices claims.</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Policy and Contract Reserve Adequacy Analysis</w:t>
      </w:r>
    </w:p>
    <w:p>
      <w:pPr>
        <w:spacing w:after="0" w:line="117" w:lineRule="exact"/>
        <w:rPr>
          <w:sz w:val="20"/>
          <w:szCs w:val="20"/>
          <w:color w:val="auto"/>
        </w:rPr>
      </w:pPr>
    </w:p>
    <w:p>
      <w:pPr>
        <w:jc w:val="both"/>
        <w:ind w:left="180" w:firstLine="324"/>
        <w:spacing w:after="0" w:line="291" w:lineRule="auto"/>
        <w:rPr>
          <w:sz w:val="20"/>
          <w:szCs w:val="20"/>
          <w:color w:val="auto"/>
        </w:rPr>
      </w:pPr>
      <w:r>
        <w:rPr>
          <w:rFonts w:ascii="Arial" w:cs="Arial" w:eastAsia="Arial" w:hAnsi="Arial"/>
          <w:sz w:val="16"/>
          <w:szCs w:val="16"/>
          <w:color w:val="auto"/>
        </w:rPr>
        <w:t>Annually, our insurance subsidiaries, including BRCD, are required to conduct an analysis of the adequacy of all statutory reserves. In each case, a qualified actuary must submit an opinion which states that the statutory reserves make adequate provision, according to accepted actuarial standards of practice, for the anticipated cash flows required by the contractual obligations and related expenses of the insurance subsidiaries. The adequacy of the statutory reserves is considered in light of the assets held by the insurer with respect to such reserves and related actuarial items including, but not limited to, the investment earnings on such assets, and the consideration anticipated to be received and retained under the related policies and contracts. An insurance company may increase reserves in order to submit an opinion without qualification. Since the inception of this requirement, our insurance subsidiaries, which are required by their states of domicile to provide these opinions, have provided such opinions without qualifications.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2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NAIC</w:t>
      </w:r>
    </w:p>
    <w:p>
      <w:pPr>
        <w:spacing w:after="0" w:line="117"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The NAIC is an organization whose mission is to assist state insurance regulatory authorities in serving the public interest and achieving the insurance regulatory goals of its members, the state insurance regulatory officials. Through the NAIC, state insurance regulators establish standards and best practices, conduct peer reviews, and coordinate their regulatory oversight. The NAIC provides standardized insurance industry accounting and reporting guidance through its Accounting Practices and Procedures Manual (the “Manual”), which states have largely adopted by regulation. However, statutory accounting principles continue to be established by individual state laws, regulations and permitted practices, which may differ from the Manual. Changes to the Manual or modifications by the various state insurance departments may impact our statutory capital and surplus.</w:t>
      </w:r>
    </w:p>
    <w:p>
      <w:pPr>
        <w:spacing w:after="0" w:line="70" w:lineRule="exact"/>
        <w:rPr>
          <w:sz w:val="20"/>
          <w:szCs w:val="20"/>
          <w:color w:val="auto"/>
        </w:rPr>
      </w:pPr>
    </w:p>
    <w:p>
      <w:pPr>
        <w:jc w:val="both"/>
        <w:ind w:left="180" w:firstLine="324"/>
        <w:spacing w:after="0" w:line="267" w:lineRule="auto"/>
        <w:rPr>
          <w:sz w:val="20"/>
          <w:szCs w:val="20"/>
          <w:color w:val="auto"/>
        </w:rPr>
      </w:pPr>
      <w:r>
        <w:rPr>
          <w:rFonts w:ascii="Arial" w:cs="Arial" w:eastAsia="Arial" w:hAnsi="Arial"/>
          <w:sz w:val="17"/>
          <w:szCs w:val="17"/>
          <w:color w:val="auto"/>
        </w:rPr>
        <w:t>In 2015, the NAIC commissioned an initiative to identify changes to the statutory framework for variable annuities that can remove or mitigate the motivation for insurers to engage in captive reinsurance transactions. In September 2015, a third-party consultant engaged by the NAIC provided the NAIC with a preliminary report covering several sets of recommendations regarding Actuarial Guideline 43 (“AG 43”) and RBC C3 Phase II reserve requirements. These recommendations generally focus on (i) mitigating the asset-liability accounting mismatch between hedge instruments and statutory instruments and statutory liabilities, (ii) removing the non-economic volatility in statutory capital charges and the resulting solvency ratios and (iii) facilitating greater harmonization across insurers and products for greater comparability. An updated variable annuity reserve and capital framework proposal was presented at the August 2016 NAIC meeting, followed by a 90-day comment period on the proposal. This updated proposal included the initial recommendations from 2015, but also some new aspects. The standard scenario floor for reserves may incorporate multiple paths. The stochastic calculations may include alternative calibration criteria for equities and other market risk factors, and the RBC C3 Phase II component may reflect a new level of capitalization. The NAIC is continuing its consideration of these recommendations. These recommendations, if adopted, would likely apply to all existing business and may materially change the sensitivity of reserve and capital requirements to capital markets including interest rate, equity markets and volatility, as well as prescribed assumptions for policyholder behavior. It is not possible at this time to predict whether the amount of reserves or capital required to support our variable annuity contracts would increase or decrease if the NAIC adopts any new model laws, regulations and/or other standards applicable to variable annuity business after considering such recommendations, nor is it possible to predict the materiality of any such increase or decrease. It is also not possible to predict the extent to which any such model laws, regulations and/or other standards would affect the effectiveness and design of our risk mitigation and hedging programs. Furthermore, no assurances can be given to whether any such model laws, regulations and/or other standards will be adopted or to the timing of any such adoption.</w:t>
      </w:r>
    </w:p>
    <w:p>
      <w:pPr>
        <w:spacing w:after="0" w:line="85"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The NAIC has adopted a new approach for the calculation of life insurance reserves, known as principle-based reserving (“PBR”). PBR became operative on January 1, 2017 in those states where it has been adopted, to be followed by a three-year phase-in period for business issued on or after this date. The Delaware Department of Insurance implemented PBR on January 1, 2017, and the New York State Department of Financial Services (“NYDFS”) has publicly stated its intention to implement this approach subject to a working group of the NYDFS establishing the necessary reserves safeguards and the adoption of enabling legislation by the New York legislature.</w:t>
      </w:r>
    </w:p>
    <w:p>
      <w:pPr>
        <w:spacing w:after="0" w:line="80"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The NAIC, as well as certain state regulators are currently considering implementing regulations that would apply an impartial conduct standard similar to the Fiduciary Rule to recommendations made in connection with certain annuities and, in the case of New York, life insurance policies. In particular, on December 27, 2017, the NYDFS proposed regulations that would adopt a “best interest” standard for the sale of life insurance and annuity products in New York. The likelihood of enactment of these regulations is uncertain at this time, but if implemented, these regulations could have significant adverse effects on our business and consolidated results of operations.</w:t>
      </w:r>
    </w:p>
    <w:p>
      <w:pPr>
        <w:spacing w:after="0" w:line="80"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NAIC is considering revisions to RBC factors for bonds, real estate, common stock and collateral pledged to support Federal Home Loan Bank (“FHLB”) advances, as well as developing RBC charges for operational and longevity risk. We cannot predict the impact of any potential proposals that may result from these studies.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cannot predict the capital and reserve impacts or compliance costs, if any, that may result from the above initiatives.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Surplus and Capital; Risk-Based Capital</w:t>
      </w:r>
    </w:p>
    <w:p>
      <w:pPr>
        <w:spacing w:after="0" w:line="117"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The NAIC has established regulations that provide minimum capitalization requirements based on RBC formulas for insurance companies. Insurers are required to maintain their capital and surplus at or above minimum levels. Regulators have discretionary authority, in connection with the continued licensing of an insurer, to limit or prohibit the insurer’s sales to policyholders if, in their judgment, the regulators determine that such insurer has not maintained the minimum surplus or capital or that the further transaction of business will be hazardous to policyholders. We are subject to RBC requirements and other minimum statutory capital and surplus requirements imposed under Delaware insurance law and BHNY is subject to similar requirements imposed under New York insurance law. RBC is based on a formula calculated by applying factors to</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2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left="180"/>
        <w:spacing w:after="0" w:line="271" w:lineRule="auto"/>
        <w:rPr>
          <w:sz w:val="20"/>
          <w:szCs w:val="20"/>
          <w:color w:val="auto"/>
        </w:rPr>
      </w:pPr>
      <w:r>
        <w:rPr>
          <w:rFonts w:ascii="Arial" w:cs="Arial" w:eastAsia="Arial" w:hAnsi="Arial"/>
          <w:sz w:val="17"/>
          <w:szCs w:val="17"/>
          <w:color w:val="auto"/>
        </w:rPr>
        <w:t>various asset, premium, claim, expense and statutory reserve items. The formula takes into account the risk characteristics of the insurer and is calculated on an annual basis. The major categories of risk involved are asset risk, insurance risk, interest rate risk, market risk and business risk, including equity, interest rate and expense recovery risks associated with variable annuities that contain guaranteed minimum death and living benefits. The formula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total adjusted capital does not meet or exceed certain RBC levels. As of the date of our most recent annual statutory financial statements filed with insurance regulators, the total adjusted capital of each of our insurance subsidiaries was in excess of each of those RBC levels. See “Statutory Equity and Income” in Note 11 of the Notes to the Consolidated Financial Statements.</w:t>
      </w:r>
    </w:p>
    <w:p>
      <w:pPr>
        <w:spacing w:after="0" w:line="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Regulation of Investments</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We are subject to state laws and regulations that require diversification of investment portfolios and limit the amount of investments that we may have in certain asset categories, such as below investment grade fixed income securities, real estate equity, other equity investments, and derivatives. Failure to comply with these laws and regulations would cause investments exceeding regulatory limitations to be treated as non-admitted assets for purposes of measuring surplus and, in some instances, would require divestiture of such non-qualifying investments. We believe that our investments complied, in all material respects, with such regulations at December 31, 2017.</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Cybersecurity Regulation</w:t>
      </w:r>
    </w:p>
    <w:p>
      <w:pPr>
        <w:spacing w:after="0" w:line="117" w:lineRule="exact"/>
        <w:rPr>
          <w:sz w:val="20"/>
          <w:szCs w:val="20"/>
          <w:color w:val="auto"/>
        </w:rPr>
      </w:pPr>
    </w:p>
    <w:p>
      <w:pPr>
        <w:jc w:val="both"/>
        <w:ind w:left="180" w:firstLine="324"/>
        <w:spacing w:after="0" w:line="268" w:lineRule="auto"/>
        <w:rPr>
          <w:sz w:val="20"/>
          <w:szCs w:val="20"/>
          <w:color w:val="auto"/>
        </w:rPr>
      </w:pPr>
      <w:r>
        <w:rPr>
          <w:rFonts w:ascii="Arial" w:cs="Arial" w:eastAsia="Arial" w:hAnsi="Arial"/>
          <w:sz w:val="17"/>
          <w:szCs w:val="17"/>
          <w:color w:val="auto"/>
        </w:rPr>
        <w:t>On February 16, 2017, the NYDFS announced the adoption of a new cybersecurity regulation for financial services institutions, including banking and insurance entities, under its jurisdiction. The new regulation became effective on March 1, 2017 and will be implemented in stages commencing 180 days later. Among other things, this new regulation requires these entities to establish and maintain a cybersecurity program designed to protect the consumers’ private data. The new regulation specifically provides for: (i) implementation and maintenance of, and a governance framework for overseeing, the cybersecurity program and a cybersecurity policy based on a risk assessment to be periodically conducted; (ii) development of access controls and other technology standards for data protection, and the monitoring and testing of the cybersecurity program, in accordance with the entity’s risk assessment; (iii) implementation of policies and procedures designed to ensure the security of private data accessible to or held by third-party service providers; (iv) minimum standards for cyber breach responses, including an incident response plan, preservation of data to respond to such breaches, and notice to NYDFS of material events; and (v) annual certifications of regulatory compliance to the NYDFS. In addition to New York’s cybersecurity regulation, the NAIC adopted the Insurance Data Security Model Law in October 2017. Under the model law, companies that are compliant with the NYDFS cybersecurity regulation are deemed also to be in compliance with the model law. The purpose of the model law is to establish standards for data security and for the investigation and notification of insurance commissioners of cybersecurity events involving unauthorized access to, or the misuse of, certain nonpublic information.</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NYDFS Insurance Regulation 210</w:t>
      </w:r>
    </w:p>
    <w:p>
      <w:pPr>
        <w:spacing w:after="0" w:line="117"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On March 19, 2018, NYDFS Insurance Regulation 210: Life Insurance and Annuity Non-Guaranteed Elements, will take effect. The regulation establishes standards for the determination and readjustment of non-guaranteed elements (“NGEs”) that may vary at the insurer’s discretion for life insurance policies and annuity contracts delivered or issued in New York. In addition, the regulation establishes guidelines for related disclosure to NYDFS and policy owners. The regulation applies to all individual life insurance policies, individual annuity contracts and certain group life insurance and group annuity certificates. NGEs include such policy elements as expense rates and interest crediting rates.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Department of Labor and ERISA Considerations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manufacture annuities for third parties to sell to tax-qualified pension plans, retirement plans and IRAs, as well as individual retirement annuities sold to individuals that are subject to ERISA or the Internal Revenue Code of 1986, as amended (the “Code”). Also, a portion of our in-force life insurance products are held by tax-qualified pension and retirement plans. While we currently believe manufacturers do not have as much exposure to ERISA and the Code as distributors, certain activities are subject to the restrictions imposed by ERISA and the Code, including the requirement under ERISA that fiduciaries of a Plan subject to Title I of ERISA (an “ERISA Plan”) must perform their duties solely in the interests of the ERISA Plan participants and beneficiaries, and those fiduciaries may not cause a covered plan to engage in certain prohibited transactions. The applicable provisions of ERISA and the Code are subject to enforcement by the DOL, the Internal Revenue Service (“IRS”) and the Pension Benefit Guaranty Corporation (“PBGC”).</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2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the prohibited transaction rules of ERISA and the Code generally restrict the provision of investment advice to ERISA qualified plans, plan participants and IRAs if the investment recommendation results in fees paid to an individual advisor, the firm that employs the advisor or their affiliates that vary according to the investment recommendation chosen.</w:t>
      </w:r>
    </w:p>
    <w:p>
      <w:pPr>
        <w:spacing w:after="0" w:line="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DOL issued new regulations on April 6, 2016 that became applicable on June 9, 2017 (the “Fiduciary Rule”). As initially adopted, these rules substantially expand the definition of “investment advice,” thereby broadening the circumstances under which distributors and manufacturers can be considered fiduciaries under ERISA or the Code and subject to an impartial or “best interests” standard in providing such advice. Pursuant to the final rule, certain communications with plans, plan participants and IRA holders, including the marketing of products, and marketing of investment management or advisory services, could be deemed fiduciary investment advice, thus, causing increased exposure to fiduciary liability if the distributor does not recommend what is in the client’s best interests.</w:t>
      </w:r>
    </w:p>
    <w:p>
      <w:pPr>
        <w:spacing w:after="0" w:line="8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connection with the promulgation of the Fiduciary Rule, the DOL also issued amendments to certain of its prohibited transaction exemptions, and issued the Best Interest Contract Exemption (“BIC”), a new prohibited transaction exemption that imposes more significant disclosure and contract requirements to certain transactions involving ERISA plans, plan participants and IRAs. The new and amended exemptions increase fiduciary requirements and fiduciary liability exposure for transactions involving ERISA plans, plan participants and IRAs. The application of the BIC contract and point of sale disclosures required under BIC and the changes made to prohibited transaction exemption 84-24 were delayed until July 1, 2019, except for the impartial conduct standards (i.e., compliance with the “best interest” standard, reasonable compensation, and no misleading statements), which are applicable as of June 9, 2017. Contracts entered into prior to June 9, 2017 are generally “grandfathered” and, as such, are not subject to the requirements of the rule and related exemptions. To retain “grandfathered” status for annuity products, no investment recommendations may be made after the applicability date of the final regulation with respect to such annuity products that were sold to ERISA plans or IRAs.</w:t>
      </w:r>
    </w:p>
    <w:p>
      <w:pPr>
        <w:spacing w:after="0" w:line="7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MetLife sold MPCG, its former Retail segment’s proprietary distribution channel, in July 2016 to MassMutual to complete a transition to an independent third-party distribution model. We will not be engaging in direct distribution of retail products, including IRA products and retail annuities sold into ERISA plans and IRAs, and therefore we anticipate that we will have limited exposure to the new DOL regulations, as the application of the vast majority of the provisions of the new DOL regulations are targeted at such retail products. Specifically, the most onerous of the requirements under the DOL Fiduciary Rule, as currently adopted, relate to BIC. The DOL guidance makes clear that distributors, not manufacturers, are primarily responsible for BIC compliance. However, we will be asked by our distributors, to assist them with preparing the voluminous disclosures required under BIC. Furthermore, if we want to retain the “grandfathered” status described above of current contracts, we will be limited in the interactions we can have directly with customers and the information that can be provided. We also anticipate that we will need to undertake certain additional tasks in order to comply with certain of the exemptions provided in the DOL regulations, including additional compliance reviews of material shared with distributors, wholesaler and call center training and product reporting and analysis. See “Risk Factors — Regulatory and Legal Risks — Our business is highly regulated, and changes in regulation and in supervisory and enforcement policies may materially impact our capitalization or cash flows, reduce our profitability and limit our growth.”</w:t>
      </w:r>
    </w:p>
    <w:p>
      <w:pPr>
        <w:spacing w:after="0" w:line="6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February 3, 2017, President Trump, in a memorandum to the Secretary of Labor, requested that the DOL prepare an updated economic and legal analysis concerning the likely impact of the new rules, and possible revisions to the rules. In response to President Trump’s request, on June 29, 2017, the DOL issued a request for information related to the Fiduciary Rule and also the DOL’s new and amended exemptions that were published in conjunction with the final rule. The request for information sought public input that could lead to new exemptions or changes and revisions to the final rule. On November 29, 2017, the DOL finalized an 18 month delay, from January 1, 2018 to July 1, 2019, of the applicability of significant portions of the previously proposed exemptions (including BIC and prohibited transaction exemption 84-24), to afford sufficient time to review further the previously adopted rules and such exemptions. The DOL also updated its enforcement policy to indicate that the DOL and IRS will not pursue claims, until July 1, 2019, against fiduciaries who are working diligently and in good faith to comply with the final Fiduciary Rule or treat those fiduciaries as being in violation of the final rule.</w:t>
      </w:r>
    </w:p>
    <w:p>
      <w:pPr>
        <w:spacing w:after="0" w:line="5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March 15, 2018, the U.S. Court of Appeals for the Fifth Circuit issued a decision vacating the Fiduciary Rule, overturning a lower court ruling that rejected a challenge to the rule. The Court of Appeals decision, if allowed to stand, would nullify the Fiduciary Rule in its entirety. As of the filing date of this Annual Report on Form 10-K, another case challenging the Fiduciary Rule was pending before the U.S. Court of Appeals for the District of Columbia Circuit.</w:t>
      </w:r>
    </w:p>
    <w:p>
      <w:pPr>
        <w:spacing w:after="0" w:line="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we continue to analyze the impact of the final regulations on our business and work diligently to comply with the final rule, subject to its continued applicability, we anticipate that we will need to undertake certain additional tasks in order to comply with certain of the exemptions provided in the DOL regulations, including additional compliance reviews of material shared with distributors, wholesaler and call center training and product reporting and analysis.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2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change of administration, the DOL’s June 29, 2017 request for information related to the Fiduciary Rule and related exemptions, the November 29, 2017 extension of the applicability of many of the conditions of the proposed and revised exemptions, and the March 15, 2018 Court of Appeals Decision leave uncertainty over whether the regulations will be substantially modified, repealed or vacated. This uncertainty could create confusion among our distribution partners, which could negatively impact product sales. We cannot predict what other proposals may be made, what legislation or regulations may be introduced or enacted, or what impact any such legislation or regulations may have on our business, results of operations and financial condition. See also “— NAIC” for a discussion of efforts by the NAIC and state regulators to implement regulations that would apply an impartial conduct standard similar to the Fiduciary Rule.</w:t>
      </w:r>
    </w:p>
    <w:p>
      <w:pPr>
        <w:spacing w:after="0" w:line="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July 11, 2016, the DOL, the IRS and the PBGC proposed revisions to the Form 5500, the form used for ERISA annual reporting. The DOL included the proposed revisions in its Fall 2017 regulatory agenda released December 14, 2017. The revisions affect employee pension and welfare benefit plans, including our ERISA plans and require audits of information, self-directed brokerage account disclosure requirements and additional extensive disclosure. We cannot predict the effect these proposals, if enacted, will have on our business, or what other proposals may be made, what legislation, regulations or exemptions may be introduced or enacted or the impact of any such legislation, regulations or exemptions on our results of operations and financial condition.</w:t>
      </w:r>
    </w:p>
    <w:p>
      <w:pPr>
        <w:spacing w:after="0" w:line="5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the DOL has issued a number of regulations that increase the level of disclosure that must be provided to plan sponsors and participants. The participant disclosure regulations and the regulations which require service providers to disclose fee and other information to plan sponsors took effect in 2012. In John Hancock Mutual Life Insurance Company v. Harris Trust and Savings Bank (1993), the U.S. Supreme Court held that certain assets in excess of amounts necessary to satisfy guaranteed obligations under a participating group annuity general account contract are “plan assets.” Therefore, these assets are subject to certain fiduciary obligations under ERISA, which requires fiduciaries to perform their duties solely in the interest of ERISA plan participants and beneficiaries. On January 5, 2000, the Secretary of Labor issued final regulations indicating, in cases where an insurer has issued a policy backed by the insurer’s general account to or for an employee benefit plan, the extent to which assets of the insurer constitute plan assets for purposes of ERISA and the Code. The regulations apply only with respect to a policy issued by an insurer on or before December 31, 1998 (“Transition Policy”). No person will generally be liable under ERISA or the Code for conduct occurring prior to July 5, 2001, where the basis of a claim is that insurance company general account assets constitute plan assets. An insurer issuing a new policy that is backed by its general account and is issued to or for an employee benefit plan after December 31, 1998 will generally be subject to fiduciary obligations under ERISA, unless the policy is a guaranteed benefit policy.</w:t>
      </w:r>
    </w:p>
    <w:p>
      <w:pPr>
        <w:spacing w:after="0" w:line="6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regulations indicate the requirements that must be met so that assets supporting a Transition Policy will not be considered plan assets for purposes of ERISA and the Code. These requirements include detailed disclosures to be made to the employee benefits plan and the requirement that the insurer must permit the policyholder to terminate the policy on 90 days’ notice and receive without penalty, at the policyholder’s option, either (i) the unallocated accumulated fund balance (which may be subject to market value adjustment), or (ii) a book value payment of such amount in annual installments with interest. We have taken and continue to take steps designed to ensure compliance with these regulations.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Tax Reform</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22, 2017, President Trump signed the Tax Act into law, resulting in sweeping changes to the tax code. The Tax Act reduced the corporate tax rate to 21%, reduced interest expense deductibility, increased capitalization amounts for deferred acquisition costs, eliminated the corporate alternative minimum tax, provided for determining reserve deductions at 92.81% of statutory reserves, and reduced the dividend received deduction. Most of the changes in the Tax Act are effective as of January 1, 2018.</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reduction in the corporate rate will require a one-time remeasurement of certain deferred tax items. For the estimated impact of the Tax Act on our financial statements, including the estimated impact resulting from the remeasurement of our deferred tax assets and liabilities, see Note 13 of the Notes to the Consolidated Financial Statements. Our actual results may materially differ from our current estimate due to, among other things, further guidance that may be issued by U.S. tax authorities or regulatory bodies and/or changes in interpretations and assumptions we have preliminarily made. We will continue to analyze the Tax Act to finalize its financial statement impact.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Protection Laws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Numerous federal and state laws affect our earnings and activities, including federal and state consumer protection laws. As part of Dodd-Frank, Congress established the Consumer Financial Protection Bureau (“CFPB”) to supervise and regulate institutions that provide certain financial products and services to consumers. Although the consumer financial services subject to the CFPB’s jurisdiction generally exclude insurance business of the kind in which we engage, the CFPB does have authority to regulate non-insurance consumer services we may provide.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2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Over-the-Counter Derivatives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Dodd-Frank includes a framework of regulation of the over-the-counter (“OTC”) derivatives markets which requires clearing of certain types of currently traded OTC derivatives and imposes additional costs, including new reporting and margin requirements, and will likely impose additional regulation on us. Our costs of risk mitigation are increasing under Dodd-Frank. For example, Dodd-Frank imposes requirements, including the requirement to pledge initial margin (i) for “OTC-cleared” transactions (OTC derivatives that are cleared and settled through central clearing counterparties), and (ii) for “OTC-bilateral” transactions (OTC derivatives that are bilateral contracts between two counterparties) entered into after the phase-in period. The initial margin requirements for OTC-bilateral transactions will likely be applicable to us in September 2020. The increased margin requirements, combined with increased capital charges for our counterparties and central clearinghouses with respect to non-cash collateral, will likely require increased holdings of cash and highly liquid securities with lower yields causing a reduction in income and less favorable pricing for OTC-cleared and OTC-bilateral transactions. Centralized clearing of certain OTC derivatives exposes us to the risk of a default by a clearing member or clearinghouse with respect to our cleared derivative transactions. We use derivatives to mitigate a wide range of risks in connection with our businesses, including the impact of increased benefit exposures from certain of our annuity products that offer guaranteed benefits. We have always been subject to the risk that hedging and other management procedures might prove ineffective in reducing the risks to which insurance policies expose us or that unanticipated policyholder behavior or mortality, combined with adverse market events, could produce economic losses beyond the scope of the risk management techniques employed. Any such losses could be increased by higher costs of writing derivatives (including customized derivatives) and the reduced availability of customized derivatives that might result from the implementation of Dodd-Frank and comparable international derivatives regulations.</w:t>
      </w:r>
    </w:p>
    <w:p>
      <w:pPr>
        <w:spacing w:after="0" w:line="6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Dodd-Frank also expanded the definition of “swap” and mandated the SEC and the U.S. Commodity Futures Trading Commission (“CFTC”) (collectively, the “Commissions”) to study whether “stable value contracts” should be treated as swaps. Pursuant to the new definition and the Commissions’ interpretive regulations, products offered by our insurance subsidiaries other than stable value contracts might also be treated as swaps, even though we believe otherwise. Should such products become regulated as swaps, we cannot predict how the rules would be applied to them or the effect on such products’ profitability or attractiveness to our clients. Federal banking regulators have recently adopted new rules that will apply to certain qualified financial contracts, including many derivatives contracts, securities lending agreements and repurchase agreements, with certain banking institutions and certain of their affiliates. These new rules, which will begin to go into effect in 2019, will generally require the banking institutions and their applicable affiliates to include contractual provisions in their qualified financial contracts that limit or delay certain rights of their counterparties including counterparties’ default rights (such as the right to terminate the contracts or foreclose on collateral) and restrictions on assignments and transfers of credit enhancements (such as guarantees) arising in connection with the banking institution or an applicable affiliate becoming subject to a bankruptcy, insolvency, resolution or similar proceeding. To the extent that any of the derivatives, securities lending agreements or repurchase agreements that we enter into are subject to these new rules, it could limit our recovery in the event of a default and increase our counterparty risk.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and Investment Advisor Regulation</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Some of our activities in offering and selling variable insurance products, as well as certain fixed interest rate contracts, are subject to extensive regulation under the federal securities laws administered by the SEC. We issue variable annuity contracts and variable life insurance policies through separate accounts that are registered with the SEC as investment companies under the Investment Company Act. Each registered separate account is generally divided into sub-accounts, each of which invests in an underlying mutual fund which is itself a registered investment company under the Investment Company Act. In addition, the variable annuity contracts and variable life insurance policies issued by these registered separate accounts are registered with the SEC under the Securities Act of 1933, as amended (the “Securities Act”). We also issue fixed interest rate or index-linked contracts with features that require them to be registered as securities under the Securities Act. Certain variable contract separate accounts sponsored by us are exempt from registration under the Securities Act and the Investment Company Act, but may be subject to other provisions of the federal securities laws. In addition, because our variable contracts are required to be sold by broker-dealers that are FINRA members, sales of our variable contracts also are subject to the requirements of FINRA rules.</w:t>
      </w:r>
    </w:p>
    <w:p>
      <w:pPr>
        <w:spacing w:after="0" w:line="5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Federal, state and other securities regulatory authorities, including the SEC and FINRA, may from time to time make inquiries and conduct examinations regarding our compliance with securities and other laws and regulations. We will cooperate with such inquiries and examinations and take corrective action when warranted. See “— Insurance Regulation — Insurance Regulatory Examinations and Other Activities.”</w:t>
      </w:r>
    </w:p>
    <w:p>
      <w:pPr>
        <w:spacing w:after="0" w:line="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Federal and state securities laws and regulations are primarily intended to ensure the integrity of the financial markets, to protect investors in the securities markets, and to protect investment advisory or brokerage clients, and generally grant regulatory agencies broad rulemaking and enforcement powers, including the power to limit or restrict the conduct of business for failure to comply with such laws and regulations.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2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Unclaimed Property</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subject to the laws and regulations of states and other jurisdictions concerning identification, reporting and escheatment of unclaimed or abandoned funds, and are subject to audit and examination for compliance with these requirements. See Note 14 of the Notes of the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Ratings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Financial strength ratings represent the opinions of rating agencies, including A.M. Best Company (“A.M. Best”), Fitch Ratings (“Fitch”), Moody’s Investors Service (“Moody’s”) and Standard &amp; Poor’s Global Ratings (“S&amp;P”), regarding the ability of an insurance company to meet its financial obligations to policyholders and contract holders. See “Management’s Discussion and Analysis of Financial Condition and Results of Operations — Liquidity and Capital Resources — Capital — Rating Agencies.”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 should carefully consider the factors described below, in addition to the other information set forth in this Annual Report on Form 10-K. These risk factors are important to understanding the contents of this Form 10-K and our other reports.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3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materialization of any risks and uncertainties set forth below or identified in “Note Regarding Forward-Looking Statements” contained in this Annual Report on Form 10-K and our other filings with the SEC or those that are presently unforeseen or that we currently believe to be immaterial could result in significant adverse effects on our financial condition, results of operations and cash flows. See “Note Regarding Forward-Looking Statements.”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Differences between actual experience and actuarial assumptions and the effectiveness of our actuarial models may adversely affect our financial results, capitalization and financial condition</w:t>
      </w:r>
    </w:p>
    <w:p>
      <w:pPr>
        <w:spacing w:after="0" w:line="6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earnings significantly depend upon the extent to which our actual claims experience and benefit payments on our products are consistent with the assumptions we use in setting prices for our products and establishing liabilities for future policy benefits and claims. Such amounts are established based on estimates by actuaries of how much we will need to pay for future benefits and claims. To the extent that actual claims and benefits experience is less favorable than the underlying assumptions we used in establishing such liabilities, we could be required to increase our liabilities. We make assumptions regarding policyholder behavior at the time of pricing and in selecting and utilizing the guaranteed options inherent within our products based in part upon expected persistency of the products, which change the probability that a policy or contract will remain in force from one period to the next. Persistency within our annuities business may be significantly affected by the value of guaranteed minimum benefits (“GMxBs”) contained in many of our variable annuities being higher than current account values in light of poor equity market performance or extended periods of low interest rates, as well as other factors. Persistency could be adversely affected generally by developments affecting policyholder perception of us, including perceptions arising from adverse publicity. The pricing of certain of our variable annuity products that contain certain living benefit guarantees is also based on assumptions about utilization rates, or the percentage of contracts that will utilize the benefit during the contract duration, including the timing of the first lifetime income withdrawal. Results may vary based on differences between actual and expected benefit utilization. A material increase in the valuation of the liability could result to the extent emerging and actual experience deviates from these policyholder option utilization assumptions, and in certain circumstances this deviation may impair our solvency.</w:t>
      </w:r>
    </w:p>
    <w:p>
      <w:pPr>
        <w:spacing w:after="0" w:line="7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use actuarial models to assist us in establishing reserves for liabilities arising from our insurance policies and annuity contracts. We periodically review the effectiveness of these models, their underlying logic and assumptions and, from time to time, implement refinements to our models based on these reviews. We only implement refinements after rigorous testing and validation and, even after such validation and testing our models remain subject to inherent limitations. Accordingly, no assurances can be given as to whether or when we will implement refinements to our actuarial models, and, if implemented, the extent of such refinements. Furthermore, if implemented, any such refinements could cause us to increase the reserves we hold for our insurance policy and annuity contract liabilities which would adversely affect our RBC ratio and the amount of variable annuity assets we hold in excess of target funding levels and, in the case of any material model refinements, could materially adversely affect our financial condition and results of operations. See “Management’s Discussion and Analysis of Financial Condition and Results of Operations — Summary of Critical Accounting Estimates — Liability for Future Policy Benefits” and “Management’s Discussion and Analysis of Financial Condition and Results of Operations — Summary of Critical Accounting Estimates — Derivatives.”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2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Due to the nature of the underlying risks and the uncertainty associated with the determination of liabilities for future policy benefits and claims, we cannot determine precisely the amounts which we will ultimately pay to settle our liabilities. Such amounts may vary materially from the estimated amounts, particularly when those payments may not occur until well into the future. We evaluate our liabilities periodically based on accounting requirements, which change from time to time, the assumptions and models used to establish the liabilities, as well as our actual experience. If the liabilities originally established for future benefit payments and claims prove inadequate, we must increase them. Such increases would adversely affect our earnings and could have a material adverse effect on our results of operations and financial condition, including our capitalization and our ability to receive statutory dividends from our operating insurance companies, as well as a material adverse effect on the financial strength ratings which are necessary to support our product sales. See “Management’s Discussion and Analysis of Financial Condition and Results of Operations — Summary of Critical Accounting Estimates — Liability for Future Policy Benefits” and “Management’s Discussion and Analysis of Financial Condition and Results of Operations — Summary of Critical Accounting Estimates — Derivatives.”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Guarantees within certain of our products may decrease our earnings, decrease our capitalization, increase the volatility of our results, result in higher risk management costs and expose us to increased counterparty risk</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Certain of the variable annuity products we offer include guaranteed benefits, including guaranteed minimum death benefits (“GMDBs”), guaranteed minimum withdrawal benefits (“GMWBs”) and guaranteed minimum accumulation benefits (“GMABs”). While we continue to have guaranteed minimum income benefits (“GMIBs”) in force with respect to which we are obligated to perform, we no longer offer GMIBs. We also offer index-linked annuities with guarantees against a defined floor on losses. These guarantees are designed to protect contract holders against significant changes in equity markets and interest rates. Any such periods of significant and sustained negative or low separate account returns, increased equity volatility, or reduced interest rates could result in an increase in the valuation of our liabilities associated with those products. In addition, if the separate account assets consisting of fixed income securities, which support the guaranteed index-linked return feature are insufficient to reflect a period of sustained growth in the equity-index on which the product is based, we may be required to support such separate accounts with assets from our general account and increase our liabilities. An increase in these liabilities would result in a decrease in our net income and could materially and adversely affect our financial condition, including our capitalization and our ability to receive statutory dividends from our operating insurance companies, as well as the financial strength ratings which are necessary to support our product sales.</w:t>
      </w:r>
    </w:p>
    <w:p>
      <w:pPr>
        <w:spacing w:after="0" w:line="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we make assumptions regarding policyholder behavior at the time of pricing and in selecting and utilizing the guaranteed options inherent within our products (e.g., utilization of option to annuitize within a GMIB product). An increase in the valuation of the liability could result to the extent emerging and actual experience deviates from these policyholder option utilization assumptions. On an annual basis we review key actuarial assumptions used to record our variable annuity liabilities, including those assumptions regarding policyholder behavior. Changes to assumptions based on our annual actuarial assumption review in future years could result in an increase in the liabilities we record for future policy benefits and claims to a level that may materially and adversely affect our results of operations and financial condition which, in certain circumstances, could impair our solvency.</w:t>
      </w:r>
    </w:p>
    <w:p>
      <w:pPr>
        <w:spacing w:after="0" w:line="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also use hedging and other risk management strategies to mitigate the liability exposure primarily related to capital market risks. These strategies involve the use of reinsurance and derivatives, which may not be completely effective. For example, in the event that reinsurers, derivative counterparties or central clearinghouses are unable or unwilling to pay, we remain liable for the guaranteed benefits. See “— Our variable annuity exposure management strategy may not be effective, may result in net income volatility and may negatively affect our statutory capital.”</w:t>
      </w:r>
    </w:p>
    <w:p>
      <w:pPr>
        <w:spacing w:after="0" w:line="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capital markets hedging instruments may not effectively offset the costs of guarantees or may otherwise be insufficient in relation to our obligations. Furthermore, we are subject to the risk that changes in policyholder behavior or mortality, combined with adverse market events, could produce economic losses not addressed by the risk management techniques employed. These, individually or collectively, may have a material adverse effect on our results of operations, including net income, capitalization, financial condition or liquidity including our ability to receive dividends from our insurance operating companies.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variable annuity exposure management strategy may not be effective, may result in net income volatility and may negatively affect our statutory capital</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recently completed, the process of modifying our variable annuity exposure management strategy to emphasize as an objective the mitigation of the potential adverse effects of changes in equity markets and interest rates on our statutory capitalization and statutory distributable cash flows. The principal focus of our exposure risk management program is to maintain assets supporting our variable annuity contract guarantees at a variable annuity target funding level (the “Variable Annuity Target Funding Level”).</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2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intend to hold assets supporting our variable annuity contracts at our Variable Annuity Target Funding Level to sustain asset adequacy during modest market downturns without the use of derivative instruments and, accordingly, reduce the need for hedging the daily or weekly fluctuations from small movements in capital markets. We focus our hedging activities primarily on mitigating the risk from larger movements in capital markets, which may deplete contract holder account values and may increase long-term guarantee claims. We also intend to make greater use of longer dated derivative instruments. However, our hedging strategy may not be fully effective. In connection with our exposure risk management program we may determine to seek the approval of applicable regulatory authorities to permit us to increase our hedge limits consistent with those contemplated by the program. No assurance can be given that the approvals we request, if any, will be obtained and whether any such approvals would be subject to qualifications, limitations or conditions. In addition, the hedging instruments we enter into may not effectively offset the costs of variable annuity contract guarantees or may otherwise be insufficient in relation to our obligations. If our capital is depleted in the event of persistent market downturns, we will need to replenish it by holding additional capital, which we may have allocated for other uses, or purchasing additional hedging protection through the use of more expensive derivatives with strike levels at the current market level. Under our hedging strategy, changes from period to period in the valuation of our policyholder benefits and claims and net derivative gains (losses) may result in more significant volatility, which in certain circumstances could be material, to our results of operations and financial condition under GAAP and our statutory capital levels than has been the case historically.</w:t>
      </w:r>
    </w:p>
    <w:p>
      <w:pPr>
        <w:spacing w:after="0" w:line="80"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In addition, estimates and assumptions we make in connection with hedging activities may fail to reflect or correspond to our actual long-term exposure in respect of our guarantees. Further, the risk of increases in the costs of our guarantees not covered by our hedging and other capital and risk management strategies may become more significant due to changes in policyholder behavior driven by market conditions or other factors. The use of assets and derivative instruments may not effectively mitigate the effect of changes in policyholder behavior.</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Finally, the cost of our hedging program may be greater than anticipated because adverse market conditions can limit the availability and increase the costs of the derivatives we intend to employ and such costs may not be recovered in the pricing of the underlying products we offer. The above factors, individually or collectively, may have a material adverse effect on our results of operations, financial condition, capitalization and liquidity. See “— Guarantees within certain of our products may decrease our earnings, decrease our capitalization, increase the volatility of our results, result in higher risk management costs and expose us to increased counterparty risk.”</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ULSG asset requirement target may not ensure we have sufficient assets to meet our future ULSG policyholder obligations and may result in net income volatility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actively manage the market risk sensitivity related to our in-force ULSG exposure specifically to adapt to changes in interest rates.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utilized our NY Regulation 126 Cash Flow Testing (“ULSG CFT”) modeling approach as the basis for setting our ULSG asset requirement target for our affiliated reinsurance companies. We set our ULSG asset requirement target to equal the actuarially determined statutory reserves under stressed conditions, which, taken together with our ULSG asset requirement target of our affiliated reinsurers, comprises our total ULSG asset requirement target (“USLG Target”). Under this approach we assume that interest rates remain flat or decline as compared to current levels and our actuarial assumptions include a provision for adverse deviation.</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seek to mitigate exposure to interest rate risk associated with these liabilities by maintaining ULSG Assets at or in excess of our ULSG Target in different interest rate environments. We define “ULSG Assets” as (i) total general account assets supporting statutory reserves and capital, and (ii) interest rate derivative instruments dedicated to mitigate ULSG interest rate exposures.</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ULSG Target is sensitive to the actual and future expected level of long-term U.S. interest rates. If interest rates fall, our ULSG Target increases, and if interest rates rise, our ULSG Target declines. We primarily use interest rate swaps to better protect statutory capitalization from potential losses due to an increase in reserves to achieve our ULSG Target in lower interest rate environments. We have implemented a dedicated interest rate risk mitigation program for our ULSG business. This risk mitigation strategy may negatively impact our statutory and/or GAAP capitalization in circumstances in which interest rates are rising, because of the insensitivity of the liabilities to market conditions.</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risk mitigation strategy will likely result in higher net income volatility due to the insensitivity of GAAP liabilities to changes in interest rates. Our interest rate derivative instruments may not effectively offset the costs of our ULSG policyholder obligations or may otherwise be insufficient in relation to our objectives. In addition, the assumptions we make in connection with our risk mitigation strategy may fail to reflect or correspond to actual long-term exposure to our ULSG policyholder obligations. If our liquid investments are depleted we will need to replenish our liquid portfolio by selling higher-yielding less liquid assets, which we may have allocated for other uses. The above factors, individually or collectively, may have a material adverse effect on our results of operations, financial condition, capitalization or liquidity.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2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sustained period of low equity market prices and interest rates that are lower than those we assumed when we issued our variable annuity products could have a material adverse effect on our results of operations, capitalization and financial condition</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Future policy benefit liabilities for GMDBs and guaranteed minimum living benefits (“GMLBs”) under our variable annuity contracts are based on the value of the benefits we expect to be payable under such contracts in excess of the contract holders’ projected account balances. We determine the fees we charge for providing these guarantees in substantial part on the basis of assumptions we make with respect to the growth of the account values relating to these contracts, including assumptions with respect to investment performance. If the actual growth in account values differs from our initial assumptions we may need to increase or decrease the amount of future benefit liabilities we record to the extent that other factors we consider in estimating the expected value of benefits payable, including policyholder behavior, do not offset the impact of changes in our assumptions with respect to investment performance. Although extreme declines or shocks in equity markets and interest rates can increase the level of reserves we need to hold to fund guarantees, other types of economic scenarios can also impact the adequacy of our reserves. For example, certain scenarios involving sustained stagnation in equity markets and low interest rates would adversely affect growth in account values and could require us to materially increase our benefit liabilities. As a result, in the absence of incremental management actions and not taking into account the effects of new business, our ability to retain the ratings necessary to market and sell our products, as well as our ability to repay or refinance indebtedness for borrowed money, could be materially adversely affected and our solvency could be impaired.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our business strategy are new and may not be effective in accomplishing our objectives</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objective is to leverage our competitive strengths to distinguish ourselves in the individual life insurance and annuity markets and, over the longer term, to generate more distributable cash from our business. We seek to achieve this by being a focused product manufacturer, with an emphasis on independent distribution, while having the goal of achieving a competitive expense ratio through financial discipline. We intend to achieve our goals by focusing on target market segments, concentrating on product manufacturing, maintaining a strong balance sheet and using the scale of our seasoned in-force business to support the effectiveness of our risk management program, and focusing on operating cost and flexibility.</w:t>
      </w:r>
    </w:p>
    <w:p>
      <w:pPr>
        <w:spacing w:after="0" w:line="6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There can be no assurance that our strategy will be successful as it may not adequately alleviate the risks relating to less diverse product offerings; volatility of, and capital requirements with respect to, variable annuities; risk of loss with respect to use of derivatives in hedging transactions; and greater dependence on a relatively small number of independent distributors to market our products and generate most of our sales. Furthermore, such distributions may be subject to differing commission structures depending on the product sold and there can be no assurance that these new commission structures will be acceptable. See “— General Risks — Brighthouse may experience difficulty in marketing and distributing products through our distribution channels.”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inability to access credit facilities could result in a reduction in our liquidity and lead to downgrades in Brighthouse’s credit ratings and our financial strength ratings.</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December 2, 2016, Brighthouse Financial, Inc. entered into a $2.0 billion five-year senior unsecured revolving credit facility that matures on December 2, 2021 (the “Revolving Credit Facility”) and, on July 21, 2017, entered into a $600 million senior unsecured term loan facility that matures on December 2, 2019 (the “2017 Term Loan Facility” and, together with the Revolving Credit Facility, the “Brighthouse Credit Facilities.”). On June 22, 2017, Brighthouse Financial, Inc. issued $1.5 billion aggregate principal amount of 3.700% senior notes due 2027 (the “2027 Senior Notes”) and $1.5 billion aggregate principal amount of 4.700% senior notes due 2047 (the “2047 Senior Notes” and, together with the 2027 Senior Notes, the “Senior Notes”) to third-party investors and in August 2017, Brighthouse Financial, Inc. borrowed the full $600 million under the 2017 Term Loan Facility.</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right to borrow funds under the Revolving Credit Facility is subject to the fulfillment of certain conditions, including compliance with all covenants. Failure to comply with the covenants in the Revolving Credit Facility or fulfill the conditions to borrowings, or the failure of lenders to fund their lending commitments (whether due to insolvency, illiquidity or other reasons) in the amounts provided for under the terms of the Revolving Credit Facility, would restrict the ability to access the Revolving Credit Facility when needed and, consequently, could have a material adverse effect on our liquidity, results of operations and financial condition.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2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downgrade or a potential downgrade in our financial strength ratings could result in a loss of business and materially adversely affect our financial condition and results of operations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Financial strength ratings are published by various nationally recognized statistical rating organizations (“NRSROs”) and similar entities not formally recognized as NRSROs. They indicate the NRSROs’ opinions regarding an insurance company’s ability to meet contract holder and policyholder obligations and are important to maintaining public confidence in our products and our competitive position. See “Management’s Discussion and Analysis of Financial Condition and Results of Operations — Liquidity and Capital Resources — Capital — Rating Agencies.”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Downgrades in our financial strength ratings or changes to our ratings outlooks could have a material adverse effect on our financial condition and results of operations in many ways, including:</w:t>
      </w:r>
    </w:p>
    <w:p>
      <w:pPr>
        <w:spacing w:after="0" w:line="6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reducing new sales of insurance products and annuity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adversely affecting our relationships with independent sales intermediaries;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the number or amount of policy surrenders and withdrawals by contract holders and policyholders;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requiring us to reduce prices for many of our products and services to remain competitive;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providing termination rights for the benefit of our derivative instrument counterparties;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adversely affecting our ability to obtain reinsurance at reasonable prices, if at all;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subjecting us to potentially increased regulatory scrutiny.</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Downgrades in our financial strength ratings or changes to our rating outlook could have a material adverse effect on our financial condition and results of operations in many ways, including limiting our access to distributors, restricting our ability to generate new sales because our products depend on strong financial strength ratings to compete effectively, limiting our access to capital markets, and potentially increasing the cost of debt, which could adversely affect our liquidity.</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view of the difficulties experienced by many financial institutions as a result of the financial crisis and ensuing global recession, including our competitors in the insurance industry, we believe it is possible that the NRSROs will continue to heighten the level of scrutiny that they apply to insurance companies, will continue to increase the frequency and scope of their credit reviews, will continue to request additional information from the companies that they rate, and may adjust upward the capital and other requirements employed in the models for maintenance of certain ratings levels. Our ratings could be downgraded at any time and without notice by any NRSRO. Any such downgrade could result in a reduction in new sales of our insurance products, which could have a material adverse effect on our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 may not be available, affordable or adequate to protect us against losses</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part of our overall risk management strategy, we may purchase reinsurance from third-party reinsurers for certain risks we underwrite. While reinsurance agreements generally bind the reinsurer for the life of the business reinsured at generally fixed pricing, market conditions beyond our control determine the availability and cost of the reinsurance protection for new business. In certain circumstances, the price of reinsurance for business already reinsured may also increase. Also, under certain of our reinsurance arrangements, it is common for the reinsurer to have a right to increase reinsurance rates on in-force business if there is a systematic deterioration of mortality in the market as a whole. Any decrease in the amount of reinsurance will increase our risk of loss and any increase in the cost of reinsurance will, absent a decrease in the amount of reinsurance, reduce our earnings. Accordingly, we may be forced to incur additional expenses for reinsurance or may not be able to obtain sufficient reinsurance on acceptable terms, which could adversely affect our ability to write future business or result in the assumption of more risk with respect to those policies we issue. See “Business — Reinsurance Activity.”</w:t>
      </w:r>
    </w:p>
    <w:p>
      <w:pPr>
        <w:spacing w:after="0" w:line="58"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If the counterparties to our reinsurance or indemnification arrangements or to the derivatives we use to hedge our business risks default or fail to perform, we may be exposed to risks we had sought to mitigate, which could materially adversely affect our financial condition and results of operations</w:t>
      </w:r>
    </w:p>
    <w:p>
      <w:pPr>
        <w:spacing w:after="0" w:line="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use reinsurance, indemnification and derivatives to mitigate our risks in various circumstances. In general, reinsurance, indemnification and derivatives do not relieve us of our direct liability to our policyholders, even when the reinsurer is liable to us. Accordingly, we bear credit risk with respect to our reinsurers, indemnitors, counterparties and central clearinghouses. A reinsurer’s, indemnitor’s, counterparty’s or central clearinghouse’s insolvency, inability or unwillingness to make payments under the terms of reinsurance agreements, indemnity agreements or derivatives agreements with us or inability or unwillingness to return collateral could have a material adverse effect on our financial condition and results of operations. See “Business — Reinsurance Activity.”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2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addition, we use derivatives to hedge various business risks. We enter into a variety of derivatives, including options, forwards, interest rate, credit default and currency swaps with a number of counterparties on a bilateral basis for uncleared OTC derivatives and with clearing brokers and central clearinghouses for OTC-cleared derivatives (OTC derivatives that are cleared and settled through central clearing counterparties). If our counterparties, clearing brokers or central clearinghouses fail or refuse to honor their obligations under these derivatives, our hedges of the related risk will be ineffective. Such failure could have a material adverse effect on our financial condition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Extreme mortality events resulting from catastrophes may adversely impact liabilities for policyholder claims and reinsurance availability</w:t>
      </w:r>
    </w:p>
    <w:p>
      <w:pPr>
        <w:spacing w:after="0" w:line="1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life insurance operations are exposed to the risk of catastrophic mortality, such as a pandemic or other event that causes a large number of deaths. For example, significant influenza pandemics have occurred three times in the last century. The likelihood, timing, and severity of a future pandemic cannot be predicted. A significant pandemic could have a major impact on the global economy or the economies of particular countries or regions, including travel, trade, tourism, the health system, food supply, consumption, overall economic output, as well as on the financial markets. In addition, a pandemic that affected our employees or the employees of our distributors or of other companies with which we do business could disrupt our business operations. The effectiveness of external parties, including governmental and non-governmental organizations, in combating the spread and severity of such a pandemic could have a material impact on the losses we experience. These events could cause a material adverse effect on our results of operations in any period and, depending on their severity, could also materially and adversely affect our financial condition.</w:t>
      </w:r>
    </w:p>
    <w:p>
      <w:pPr>
        <w:spacing w:after="0" w:line="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Consistent with industry practice and accounting standards, we establish liabilities for claims arising from a catastrophe only after assessing the probable losses arising from the event. We cannot be certain that the liabilities we have established will be adequate to cover actual claim liabilities. A catastrophic event or multiple catastrophic events could have a material adverse effect on our results of operations and financial condition. Conversely, improvements in medical care and other developments which positively affect life expectancy can cause our assumptions with respect to longevity, which we use when we price our products, to become incorrect and, accordingly, can adversely affect our results of operations and financial condition.</w:t>
      </w:r>
    </w:p>
    <w:p>
      <w:pPr>
        <w:spacing w:after="0" w:line="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take credit for reinsurance, our statutory life insurance reserve financings may be subject to cost increases and new financings may be subject to limited market capacity</w:t>
      </w:r>
    </w:p>
    <w:p>
      <w:pPr>
        <w:spacing w:after="0" w:line="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currently utilize capital markets solutions to finance a portion of our statutory reserve requirements for several products, including, but not limited to, our level premium term life products subject to Regulation XXX, and ULSG subject to Guideline AXXX. Following the receipt of all approvals from applicable regulators, effective April 28, 2017, we merged certain of our affiliate reinsurance companies into BRCD, a licensed reinsurance subsidiary of Brighthouse Life Insurance Company. This single, larger reinsurance subsidiary provides certain benefits to Brighthouse, including (i) enhancing the ability to hedge the interest rate risk of the reinsured liabilities, (ii) allowing increased allocation flexibility in managing an investment portfolio, and (iii) improving operating flexibility and administrative cost efficiency, but there can be no assurance that such benefits will materialize. BRCD obtained statutory reserve financing through a funding structure involving a single financing arrangement supported by a pool of highly rated third-party reinsurers, with financing at a lower cost than previous financing arrangements, which were terminated effective April 28, 2017. The restructured financing facility has a term of 20 years, but the liabilities being supported by such facility have a duration, in some cases, of more than 30 years. Therefore, we may need to refinance this facility in the future and any such refinancing may not be at costs attractive to us or may not be available at all. If such financing cannot be obtained on favorable terms, our statutory capitalization, results of operations and financial condition, as well as our competitiveness, could be adversely affected.</w:t>
      </w:r>
    </w:p>
    <w:p>
      <w:pPr>
        <w:spacing w:after="0" w:line="6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Future capacity for these statutory reserve funding structures in the marketplace is not guaranteed. During 2014, the NAIC approved a new regulatory framework applicable to the use of captive insurers in connection with Regulation XXX and Guideline AXXX transactions. Among other things, the framework called for more disclosure of an insurer’s use of captives in its statutory financial statements, and narrows the types of assets permitted to back statutory reserves that are required to support the insurer’s future obligations. In 2014, the NAIC implemented the framework through an actuarial guideline (“AG 48”), which requires the actuary of the ceding insurer that opines on the insurer’s reserves to issue a qualified opinion if the framework is not followed. The requirements of AG 48 became effective as of January 1, 2015 in all states, without any further action necessary by state legislatures or insurance regulators to implement them, and apply prospectively to new policies issued and new reinsurance transactions entered into on or after January 1, 2015. AG 48 does not apply to policies included under captive reinsurance and certain other agreements that were in existence prior to January 1, 2015.</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2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December 2016, the NAIC adopted a new model regulation containing similar substantive requirements as AG 48. The model regulation will generally replace AG 48 in a state upon the state’s adoption of the model regulation. To the extent the types of assets permitted under AG 48 or under the new model regulation to back statutory reserves relating to these captive transactions are not available in future statutory reserve funding structures, we would not be able to take some or all statutory reserve credit for such transactions and could consequently be required to materially affect the statutory capitalization of Brighthouse Life Insurance Company, which would materially and adversely affect our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our competitiveness may adversely affect our market share and profitability</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believe competition among insurance companies is based on a number of factors, including service, product features, scale, price, actual or perceived financial strength, claims-paying ratings, credit ratings, e-business capabilities and name recognition. We compete with a large number of other insurance companies, as well as non-insurance financial services companies, such as banks, broker-dealers and asset managers. Some of these companies offer a broader array of products, have more competitive pricing or, with respect to other insurance companies, have higher claims paying ability and financial strength ratings. Some may also have greater financial resources with which to compete. In some circumstances, national banks that sell annuity products of life insurers may also have a pre-existing customer base for financial services products. These competitive pressures may adversely affect the persistency of our products, as well as our ability to sell our products in the future. If, as a result of competitive factors or otherwise, we are unable to generate a sufficient return on insurance policies and annuity products we sell in the future, we may stop selling such policies and products, which could have a material adverse effect on our financial condition and results of operations.</w:t>
      </w:r>
    </w:p>
    <w:p>
      <w:pPr>
        <w:spacing w:after="0" w:line="7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limited control over many of our costs. For example, we have limited control over the cost of unaffiliated third-party reinsurance, the cost of meeting changing regulatory requirements, and our cost to access capital or financing. There can be no assurance that we will be able to achieve or maintain a cost advantage over our competitors. If our cost structure increases and we are not able to achieve or maintain a cost advantage over our competitors, it could have a material adverse effect on our ability to execute our strategy, as well as on our results of operations and financial condition. If we hold substantially more capital than is needed to support our ratings, over time, our competitive position could be adversely affected.</w:t>
      </w:r>
    </w:p>
    <w:p>
      <w:pPr>
        <w:spacing w:after="0" w:line="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since numerous aspects of our business are subject to regulation, legislative and other changes affecting the regulatory environment for our business may have, over time, the effect of supporting or burdening some aspects of the financial services industry. This can affect our competitive position within the life insurance industry and within the broader financial services industry. See “Business — Regulation.”</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failure of third parties to provide various services, or any failure of the practices and procedures that these third parties use to provide services to us, could have a material adverse effect on our business</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 key part of our operating strategy is to outsource certain services important to our business. In July 2016, we entered into a multi-year outsourcing arrangement for the administration of certain in-force policies currently housed on up to 20 systems. Pursuant to this arrangement, at least 13 of such systems will be consolidated down to one. In December 2017, we formalized an arrangement for the administration of life and annuities new business and approximately 1.3 million in-force life and annuities contracts. We intend to focus on further outsourcing opportunities with third-party vendors, including after the Transition Services Agreement, Investment Management Agreement and other agreements with MetLife companies expire. See “— Risks Related to Our Separation from, and Continuing Relationship with, MetLife — Brighthouse’s contractual arrangements with MetLife may not be adequate to meet our operational and business needs. The terms of our arrangements with MetLife may be more favorable than we would be able to obtain from an unaffiliated third party. Brighthouse may be unable to replace those services in a timely manner or on comparable terms” for information regarding the potential effect that the Separation from MetLife will have on the pricing of such services. It may be difficult and disruptive for us to replace some of our third-party vendors in a timely manner if they were unwilling or unable to provide us with these services in the future (as a result of their financial or business conditions or otherwise), and our business and operations likely could be materially adversely affected.</w:t>
      </w:r>
    </w:p>
    <w:p>
      <w:pPr>
        <w:spacing w:after="0" w:line="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if a third-party provider fails to provide the administrative, operational, financial, and actuarial services we require, fails to meet contractual requirements, such as compliance with applicable laws and regulations, or suffers a cyberattack or other security breach, our business could suffer economic and reputational harm that could have a material adverse effect on our business and results of operations. See “— Operational Risks — The failure in cyber-or other information security systems, as well as the occurrence of events unanticipated in Brighthouse’s and MetLife’s disaster recovery systems and business continuity planning could result in a loss or disclosure of confidential information, damage to our reputation and impairment of our ability to conduct business effectively.”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2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Similarly, if any third-party provider experiences any deficiency in internal controls, determines that its practices and procedures used in administering our policies require review or otherwise fails to administer our policies in accordance with acceptable standards, we could incur expenses and experience other adverse effects as a result. In these situations, we may be unable to resolve any issues on our own without assistance from the third-party provider, and we may have limited ability to influence the speed and effectiveness of that resolution. In December 2017, for example, MetLife announced that it was undertaking a review of practices and procedures used to estimate its reserves related to certain group annuitants that have been unresponsive or missing over time. As a result of this review, MetLife identified a material weakness in its internal control over financial reporting relating to certain group annuity reserves and announced that it was recording charges to reinstate reserves previously released. As a result of that review and based on information provided by MetLife, we have identified approximately 14,000 group annuitants across Brighthouse entities who may be owed annuity payments now or in the future. We announced a related increase in reserves of $38 million after tax during the fourth quarter of 2017 relating to legacy non-retail group annuity contracts that are pension risk transfers included in our Run-off segment. These group annuity contracts are administered by MetLife under the Transition Services Agreement, and we depend on MetLife for the information and modifications to administrative practices and procedures necessary to resolve this matter. If similar issues were to arise in the future, whether involving MetLife or another third-party provider, any resulting expenses or other economic or reputational harm could have a material adverse effect on our business and results of operations, particularly if they involved our core annuity and life insurance businesses. In addition, we could be subject to litigation or regulatory investigations and actions resulting from any such issues, which could have a material adverse effect on our financial condition and results of operations.</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required to establish a valuation allowance against our deferred income tax assets, which could adversely affect our results of operations or financial condition</w:t>
      </w:r>
    </w:p>
    <w:p>
      <w:pPr>
        <w:spacing w:after="0" w:line="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Deferred income tax represents the tax effect of the differences between the book and tax bases of assets and liabilities. Deferred tax assets are assessed periodically by management to determine whether they are realizable. Factors in management’s determination include the performance of the business including the ability to generate future taxable income. If, based on available information, it is more likely than not that the deferred income tax asset will not be realized, then a valuation allowance must be established with a corresponding charge to net income. Such charges could have a material adverse effect on our results of operations or financial position. In addition, changes in the corporate tax rates could affect the value of our deferred tax assets and may require a write-off of some of those assets. See Note 13 of the Notes to the Consolidated Financial Statements for the impact of the Tax Act on our financial statements. Also, see “Management’s Discussion and Analysis of Financial Condition and Results of Operations — Summary of Critical Accounting Estimates — Income Taxes.”</w:t>
      </w:r>
    </w:p>
    <w:p>
      <w:pPr>
        <w:spacing w:after="0" w:line="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our business does not perform well or if actual experience versus estimates used in valuing and amortizing DAC and VOBA vary significantly, we may be required to accelerate the amortization and/or impair the DAC and VOBA, which could adversely affect our results of operations or financial condition</w:t>
      </w:r>
    </w:p>
    <w:p>
      <w:pPr>
        <w:spacing w:after="0" w:line="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incur significant costs in connection with acquiring new and renewal insurance business. Costs that are related directly to the successful acquisition of new and renewal insurance business are deferred and referred to as DAC. Value of business acquired (“VOBA”) represents the excess of book value over the estimated fair value of acquired insurance and annuity contracts in-force at the acquisition date. The estimated fair value of the acquired liabilities is based on actuarially determined projections, by each block of business, of future policy and contract charges, premiums, mortality and morbidity, separate account performance, surrenders, operating expenses, investment returns, nonperformance risk adjustment and other factors. DAC and VOBA related to fixed and variable life and deferred annuity contracts are amortized in proportion to actual and expected future gross profits. The amount of future gross profit is dependent principally on investment returns in excess of the amounts credited to policyholders, mortality, morbidity, persistency, interest crediting rates, dividends paid to policyholders, expenses to administer the business, creditworthiness of reinsurance counterparties and certain economic variables, such as inflation.</w:t>
      </w:r>
    </w:p>
    <w:p>
      <w:pPr>
        <w:spacing w:after="0" w:line="7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actual gross profits are less than originally expected, then the amortization of such costs would be accelerated in the period the actual experience is known and would result in a charge to net income. Significant or sustained equity market declines could result in an acceleration of amortization of DAC and VOBA related to variable annuity and variable life contracts, resulting in a charge to net income. Such adjustments could have a material adverse effect on our results of operations or financial condition. See “Management’s Discussion and Analysis of Financial Condition and Results of Operations — Summary of Critical Accounting Estimates — Deferred Policy Acquisition Costs and Value of Business Acquired” for a discussion of how significantly lower net investment spreads may cause us to accelerate amortization, thereby reducing net income in the affected reporting period.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2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Environment and Capital Markets-Related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difficult conditions in the capital markets and the U.S. economy generally persist or are perceived to persist, they may materially adversely affect our business and results of operations</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business and results of operations are materially affected by conditions in the capital markets and the U.S. economy generally, as well as by the global economy to the extent it affects the U.S. economy. In addition, while our operations are entirely in the United States, we have foreign investments in our general and separate accounts, and, accordingly, conditions in the global capital markets can affect the value of our general account and separate account assets, as well as our financial results. Stressed conditions, volatility and disruptions in financial asset classes or various capital markets can have an adverse effect on us, both because we have a large investment portfolio and our benefit and claim liabilities are sensitive to changing market factors. In addition, perceived difficult conditions in the capital markets may discourage individuals from making investment decisions and purchasing our products. Market factors include interest rates, credit spreads, equity and commodity prices, derivative prices and availability, real estate markets, foreign exchange rates and the volatility and the returns of capital markets. Our business operations and results may also be affected by the level of economic activity, such as the level of employment, business investment and spending, consumer spending and savings; monetary and fiscal policies and their resulting impact on economic activity and conditions like inflation and credit formation. Accordingly, both market and economic factors may affect our business results by adversely affecting our business volumes, profitability, cash flow, capitalization and overall financial condition, as well as our ability to receive dividends from our insurance subsidiaries. Disruptions in one market or asset class can also spread to other markets or asset classes. Upheavals and stagnation in the financial markets can also affect our financial condition (including our liquidity and capital levels) as a result of the impact of such events on our assets and liabilities.</w:t>
      </w:r>
    </w:p>
    <w:p>
      <w:pPr>
        <w:spacing w:after="0" w:line="6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At times throughout the past several years, volatile conditions have characterized financial markets. Significant market volatility in reaction to geopolitical risks, changing monetary policy and uncertain fiscal policy may exacerbate some of the risks we face. The Federal Reserve may reduce the size of its balance sheet and continue to raise interest rates as it unwinds the monetary accommodation put in place after the global financial crisis in 2008-2009, while other major central banks may continue to pursue accommodative, unconventional monetary policies. Uncertainties associated with the United Kingdom’s potential withdrawal from the European Union (the “EU”) and concerns about the political and/or economic stability of Puerto Rico and certain countries outside the EU have also contributed to market volatility in the U.S. This market volatility has affected, and may continue to affect the performance of the various asset classes in which we invest, as well as separate account values.</w:t>
      </w:r>
    </w:p>
    <w:p>
      <w:pPr>
        <w:spacing w:after="0" w:line="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To the extent these uncertain financial market conditions persist, our revenues, reserves and net investment income, as well as the demand for certain of our products, are likely to come under pressure. Similarly, sustained periods of low interest rates and risk asset returns could reduce income from our investment portfolio, increase our liabilities for claims and future benefits, and increase the cost of risk transfer measures such as hedging, causing our profit margins to erode as a result of reduced income from our investment portfolio and increase in insurance liabilities. Extreme declines in equity markets could cause us to incur significant capital and/or operating losses due to, among other reasons, the impact on us of guarantees related to our annuity products, including increases in liabilities, increased capital requirements, and/or collateral requirements associated with our risk transfer arrangements. Even in the absence of a financial market downturn, sustained periods of low market returns and/or low level of U.S. interest rates and/or heightened market volatility may increase the cost of our insurance liabilities, which could have a material adverse effect on our statutory capital and earnings, as well as impair our financial strength ratings.</w:t>
      </w:r>
    </w:p>
    <w:p>
      <w:pPr>
        <w:spacing w:after="0" w:line="8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Variable annuity products issued through separate accounts are a significant portion of our in-force business. The account values of these products decrease as a result of declining equity markets. Lower interest rates may result in lower returns in the future due to lower returns on our investments. Decreases in account values reduce certain fees generated by these products, cause the amortization of DAC to accelerate, could increase the level of insurance liabilities we must carry to support such products issued with any associated guarantees and could require us to provide additional funding to our affiliated reinsurer. Even absent declining equity and bond markets, periods of sustained stagnation in these markets, which are characterized by multiple years of low annualized total returns impacting the growth in separate accounts and/or low level of U.S. interest rates, may materially increase our liabilities for claims and future benefits due to inherent market return guarantees in these liabilities. In an economic downturn characterized by higher unemployment, lower family income, lower corporate earnings, lower business investment and lower consumer spending, the demand for our annuity and insurance products could be adversely affected as customers are unwilling or unable to purchase our products. In addition, we may experience an elevated incidence of claims, adverse utilization of benefits relative to our best estimate expectations and lapses or surrenders of policies. Furthermore, our policyholders may choose to defer paying insurance premiums or stop paying insurance premiums altogether. Such adverse changes in the economy could negatively affect our earnings and capitalization and have a material adverse effect on our results of operations and financial condition.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2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Difficult conditions in the U.S. capital markets and the economy generally may also continue to raise the possibility of legislative, judicial, regulatory and other governmental actions. The Trump administration has released a memorandum that generally delayed all pending regulations from publication in the Federal Register pending their review and approval by a department or agency head appointed or designated by President Trump, and has issued an executive order that calls for a comprehensive review of Dodd-Frank. Also, on June 8, 2017, the U.S. House of Representatives passed the Financial CHOICE Act of 2017, which proposes to amend or repeal various sections of Dodd-Frank. We cannot predict what other proposals may be made or what legislation may be introduced or enacted, or what impact any such legislation may have on our business, results of operations and financial condition. See “— Regulatory and Legal Risks — Our business is highly regulated, and changes in regulation and in supervisory and enforcement policies may materially impact our capitalization or cash flows, reduce our profitability and limit our growth” and “— Risks Related to Our Business — Factors affecting our competitiveness may adversely affect our market share and profitability.”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capital and credit market conditions may significantly affect our ability to meet liquidity needs and our access to capital</w:t>
      </w:r>
    </w:p>
    <w:p>
      <w:pPr>
        <w:spacing w:after="0" w:line="11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capital and credit markets may be subject to periods of extreme volatility. Disruptions in capital markets could adversely affect our liquidity and credit capacity or limit our access to capital which may in the future be needed to operate our business and meet policyholder obligations.</w:t>
      </w:r>
    </w:p>
    <w:p>
      <w:pPr>
        <w:spacing w:after="0" w:line="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need liquidity to pay our operational expenses, provide our subsidiaries with cash or collateral, pay interest on indebtedness we may incur, maintain our securities lending activities and replace certain maturing liabilities. Without sufficient liquidity, we could be forced to curtail our operations and limit the investments necessary to grow our business.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principal sources of liquidity are insurance premiums and fees paid in connection with annuity products, and cash flow from our investment portfolio to the extent consisting of cash and readily marketable securities.</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event capital market or other conditions have an adverse impact on our capital and liquidity, or our stress-testing indicates that such conditions could have such an impact beyond expectations and our current resources do not satisfy our needs or regulatory requirements, we may have to seek additional financing to enhance our capital and liquidity position. The availability of additional financing will depend on a variety of factors such as the then current market conditions, regulatory capital requirements, availability of credit to us and the financial services industry generally, our financial strength ratings and credit capacity, and the perception of our customers and lenders regarding our long- or short-term financial prospects if we incur large operating or investment losses or if the level of our business activity decreases due to a market downturn. Similarly, our access to funds may be impaired if regulatory authorities or rating agencies take negative actions against us. Our internal sources of liquidity may prove to be insufficient and, in such case, we may not be able to successfully obtain additional financing on favorable terms, or at all.</w:t>
      </w:r>
    </w:p>
    <w:p>
      <w:pPr>
        <w:spacing w:after="0" w:line="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our liquidity requirements may change if, among other things, we are required to return significant amounts of cash collateral on short notice under securities lending agreements or other collateral requirements. See “— Investments - Related Risks — Should the need arise, we may have difficulty selling certain holdings in our investment portfolio or in our securities lending program in a timely manner and realizing full value given that not all assets are liquid,” “Management’s Discussion and Analysis of Financial Condition and Results of Operations — Off-Balance Sheet Arrangements — Collateral for Securities Lending and Derivatives” and “Management’s Discussion and Analysis of Financial Condition and Results of Operations — Liquidity and Capital Resources — Liquidity.”</w:t>
      </w:r>
    </w:p>
    <w:p>
      <w:pPr>
        <w:spacing w:after="0" w:line="8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Such conditions may limit our ability to replace, in a timely manner, maturing liabilities, satisfy regulatory capital requirements, and access the capital necessary to grow our business. See “— Regulatory and Legal Risks — Our business is highly regulated, and changes in regulation and in supervisory and enforcement policies may materially impact our capitalization or cash flows, reduce our profitability and limit our growth.” As a result, we may be forced to bear an unattractive cost of capital, which could decrease our profitability and significantly reduce our financial flexibility. Our results of operations, financial condition, cash flows and statutory capital position could be materially adversely affected by disruptions in the financial markets.</w:t>
      </w:r>
    </w:p>
    <w:p>
      <w:pPr>
        <w:spacing w:after="0" w:line="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exposed to significant financial and capital markets risks which may adversely affect our results of operations, financial condition and liquidity, and may cause our net investment income and net income to vary from period to period</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significant financial and capital markets risks both in the United States and in global markets generally to the extent they influence U.S. financial and capital markets, including changes in interest rates, credit spreads, equity markets, real estate markets, the performance of specific obligors, including governments, included in our investment portfolio, derivatives and other factors outside our control. From time to time we may also have exposure through our investment portfolio to foreign currency and commodity price volatility.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2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Some of our current or anticipated future products, principally traditional life, universal life and fixed annuities, as well as funding agreements and structured settlements, expose us to the risk that changes in interest rates will reduce our investment margin or “net investment spread,” or the difference between the amounts that we are required to pay under the contracts in our general account and the rate of return we earn on general account investments intended to support obligations under such contracts. Our net investment spread is a key component of our net income.</w:t>
      </w:r>
    </w:p>
    <w:p>
      <w:pPr>
        <w:spacing w:after="0" w:line="6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affected by the monetary policies of the Board of Governors of the Federal Reserve System (“Federal Reserve Board”) and the Federal Reserve Bank of New York (collectively, with the Federal Reserve Board, the “Federal Reserve”) and other major central banks, as such policies may adversely impact the level of interest rates and, as discussed below, the income we earn on our investments or the level of product sales.</w:t>
      </w:r>
    </w:p>
    <w:p>
      <w:pPr>
        <w:spacing w:after="0" w:line="5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 low interest rate environment, we may be forced to reinvest proceeds from investments that have matured or have been prepaid or sold at lower yields, which will reduce our net investment spread. Moreover, borrowers may prepay or redeem the fixed income securities and commercial, agricultural or residential mortgage loans in our investment portfolio with greater frequency in order to borrow at lower market rates, thereby exacerbating this risk. Although reducing interest crediting rates can help offset decreases in net investment spreads on some products, our ability to reduce these rates is limited to the portion of our in-force product portfolio that has adjustable interest crediting rates, and could be limited by the actions of our competitors or contractually guaranteed minimum rates and may not match the timing or magnitude of changes in asset yields. As a result, our net investment spread would decrease or potentially become negative, which could have a material adverse effect on our results of operations and financial condition. See “Management’s Discussion and Analysis of Financial Condition and Results of Operations — Summary of Critical Accounting Estimates — Liability for Future Policy Benefits.”</w:t>
      </w:r>
    </w:p>
    <w:p>
      <w:pPr>
        <w:spacing w:after="0" w:line="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estimation of future net investment spreads is an important component in the amortization of DAC and VOBA. Significantly lower than anticipated net investment spreads reduce our net income and may cause us to accelerate amortization, thereby reducing net income in the affected reporting period and thereby potentially negatively affecting rating agency assessment of our financial condition.</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periods of declining interest rates our return on investments that do not support particular policy obligations may decrease. During periods of sustained lower interest rates, our reserves for policy liabilities may not be sufficient to meet future policy obligations and may need to be strengthened. Accordingly, declining and sustained lower interest rates may materially adversely affect our results of operations and financial condition, ability to take dividends from operating insurance companies and significantly reduce our profitability.</w:t>
      </w:r>
    </w:p>
    <w:p>
      <w:pPr>
        <w:spacing w:after="0" w:line="7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Increases in interest rates could also negatively affect our profitability. In periods of rapidly increasing interest rates, we may not be able to replace, in a timely manner, the investments in our general account with higher yielding investments needed to fund the higher crediting rates necessary to keep interest rate sensitive products competitive. We, therefore, may have to accept a lower credit spread and, thus, lower profitability or face a decline in sales and greater loss of existing contracts and related assets. In addition, policy loans, surrenders and withdrawals may tend to increase as policyholders seek investments with higher perceived returns as interest rates rise. This process may result in cash outflows requiring that we sell investments at a time when the prices of those investments are adversely affected by the increase in interest rates, which may result in realized investment losses. Unanticipated withdrawals, terminations and substantial policy amendments may cause us to accelerate the amortization of DAC and VOBA, which reduces net income and potentially negatively affects rating agency assessments of our financial condition. An increase in interest rates could also have a material adverse effect on the value of our investment portfolio, for example, by decreasing the estimated fair values of the fixed income securities and mortgage loans that comprise a significant portion of our investment portfolio. Finally, an increase in interest rates could result in decreased fee revenue associated with a decline in the value of variable annuity account balances invested in fixed income funds.</w:t>
      </w:r>
    </w:p>
    <w:p>
      <w:pPr>
        <w:spacing w:after="0" w:line="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manage interest rate risk as part of our asset and liability management strategies, which include (i) maintaining an investment portfolio with diversified maturities that has a weighted average duration that is approximately equal to the duration of our estimated liability cash flow profile, and (ii) a hedging program. For certain of our liability portfolios, it is not possible to invest assets to the full liability duration, thereby creating some asset/liability mismatch. Where a liability cash flow may exceed the maturity of available assets, as is the case with certain retirement products, we may support such liabilities with equity investments, derivatives or interest rate mismatch strategies. Although we take measures to manage the economic risks of investing in a changing interest rate environment, we may not be able to mitigate the interest rate risk of our fixed income investments relative to our interest sensitive liabilities. The level of interest rates also affects our liabilities for benefits under our annuity contracts. As interest rates decline we may need to increase our reserves for future benefits under our annuity contracts, which would adversely affect our results of operations and financial condition. See “Quantitative and Qualitative Disclosures About Market Risk — Risk Management — Market Risk - Fair Value Exposures — Interest Rates.”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2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while we use a risk mitigation strategy relating to our ULSG portfolio intended to reduce our risk to statutory capitalization and long-term economic exposures from sustained low levels of interest rates, this strategy will likely result in higher net income volatility due to the insensitivity of GAAP liabilities, to the change in interest rate levels. This strategy may adversely affect our results of operations and financial condition. See “— Risks Related to Our Business — Our ULSG asset requirement target may not ensure we have sufficient assets to meet our future ULSG policyholder obligations and may result in net income volatility.”</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Significant volatility in the markets could cause changes in the risks described above which, individually or in tandem, could have a material adverse effect on our results of operations, financial condition, liquidity or cash flows through realized investment losses, derivative losses, change in insurance liabilities, impairments, increased valuation allowances, increases in reserves for future policyholder benefits, reduced net investment income and changes in unrealized gain or loss positions.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spread risk</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exposure to credit spreads primarily relates to market price volatility. Market price volatility can make it difficult to value certain of our securities if trading becomes less frequent, as was the case, for example, during the financial crisis commencing in 2008. In such case, valuations may include assumptions or estimates that may have significant period-to-period changes, which could have a material adverse effect on our results of operations or financial condition and may require additional reserves. If there is a resumption of significant volatility in the markets, it could cause changes in credit spreads and defaults and a lack of pricing transparency which, individually or in tandem, could have a material adverse effect on our results of operations, financial condition or liquidity. An increase in credit spreads relative to U.S. Treasury benchmarks can also adversely affect the cost of our borrowing if we need to access credit markets.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risk</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primary exposure to equity relates to the potential for lower earnings associated with certain of our businesses where fee income is earned based upon the estimated market value of the separate account assets and other assets related to our variable annuity business. Because these products generate fees related primarily to the value of separate account assets and other assets under management, a decline in the equity markets could reduce our revenues as a result of the reduction in the value of the investments supporting those products and services. The variable annuity business in particular is highly sensitive to equity markets, and a sustained weakness or stagnation in the equity markets could decrease revenues and earnings with respect to those products. Furthermore, certain of our variable annuity products offer guaranteed benefits which increase our potential benefit exposure should equity markets decline or stagnate. We seek to mitigate the impact of such increased potential benefit exposures from market declines through the use of derivatives, reinsurance and capital management. However, such derivatives and reinsurance may become less available and, to the extent available, their price could materially increase in a period characterized by volatile equity markets. The risk of stagnation in equity market returns cannot be addressed by hedging.</w:t>
      </w:r>
    </w:p>
    <w:p>
      <w:pPr>
        <w:spacing w:after="0" w:line="5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a portion of our investments are in leveraged buy-out funds, hedge funds and other private equity funds. The amount and timing of net investment income from such funds tends to be uneven as a result of the performance of the underlying investments. The timing of distributions from such funds, which depends on particular events relating to the underlying investments, as well as the funds’ schedules for making distributions and their needs for cash, can be difficult to predict. As a result, the amount of net investment income from these investments can vary substantially from period to period. Significant volatility could adversely impact returns and net investment income on these alternative investments. In addition, the estimated fair value of such investments may be impacted by downturns or volatility in equity markets. See “— Investments-Related Risks — Our valuation of securities and investments and the determination of the amount of allowances and impairments taken on our investments are subjective and, if changed, could materially adversely affect our results of operations or financial condition.” In addition, we rely, and expect to continue to rely, on MetLife Investment Advisors, LLC (“MLIA”), a related party investment manager, for a period to provide the services required to manage the portfolio.</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risk</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 portion of our investment portfolio consists of mortgage loans on commercial, agricultural and residential real estate. Our exposure to this risk stems from various factors, including the supply and demand of leasable commercial space, creditworthiness of tenants and partners, capital markets volatility, interest rate fluctuations, agricultural prices and farm incomes. Although we manage credit risk and market valuation risk for our commercial, agricultural and residential real estate assets through geographic, property type and product type diversification and asset allocation, general economic conditions in the commercial, agricultural and residential real estate sectors will continue to influence the performance of these investments. These factors, which are beyond our control, could have a material adverse effect on our results of operations, financial condition, liquidity or cash flows. In addition, we rely, and expect to continue to rely, on MLIA for a period to provide the services required to manage the portfolio.</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2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Obligor-related risk</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Fixed income securities and mortgage loans represent a significant portion of our investment portfolio. We are subject to the risk that the issuers, or guarantors, of fixed income securities and mortgage loans we own may default on principal and interest payments they owe us. We are also subject to the risk that the underlying collateral within asset-backed securities (“ABS”), including mortgage-backed securities, may default on principal and interest payments causing an adverse change in cash flows. The occurrence of a major economic downturn, acts of corporate malfeasance, widening mortgage or credit spreads, or other events that adversely affect the issuers, guarantors or underlying collateral of these securities and mortgage loans could cause the estimated fair value of our portfolio of fixed income securities and mortgage loans and our earnings to decline and the default rate of the fixed income securities and mortgage loans in our investment portfolio to increase.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risk</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use the payments we receive from counterparties pursuant to derivative instruments we have entered into to offset future changes in the fair value of our assets and liabilities and current or future changes in cash flows. We enter into a variety of derivative instruments, including options, futures, forwards, and interest rate and credit default swaps with a number of counterparties. Amounts that we expect to collect under current and future derivatives are subject to counterparty risk. Our obligations under our products are not changed by our hedging activities and we are liable for our obligations even if our derivative counterparties do not pay us. Such defaults could have a material adverse effect on our financial condition and results of operations. Substantially all of our derivatives require us to pledge or receive collateral or make payments related to any decline in the net estimated fair value of such derivatives executed through a specific broker at a clearinghouse or entered into with a specific counterparty on a bilateral basis. In addition, ratings downgrades or financial difficulties of derivative counterparties may require us to utilize additional capital with respect to the impacted businesses. Furthermore, the valuation of our derivatives could change based on changes to our valuation methodology or the discovery of errors.</w:t>
      </w:r>
    </w:p>
    <w:p>
      <w:pPr>
        <w:spacing w:after="0" w:line="7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Federal banking regulators have recently adopted new rules that will apply to certain qualified financial contracts, including many derivatives contracts, securities lending agreements and repurchase agreements, with certain banking institutions and certain of their affiliates. These new rules, which will be applicable beginning in 2019, will generally require the banking institutions and their applicable affiliates to include contractual provisions in their qualified financial contracts that limit or delay certain rights of their counterparties including counterparties’ default rights (such as the right to terminate the contracts or foreclose on collateral) and restrictions on assignments and transfers of credit enhancements (such as guarantees) arising in connection with the banking institution or an applicable affiliate becoming subject to a bankruptcy, insolvency, resolution or similar proceeding. To the extent that any of the derivatives, securities lending agreements or repurchase agreements that we enter into are subject to these new rules, it could increase our counterparty risk or limit our recovery in the event of a default.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to the economic or counterparty risks described above which, individually or in tandem, could have a material adverse effect on our results of operations, financial condition, liquidity or cash flows through realized investment losses, derivative losses, change in insurance liabilities, impairments, increased valuation allowances, increases in reserves for future policyholder benefits, reduced net investment income and changes in unrealized gain or loss positions, we are also exposed to volatility risk with respect to any one or more of these economic risks. Significant volatility in the markets could cause changes in the risks set forth above which, individually or in tandem, could have a material adverse effect on our results of operations, financial condition, liquidity or cash flows through realized investment losses, derivative losses, change in insurance liabilities, impairments, increased valuation allowances, increases in reserves for future policyholder benefits, reduced net investment income and changes in unrealized gain or loss positions.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Legal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highly regulated, and changes in regulation and in supervisory and enforcement policies may materially impact our capitalization or cash flows, reduce our profitability and limit our growth</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subject to a wide variety of insurance and other laws and regulations. We are domiciled in Delaware and subject to regulation by the Delaware Department of Insurance and are also subject to other regulation in states in which we operate. See “Business — Regulation” as supplemented by discussions of regulatory developments in our subsequently filed Quarterly Reports on Form 10-Q under the caption “Management’s Discussion and Analysis of Financial Condition and Results of Operations — Business — Regulatory Developments.”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2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NAIC - Existing and proposed insurance regulation</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NAIC is an organization whose mission is to assist state insurance regulatory authorities in serving the public interest and achieving the insurance regulatory goals of its members, the state insurance regulatory officials. State insurance regulators may act independently or adopt regulations proposed by the NAIC. State insurance regulators and the NAIC regularly re-examine existing laws and regulations applicable to insurance companies and their products. Some NAIC pronouncements take effect automatically in the various states, particularly with respect to accounting issues. Statutes, regulations and interpretations may be applied with retroactive impact, particularly in areas such as accounting and reserve requirements. Changes in existing laws and regulations, or in interpretations thereof, can sometimes lead to additional expense for the insurer and, thus, could have a material adverse effect on our financial condition and results of operations.</w:t>
      </w:r>
    </w:p>
    <w:p>
      <w:pPr>
        <w:spacing w:after="0" w:line="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regulators raise issues during examinations or audits of us that could, if determined adversely, have a material adverse effect on us. In addition, the interpretations of regulations by regulators may change and statutes may be enacted with retroactive impact, particularly in areas such as accounting or statutory reserve requirements. Compliance with applicable laws and regulations is time consuming and personnel-intensive, and changes in these laws and regulations may materially increase our direct and indirect compliance and other expenses of doing business, thus having a material adverse effect on our financial condition and results of operations.</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2014, the NAIC approved a new regulatory framework applicable to the use of captive insurers in connection with Regulation XXX and Guideline AXXX transactions. This could impact our competitiveness and have a material adverse effect on our results of operations and financial condition. See “— Risks Related to Our Business — We may not be able to take credit for reinsurance, our statutory life insurance reserve financings may be subject to cost increases and new financings may be subject to limited market capacity.”</w:t>
      </w:r>
    </w:p>
    <w:p>
      <w:pPr>
        <w:spacing w:after="0" w:line="7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In 2015, the NAIC commissioned an initiative to identify changes to the statutory framework for variable annuities that can remove or mitigate the motivation for insurers to engage in captive reinsurance transactions. In September 2015, a third-party consultant engaged by the NAIC provided the NAIC with a preliminary report covering several sets of recommendations regarding AG 43 and RBC C3 Phase II reserve requirements. These recommendations generally focus on (1) addressing inconsistencies between the statutory reserve and RBC regimes, (2) mitigating the asset-liability accounting mismatch between hedge instruments and statutory instruments and statutory liabilities, (3) removing the non-economic volatility in statutory total asset requirements and the resulting solvency ratios and (4) facilitating greater harmonization across insurers and products for greater comparability. An updated variable annuity reserve and capital framework proposal was presented at the August 2016 NAIC meeting, followed by a 90-day comment period on the proposal. This updated proposal included the initial recommendations from 2015, but also some new aspects. The standard scenario floor for reserves may incorporate multiple paths instead of the current single deterministic scenario, also known as the standard scenario. The stochastic calculations may include alternative calibration criteria for equities and other market risk factors, and the RBC C3 Phase II component may reflect a new level of capitalization. The NAIC is continuing its consideration of these recommendations. These recommendations, if adopted, would likely apply to all existing business and may materially change the sensitivity of reserve and capital requirements to capital markets including interest rate, equity markets and volatility, as well as prescribed assumptions for policyholder behavior. It is not possible at this time to predict whether the amount of reserves or capital required to support our variable annuity contracts would increase or decrease if the NAIC adopts any new model laws, regulations and/or other standards applicable to variable annuity business after considering such recommendations, nor is it possible to predict the materiality of any such increase or decrease. It is also not possible to predict the extent to which any such model laws, regulations and/or other standards would affect the effectiveness and design of our risk mitigation and hedging programs. Furthermore, no assurances can be given to whether any such model laws, regulations and/or other standards will be adopted or to the timing of any such adoption.</w:t>
      </w:r>
    </w:p>
    <w:p>
      <w:pPr>
        <w:spacing w:after="0" w:line="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NAIC has adopted a new approach for the calculation of life insurance reserves, known as PBR. PBR became operative on January 1, 2017 in those states where it has been adopted, to be followed by a three-year phase-in period for business issued on or after this date. With respect to the states in which our insurance subsidiaries are domiciled: in Delaware, the Delaware Department of Insurance implemented PBR on January 1, 2017; in New York where our subsidiary, BHNY is domiciled, the NYDFS has publicly stated its intention to implement this approach subject to a working group of the NYDFS establishing the necessary reserves safeguards and the adopting of enabling legislation by the New York legislature. We cannot predict how PBR will impact our reserves or compliance costs, if any. See “Business — Regulation — Insurance Regulation — NAIC.”</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2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NAIC, as well as certain state regulators are currently considering implementing regulations that would apply an impartial conduct standard similar to the Fiduciary Rule to recommendations made in connection with certain annuities, and in the case of New York, life insurance policies. In particular, on December 27, 2017, the NYDFS proposed regulations that would adopt a “best interest” standard for the sale of life insurance and annuity products in New York. The likelihood of enactment of these regulations is uncertain at this time, but if implemented, these regulations could have significant adverse effects on our business and consolidated results of operations. Generally, changes in laws and regulations, or in interpretations thereof, including potentially rescinding prior product approvals, are often made for the benefit of the consumer at the expense of the insurer and could materially and adversely affect our business, results of operations or financial condition.</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NAIC is developing a U.S. group capital calculation using an RBC aggregation methodology. We cannot predict with any certainty when the group capital calculation might be implemented or the impact (if any) that such implementation may have on our capital requirements, compliance costs or other aspects of our business.</w:t>
      </w:r>
    </w:p>
    <w:p>
      <w:pPr>
        <w:spacing w:after="0" w:line="73"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In addition, following the reduction in the federal corporate income tax rate pursuant to federal tax reform, the NAIC may revise the methodology or factors used to calculate RBC, which is the denominator of the RBC ratio. If such potential revisions to the NAIC’s RBC calculation would result in a reduction in our RBC ratio below certain prescribed levels, we may be required to hold additional capital. Any reduction in our RBC ratio could adversely affect our financial strength ratings. For more information regarding federal tax reform, see “Business — Regulation — Federal Tax Reform.”</w:t>
      </w:r>
    </w:p>
    <w:p>
      <w:pPr>
        <w:spacing w:after="0" w:line="6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NAIC has started work related to macro-prudential initiatives. Currently, the NAIC is focused on liquidity, but other macro-prudential topics of focus are expected to include recovery and resolution, capital stress testing and exposure concentrations.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insurance guaranty associations</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Most of the jurisdictions in which we transact business require life insurers doing business within the jurisdiction to participate in guaranty associations. These associations are organized to pay contractual benefits owed pursuant to insurance policies issued by impaired, insolvent or failed insurers, or those that may become impaired, insolvent or fail, for example, following the occurrence of one or more catastrophic events. These associations levy assessments, up to prescribed limits, on all member insurers in a particular state on the basis of the proportionate share of the premiums written by member insurers in the lines of business in which the impaired, insolvent or failed insurer is engaged. In addition, certain states have government owned or controlled organizations providing life insurance to their citizens. The activities of such organizations could also place additional stress on the adequacy of guaranty fund assessments. Many of these organizations also have the power to levy assessments similar to those of the guaranty associations described above. Some states permit member insurers to recover assessments paid through full or partial premium tax offsets. See “Business — Regulation — Insurance Regulation — Guaranty Associations and Similar Arrangements.”</w:t>
      </w:r>
    </w:p>
    <w:p>
      <w:pPr>
        <w:spacing w:after="0" w:line="7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of 2017, the NAIC approved revisions to its Life and Health Insurance Guaranty Association Model Act governing assessments for long-term care insurance. The revisions include a 50/50 split between life and health carriers for future long-term care insolvencies, the inclusion of HMOs in the assessment base, and no change to the premium tax offset. Several states are now considering legislation to codify these changes into law, and more states are expected to propose legislation in their 2018 legislative sessions.</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It is possible that additional insurance company insolvencies or failures could render the guaranty funds from assessments previously levied against us inadequate and we may be called upon to contribute additional amounts, which may have a material impact on our financial condition or results of operations in a particular period. We have established liabilities for guaranty fund assessments that we consider adequate, but additional liabilities may be necessary. See “Business — Regulation — Insurance Regulation — Guaranty Associations and Similar Arrangements.”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2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 Insurance regulation</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Currently, the U.S. federal government does not directly regulate the business of insurance. However, Dodd-Frank established the FIO within the Department of the Treasury, which has the authority to, among other things, collect information about the insurance industry, negotiate covered agreements with one or more foreign governments and recommend prudential standards. On December 12, 2013, the FIO issued a report, mandated by Dodd-Frank, which, among other things, urged the states to modernize and promote greater uniformity in insurance regulation. The report raised the possibility of a greater role for the federal government if states do not achieve greater uniformity in their laws and regulations. Following the transition occurring in the federal government and the priorities of the Trump administration, we cannot predict whether any such legislation or regulatory changes will be adopted, or what impact they will have on our business, financial condition or results of operations. The Trump administration and the Republican party have expressed goals to dismantle or roll back Dodd-Frank and President Trump has issued an executive order that calls for a comprehensive review of Dodd-Frank in light of certain enumerated core principles of financial system regulation. On June 8, 2017, the U.S. House of Representatives passed the Financial CHOICE Act of 2017, which proposed to amend or repeal various sections of Dodd-Frank. This proposed legislation will now be considered by the U.S. Senate. We are not able to predict whether any such proposal to roll back Dodd-Frank would have a material effect on our business operations and cannot currently identify the risks, if any, that may be posed to our businesses as a result of changes to, or legislative replacements for, Dodd-Frank.</w:t>
      </w:r>
    </w:p>
    <w:p>
      <w:pPr>
        <w:spacing w:after="0" w:line="6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Federal legislation and administrative policies can significantly and adversely affect insurance companies, including policies regarding financial services regulation, securities regulation, derivatives regulation, pension regulation, privacy, tort reform legislation and taxation. In addition, various forms of direct and indirect federal regulation of insurance have been proposed from time to time, including proposals for the establishment of an optional federal charter for insurance companies.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Department of Labor and ERISA considerations</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manufacture annuities for third parties to sell to tax-qualified pension plans, retirement plans and IRAs, as well as individual retirement annuities sold to individuals that are subject to ERISA or the Code. Also, a portion of our in-force life insurance products are held by tax-qualified pension and retirement plans. While we currently believe manufacturers do not have as much exposure to ERISA and the Code as distributors, certain activities are subject to the restrictions imposed by ERISA and the Code, including the requirement under ERISA that fiduciaries must perform their duties solely in the interests of ERISA plan participants and beneficiaries, and those fiduciaries may not cause a covered plan to engage in certain prohibited transactions. The prohibited transaction rules of ERISA and the Code generally restrict the provision of investment advice to ERISA qualified plans and participants and IRAs if the investment recommendation results in fees paid to the individual advisor, the firm that employs the advisor or their affiliates that vary according to the investment recommendation chosen. Similarly, without an exemption, fiduciary advisors are prohibited from receiving compensation from third parties in connection with their advice. ERISA also affects certain of our in-force insurance policies and annuity contracts, as well as insurance policies and annuity contracts we may sell in the future.</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DOL issued the Fiduciary Rule on April 6, 2016, which became applicable on June 9, 2017. As initially adopted, the Fiduciary Rule substantially expands the definition of “investment advice” and requires that an impartial or “best interests” standard be met in providing such advice, thereby broadening the circumstances under which we or our representatives, in providing investment advice with respect to ERISA plans, plan participants or IRAs, could be deemed a fiduciary under ERISA or the Code. Pursuant to the Fiduciary Rule, certain communications with plans, plan participants and IRA owners, including the marketing of products, and marketing of investment management or advisory services, could be deemed fiduciary investment advice, thus causing increased exposure to fiduciary liability if the distributor does not recommend what is in the client’s best interests.</w:t>
      </w:r>
    </w:p>
    <w:p>
      <w:pPr>
        <w:spacing w:after="0" w:line="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connection with the promulgation of the Fiduciary Rule, the DOL also issued amendments to certain of its prohibited transaction exemptions, and issued BIC, a new prohibited transaction exemption that imposes more significant disclosure and contract requirements to certain transactions involving ERISA plans, plan participants and IRAs. The new and amended exemptions increase fiduciary requirements and fiduciary liability exposure for transactions involving ERISA plans, plan participants and IRAs. The application of the BIC contract and point of sale disclosures required under BIC and the changes made to prohibited transaction exemption 84-24 were delayed until July 1, 2019, except for the impartial conduct standards (i.e., compliance with the “best interest” standard, reasonable compensation, and no misleading statements), which are applicable as of June 9, 2017.</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2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February 3, 2017, President Trump, in a memorandum to the Secretary of Labor, requested that the DOL prepare an updated economic and legal analysis concerning the likely impact of the new rules, and possible revisions to the rules. In response to President Trump’s request, on June 29, 2017, the DOL issued a request for information related to the Fiduciary Rule and the DOL’s new and amended exemptions that were published in conjunction with the final rule. The request for information sought public input that could lead to new exemptions or changes and revisions to the final rule. On November 29, 2017, the DOL finalized an 18-month delay from January 1, 2018 to July 1, 2019, of the applicability of significant portions of the previously proposed exemptions (including BIC and prohibited transaction exemption 84-24), to afford sufficient time to review further the previously adopted rules and such exemptions. The DOL also updated its enforcement policy to indicate that the DOL and IRS will not pursue claims, until July 1, 2019, against fiduciaries who are working diligently and in good faith to comply with the final Fiduciary Rule or treat those fiduciaries as being in violation of the final rule.</w:t>
      </w:r>
    </w:p>
    <w:p>
      <w:pPr>
        <w:spacing w:after="0" w:line="5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March 15, 2018, the U.S. Court of Appeals for the Fifth Circuit issued a decision vacating the Fiduciary Rule, overturning a lower court ruling that rejected a challenge to the rule. The Court of Appeals decision, if allowed to stand, would nullify the Fiduciary Rule in its entirety. As of the filing date of this Annual Report on Form 10-K, another case challenging the Fiduciary Rule was pending before the U.S. Court of Appeals for the District of Columbia Circuit.</w:t>
      </w:r>
    </w:p>
    <w:p>
      <w:pPr>
        <w:spacing w:after="0" w:line="3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While we continue to analyze the impact of the final regulations on our business and have worked diligently to comply with the final rule, subject to its continued applicability, we anticipate that we will need to undertake certain additional tasks in order to comply with certain of the exemptions provided in the DOL regulations, including additional compliance reviews of material shared with distributors, wholesaler and call center training, and product reporting and analysis. The change of administration, the DOL’s June 29, 2017 request for information related to the Fiduciary Rule and related exemptions, the November 29, 2017 extension of the applicability of many of the conditions of the proposed and revised exemptions, and the March 15, 2018 Court of Appeals decision leave uncertainty over whether the regulations will be substantially modified, repealed or vacated. This uncertainty could create confusion among our distribution partners, which could negatively impact product sales. We cannot predict what other proposals may be made, what legislation or regulations may be introduced or enacted, or what impact any such legislation or regulations may have on our business, results of operations and financial condition. See also “— NAIC — Existing and proposed insurance regulation” for a discussion of efforts by the NAIC and state regulators to implement regulations that would apply an impartial conduct standard similar to the Fiduciary Rule.</w:t>
      </w:r>
    </w:p>
    <w:p>
      <w:pPr>
        <w:spacing w:after="0" w:line="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While the Fiduciary Rule also provides that, to a limited extent, contracts sold and advice provided prior to the applicable date would not have to be modified to comply with the new investment advice regulations, there is lack of clarity surrounding some of the conditions for qualifying for this limited exception. There can be no assurance that the DOL will agree with our interpretation of these provisions, in which case the DOL and IRS could assess significant penalties against a portion of products sold prior to the applicable date of the new regulations. The assessment of such penalties could also trigger substantial litigation risk. Any such penalties and related litigation could adversely affect our results of operations and financial condition.</w:t>
      </w:r>
    </w:p>
    <w:p>
      <w:pPr>
        <w:spacing w:after="0" w:line="6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While we continue to analyze the impact of the final regulation on our business and its continued applicability, we believe it could have an adverse effect on sales of annuity products to ERISA qualified plans and IRAs through our independent distribution partners. A significant portion of our annuity sales are to IRAs. The new regulation deems advisors, including independent distributors, who sell fixed index-linked annuities to IRAs, IRA rollovers or 401(k) plans, to be fiduciaries and prohibits them from receiving compensation unless they comply with a prohibited transaction exemption. The relevant exemption requires advisors to comply with impartial conduct standards and may require us to exercise additional oversight of the sales process. Compliance with the prohibited transaction exemptions will likely result in increased regulatory burdens on us and our independent distribution partners, changes to our compensation practices and product offerings and increased litigation risk, which could adversely affect our results of operations and financial condition. See “Business — Regulation — Department of Labor and ERISA Considerations.”</w:t>
      </w:r>
    </w:p>
    <w:p>
      <w:pPr>
        <w:spacing w:after="0" w:line="7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NAIC and certain regulators, including the NYDFS, have proposed a “best interest” standard become part of their suitability requirements. These new rules could increase the amount of training and documentation of sales practices required between us, our distributors and their advisors. Depending on the final version of these rules, we could be exposed to regulatory penalties if and when the best interest standard is not met.</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 decrease in our RBC ratio (as a result of a reduction in statutory surplus and/or increase in RBC requirements) of our insurance subsidiaries could result in increased scrutiny by insurance regulators and rating agencies and have a material adverse effect on our results of operations and financial condition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2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NAIC has established model regulations that provide minimum capitalization requirements based on RBC formulas for insurance companies. The RBC formula for life insurance companies establishes capital requirements relating to asset, insurance, interest rate, market and business risks, including equity, interest rate and expense recovery risks associated with variable annuities that contain certain guaranteed minimum death and living benefits. We are subject to RBC standards and/or other minimum statutory capital and surplus requirements imposed under Delaware insurance law. See “Business — Regulation — Insurance Regulation — Surplus and Capital; Risk-Based Capital.”</w:t>
      </w:r>
    </w:p>
    <w:p>
      <w:pPr>
        <w:spacing w:after="0" w:line="8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any particular year, statutory surplus amounts and RBC ratios may increase or decrease depending on a variety of factors, including the amount of statutory income or losses generated by us (which itself is sensitive to equity market and credit market conditions), the amount of additional capital we must hold to support business growth, changes in equity market levels, the value and credit ratings of certain fixed-income and equity securities in our investment portfolio, the value of certain derivative instruments that do not receive hedge accounting and changes in interest rates, as well as changes to the RBC formulas and the interpretation of the NAIC’s instructions with respect to RBC calculation methodologies. Our financial strength ratings are significantly influenced by statutory surplus amounts and RBC ratios. In addition, rating agencies may implement changes to their own internal models, which differ from the RBC capital model, that have the effect of increasing or decreasing the amount of statutory capital we should hold relative to the rating agencies’ expectations. Under stressed or stagnant capital market conditions and with the aging of existing insurance liabilities, without offsets from new business, the amount of additional statutory reserves that we are required to hold may materially increase. This increase in reserves would decrease the statutory surplus available for use in calculating our RBC ratio. To the extent that our RBC ratio is deemed to be insufficient, we may seek to take actions either to increase our capitalization or to reduce the capitalization requirements. If we were unable to accomplish such actions, the rating agencies may view this as a reason for a ratings downgrade.</w:t>
      </w:r>
    </w:p>
    <w:p>
      <w:pPr>
        <w:spacing w:after="0" w:line="7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failure to meet our RBC requirements or minimum capital and surplus requirements could subject us to further examination or corrective action imposed by the Delaware Department of Insurance or other state insurance regulators, including limitations on our ability to write additional business, supervision by regulators or seizure or liquidation. Any corrective action imposed could have a material adverse effect on our business, results of operations and financial condition. A decline in RBC ratios, whether or not it results in a failure to meet applicable RBC requirements, may still limit our ability to make dividends or distributions to our parent company, could result in a loss of customers or new business, and could be a factor in causing ratings agencies to downgrade our financial strength ratings, each of which could have a material adverse effect on our business, results of operations and financial condition.</w:t>
      </w:r>
    </w:p>
    <w:p>
      <w:pPr>
        <w:spacing w:after="0" w:line="5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The Dodd-Frank provisions compelling the liquidation of certain types of financial institutions could materially and adversely affect us, as such a financial institution and as an investor in or counterparty to other such financial institutions, as well as our respective investors</w:t>
      </w:r>
    </w:p>
    <w:p>
      <w:pPr>
        <w:spacing w:after="0" w:line="3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Under provisions of Dodd-Frank, if we or another financial institution were to become insolvent or were in danger of defaulting on our or its respective obligations and it was determined that such default would have serious effects on financial stability in the United States, we or such other financial institution could be compelled to undergo liquidation with the FDIC as receiver. Under this new regime, we would be resolved in accordance with state insurance law. If the FDIC were to be appointed as the receiver for another type of company (including an insurance holding company such as Brighthouse Financial, Inc.), the liquidation of that company would occur under the provisions of the new liquidation authority, and not under the Bankruptcy Code, which ordinarily governs liquidations. In an FDIC-managed liquidation, holders of a company’s debt could in certain respects be treated differently than they would be under the Bankruptcy Code and similarly situated creditors could be treated differently. In particular, unsecured creditors and shareholders are intended to bear the losses of the company being liquidated. These provisions could apply to some financial institutions whose debt securities Brighthouse holds in its investment portfolios and could adversely affect the respective positions of creditors and the value of their respective holdings.</w:t>
      </w:r>
    </w:p>
    <w:p>
      <w:pPr>
        <w:spacing w:after="0" w:line="5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Dodd-Frank also provides for the assessment of charges against certain financial institutions, including non-bank systemically important financial institutions and bank holding companies, to cover the costs of liquidating any financial company subject to the new liquidation authority. The liquidation authority could increase the funding charges assessed against Brighthouse.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2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subject to U.S. federal, state and other securities and state insurance laws and regulations which, among other things, require that we distribute certain of our products through a registered broker-dealer; failure to comply with these laws or changes to these laws may have a material adverse effect on our operations and our profitability</w:t>
      </w:r>
    </w:p>
    <w:p>
      <w:pPr>
        <w:spacing w:after="0" w:line="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Federal and state securities laws and regulations apply to insurance products that are also “securities,” including variable annuity contracts and variable life insurance policies, to the separate accounts that issue them, and to certain fixed interest rate or index-linked contracts (“registered fixed annuity contracts”). Such laws and regulations require that we distribute these products through a broker-dealer that is registered with the SEC and certain state securities regulators and is a member of FINRA. Accordingly, by offering and selling of variable annuity contracts, variable life insurance policies and registered fixed annuity contracts, and in managing certain proprietary mutual funds associated with those products, we are subject to, and bear the costs of compliance with, extensive regulation under federal and state securities laws, as well as FINRA rules. Due to the increased operating and compliance costs, the profitability of issuing these products is uncertain.</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While prior to the Separation we relied on a MetLife-affiliated broker-dealer to distribute our variable and registered fixed products, we currently and in the future will utilize Brighthouse Securities, LLC (“Brighthouse Securities”), a subsidiary Brighthouse acquired from MetLife in the Separation. Brighthouse Securities is a FINRA member and a broker-dealer registered with the SEC and applicable state regulators.</w:t>
      </w:r>
    </w:p>
    <w:p>
      <w:pPr>
        <w:spacing w:after="0" w:line="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Federal and state securities laws and regulations are primarily intended to ensure the integrity of the financial markets, to protect investors in the securities markets, and to protect investment advisory or brokerage clients. These laws and regulations generally grant regulatory and self-regulatory agencies broad rulemaking and enforcement powers, including the power to adopt new rules impacting new and/or existing products, regulate the issuance, sale and distribution of our products and limit or restrict the conduct of business for failure to comply with securities laws and regulations.</w:t>
      </w:r>
    </w:p>
    <w:p>
      <w:pPr>
        <w:spacing w:after="0" w:line="6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As a result of Dodd-Frank and the Fiduciary Rule, there have been a number of proposed or adopted changes to the laws and regulations that govern the conduct of our variable and registered fixed insurance products business and the firms that distribute these products. The future impact of recently adopted revisions to laws and regulations, as well as revisions that are still in the proposal stage, on the way we conduct our business and the products we sell is unclear. Such impact could adversely affect our operations and profitability, including increasing the regulatory and compliance burden upon us, resulting in increased costs, or limiting the type, amount or structure of compensation arrangements into which we may enter with certain of our employees, negatively impacting our ability to compete with other companies in recruiting and maintaining key personnel. See “Business — Regulation — Insurance Regulation — Federal Initiatives.” However, following the change of administration, we cannot predict with certainty whether any such proposals will be adopted, or what impact adopted revisions will have on our business, financial condition or results of operations. See “— Our business is highly regulated, and changes in regulation and in supervisory and enforcement policies may materially impact our capitalization or cash flows, reduce our profitability and limit our growth.”</w:t>
      </w:r>
    </w:p>
    <w:p>
      <w:pPr>
        <w:spacing w:after="0" w:line="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global financial crisis has led to significant changes in economic and financial markets that have, in turn, led to a dynamic competitive landscape for variable and registered fixed annuity contract issuers. Our ability to react to rapidly changing market and economic conditions will depend on the continued efficacy of provisions we have incorporated into our product design allowing frequent and contemporaneous revisions of key pricing elements and our ability to work collaboratively with federal securities regulators. Changes in regulatory approval processes, rules and other dynamics in the regulatory process could adversely impact our ability to react to such changing conditions.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tax laws or interpretations of such laws could reduce our earnings and materially impact our operations by increasing our corporate taxes and making some of our products less attractive to consumers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Changes in tax laws could have a material adverse effect on our profitability and financial condition, and could result in our incurring materially higher corporate taxes. Higher tax rates may adversely affect our business, financial condition, results of operations and liquidity. Conversely, if tax rates decline it could adversely affect the desirability of our products.</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22, 2017, President Trump signed into law sweeping changes to the tax code (the “Tax Act”). The Tax Act reduced the corporate tax rate to 21%, reduced interest expense deductibility, increased capitalization amounts for deferred acquisition costs, eliminated the corporate alternative minimum tax, provided for determining reserve deductions at 92.81% of statutory reserves, and reduced the dividend received deduction. Most of the changes in the Tax Act are effective as of January 1, 2018.</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reduction in the corporate rate will require a one-time remeasurement of certain deferred tax items. For additional information on the estimated impact of the Tax Act on our financial statements, including the estimated impact resulting from the remeasurement of our deferred tax assets and liabilities, see Note 13 (“Income Tax”) of the Notes to the Consolidated Financial Statements. Our actual results may materially differ from our current estimate due to, among other things, further guidance that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2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may be issued by U.S. tax authorities or regulatory bodies and/or changes in interpretations and assumptions we have preliminarily made. We will continue to analyze the Tax Act to finalize its financial statement impact.</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Litigation and regulatory investigations are increasingly common in our businesses and may result in significant financial losses and/or harm to our reputation</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face a significant risk of litigation and regulatory investigations and actions in the ordinary course of operating our businesses, including the risk of class action lawsuits. Our pending legal and regulatory actions include proceedings specific to us, as well as other proceedings that raise issues that are generally applicable to business practices in the industries in which we operate. In connection with our insurance operations, plaintiffs’ lawyers may bring or are bringing class actions and individual suits alleging, among other things, issues relating to sales or underwriting practices, claims payments and procedures, product design, disclosure, administration, investments, denial or delay of benefits and breaches of fiduciary or other duties to customers. Plaintiffs in class action and other lawsuits against us may seek very large and/or indeterminate amounts, including punitive and treble damages. Due to the vagaries of litigation, the outcome of a litigation matter and the amount or range of potential loss at particular points in time may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at trial, or on appeal. Disposition valuations are also subject to the uncertainty of how opposing parties and their counsel will themselves view the relevant evidence and applicable law. Material pending litigation and regulatory matters affecting us and risks to our business presented by these proceedings, if any, are discussed in Note 14 of the Notes to the Consolidated Financial Statements.</w:t>
      </w:r>
    </w:p>
    <w:p>
      <w:pPr>
        <w:spacing w:after="0" w:line="7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substantial legal liability or a significant federal, state or other regulatory action against us, as well as regulatory inquiries or investigations, could harm our reputation, result in material fines or penalties, result in significant legal costs and otherwise have a material adverse effect on our business, financial condition and results of operations. Even if we ultimately prevail in the litigation, regulatory action or investigation, our ability to attract new customers, retain our current customers and recruit and retain employees could be materially and adversely impacted. Regulatory inquiries and litigation may also cause volatility in the price of stocks of companies in our industry.</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Current claims, litigation, unasserted claims probable of assertion, investigations and other proceedings against us could have a material adverse effect on our business, financial condition or results of operations. It is also possible that related or unrelated claims, litigation, unasserted claims probable of assertion, investigations and proceedings may be commenced in the future, and we could become subject to further investigations and have lawsuits filed or enforcement actions initiated against us. Increased regulatory scrutiny and any resulting investigations or proceedings in any of the jurisdictions where we operate could result in new legal actions and precedents or changes in regulations that could adversely affect our business, financial condition and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Investments-Related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Should the need arise, we may have difficulty selling certain holdings in our investment portfolio or in our securities lending program in a timely manner and realizing full value given that not all assets are liquid</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There may be a limited market for certain investments we hold in our investment portfolio, making them relatively illiquid. These include privately-placed fixed maturity securities, derivative instruments such as options, mortgage loans, policy loans, leveraged leases, other limited partnership interests, and real estate equity, such as real estate joint ventures and funds. In the past, even some of our very high quality investments experienced reduced liquidity during periods of market volatility or disruption. If we were forced to sell certain of our investments during periods of market volatility or disruption, market prices may be lower than our carrying value in such investments. This could result in realized losses which could have a material adverse effect on our results of operations and financial condition, as well as our financial ratios, which could affect compliance with our credit instruments and rating agency capital adequacy measures.</w:t>
      </w:r>
    </w:p>
    <w:p>
      <w:pPr>
        <w:spacing w:after="0" w:line="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Similarly, we loan blocks of our securities to third parties (primarily brokerage firms and commercial banks) through our securities lending program, including fixed maturity securities and short-term investments. Under this program, we obtain collateral, usually cash, at the inception of a loan and typically purchase securities with the cash collateral. Upon the return to us of these loaned securities, we must return to the third-party the cash collateral we received. If the cash collateral has been invested in securities, we need to sell the securities. However, in some cases, the maturity of those securities may exceed the term of the related securities on loan and the estimated fair value of the securities we need to sell may fall below the amount of cash received.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2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If we are required to return significant amounts of cash collateral in connection with our securities lending or otherwise need significant amounts of cash on short notice and we are forced to sell securities, we may have difficulty selling such collateral that is invested in securities in a timely manner, be forced to sell securities in a volatile or illiquid market for less than we otherwise would have been able to realize under normal market conditions, or both. In the event of a forced sale, accounting guidance requires the recognition of a loss for securities in an unrealized loss position and may require the impairment of other securities based on our ability to hold those securities, which would negatively impact our financial condition, as well as our financial ratios, which could affect compliance with our credit instruments and rating agency capital adequacy measures. In addition, under stressful capital market and economic conditions, liquidity broadly deteriorates, which may further restrict our ability to sell securities. Furthermore, if we decrease the amount of our securities lending activities over time, the amount of net investment income generated by these activities will also likely decline. See “Management’s Discussion and Analysis of Financial Condition and Results of Operations — Liquidity and Capital Resources — Liquidity — Securities Lending.”</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requirements to pledge collateral or make payments related to declines in estimated fair value of derivatives transactions or specified assets in connection with OTC-cleared, OTC-bilateral transactions and exchange traded derivatives may adversely affect our liquidity, expose us to central clearinghouse and counterparty credit risk, and increase our costs of hedging</w:t>
      </w:r>
    </w:p>
    <w:p>
      <w:pPr>
        <w:spacing w:after="0" w:line="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Many of our derivatives transactions require us to pledge collateral related to any decline in the net estimated fair value of such derivatives transactions executed through a specific broker at a clearinghouse or entered into with a specific counterparty on a bilateral basis. The amount of collateral we may be required to pledge and the payments we may be required to make under our derivatives transactions may increase under certain circumstances and will increase as a result of the requirement to pledge initial margin for OTC-cleared transactions entered into after June 10, 2013 and for OTC-bilateral transactions entered into after the phase-in period, which would be applicable to us in 2020 as a result of the adoption by the Office of the Comptroller of the Currency, the Federal Reserve Board, FDIC, Farm Credit Administration and Federal Housing Finance Agency (collectively, the “Prudential Regulators”), and the CFTC of final margin requirements for non-centrally cleared derivatives. Although the final rules allow us to pledge a broad range of non-cash collateral as initial and variation margin, the Prudential Regulators, CFTC, central clearinghouses and counterparties may restrict or eliminate certain types of previously eligible collateral, or charge us to pledge such non-cash collateral, which would increase our costs and could adversely affect our liquidity and the composition of our investment portfolio.</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Gross unrealized losses on fixed maturity and equity securities and defaults, downgrades or other events may result in future impairments to the carrying value of such securities, resulting in a reduction in our net income</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Fixed maturity and equity securities classified as available-for-sale (“AFS”) securities are reported at their estimated fair value. Unrealized gains or losses on AFS securities are recognized as a component of other comprehensive income (loss) (“OCI”) and are, therefore, excluded from net income. In recent periods, as a result of low interest rates, the unrealized gains on our fixed maturity securities have exceeded the unrealized losses. However, if interest rates rise, our unrealized gains would decrease and our unrealized losses would increase, perhaps substantially. The accumulated change in estimated fair value of these AFS securities is recognized in net income when the gain or loss is realized upon the sale of the security or in the event that the decline in estimated fair value is determined to be other-than-temporary and impairment charges to earnings are taken.</w:t>
      </w:r>
    </w:p>
    <w:p>
      <w:pPr>
        <w:spacing w:after="0" w:line="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occurrence of a major economic downturn, acts of corporate malfeasance, widening credit risk spreads, or other events that adversely affect the issuers or guarantors of securities or the underlying collateral of structured securities could cause the estimated fair value of our fixed maturity securities portfolio and corresponding earnings to decline and cause the default rate of the fixed maturity securities in our investment portfolio to increase. A ratings downgrade affecting issuers or guarantors of particular securities, or similar trends that could worsen the credit quality of issuers, such as the corporate issuers of securities in our investment portfolio, could also have a similar effect. With economic uncertainty, credit quality of issuers or guarantors could be adversely affected. Similarly, a ratings downgrade affecting a security we hold could indicate the credit quality of that security has deteriorated and could increase the capital we must hold to support that security to maintain our RBC levels. Levels of write-downs or impairments are impacted by intent to sell, or our assessment of the likelihood that we will be required to sell, fixed maturity securities, as well as our intent and ability to hold equity securities which have declined in value until recovery. Realized losses or impairments on these securities may have a material adverse effect on our results of operations and financial condition in, or at the end of, any quarterly or annual period.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2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valuation of securities and investments and the determination of the amount of allowances and impairments taken on our investments are subjective and, if changed, could materially adversely affect our results of operations or financial condition</w:t>
      </w:r>
    </w:p>
    <w:p>
      <w:pPr>
        <w:spacing w:after="0" w:line="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Fixed maturity and equity securities, as well as short-term investments that are reported at estimated fair value, represent the majority of our total cash and investments. We define fair value generally as the price that would be received to sell an asset or paid to transfer a liability. Considerable judgment is often required in interpreting market data to develop estimates of fair value, and the use of different assumptions or valuation methodologies may have a material effect of the estimated fair value amounts. During periods of market disruption, including periods of significantly rising or high interest rates, rapidly widening credit spreads or illiquidity, it may be difficult to value certain of our securities if trading becomes less frequent and/or market data becomes less observable. In addition, in times of financial market disruption, certain asset classes that were in active markets with significant observable data may become illiquid. In those cases, the valuation process includes inputs that are less observable and require more subjectivity and management judgment. Valuations may result in estimated fair values which vary significantly from the amount at which the investments may ultimately be sold. Further, rapidly changing and unprecedented credit and equity market conditions could materially impact the valuation of securities as reported within our consolidated financial statements and the period-to-period changes in estimated fair value could vary significantly. Decreases in the estimated fair value of securities we hold may have a material adverse effect on our financial condition. See “Management’s Discussion and Analysis of Financial Condition and Results of Operations — Summary of Critical Accounting Estimates — Estimated Fair Value of Investments.”</w:t>
      </w:r>
    </w:p>
    <w:p>
      <w:pPr>
        <w:spacing w:after="0" w:line="6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determination of the amount of allowances and impairments varies by investment type and is based upon our periodic evaluation and assessment of known and inherent risks associated with the respective asset class. Such evaluations and assessments are revised as conditions change and new information becomes available. We reflect any changes in allowances and impairments in earnings as such evaluations are revised. However, historical trends may not be indicative of future impairments or allowances. In addition, any such future impairments or allowances could have a materially adverse effect on our earnings and financial position. See “Management’s Discussion and Analysis of Financial Condition and Results of Operations — Summary of Critical Accounting Estimates — Investment Impairments.”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Defaults on our mortgage loans and volatility in performance may adversely affect our profitability</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mortgage loans face default risk and are principally collateralized by commercial, agricultural and residential properties. We establish valuation allowances for estimated impairments, which are based on loan risk characteristics, historical default rates and loss severities, real estate market fundamentals, such as housing prices and unemployment, and outlooks, as well as other relevant factors (for example, local economic conditions). In addition, substantially all of our commercial and agricultural mortgage loans held-for-investment have balloon payment maturities. An increase in the default rate of our mortgage loan investments or fluctuations in their performance could have a material adverse effect on our results of operations and financial condition.</w:t>
      </w:r>
    </w:p>
    <w:p>
      <w:pPr>
        <w:spacing w:after="0" w:line="5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Further, any geographic or property type concentration of our mortgage loans may have adverse effects on our investment portfolio and consequently on our results of operations or financial condition. Events or developments that have a negative effect on any particular geographic region or sector may have a greater adverse effect on our investment portfolio to the extent that the portfolio is concentrated. Moreover, our ability to sell assets relating to a group of related assets may be limited if other market participants are seeking to sell at the same time. In addition, scrutiny of the mortgage industry continues and there may be legislative proposals that would allow or require modifications to the terms of mortgage loans could be enacted. We cannot predict whether any such proposals will be adopted, or what impact, if any, such proposals or, if enacted, such laws, could have on our business or investments.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defaults or deteriorating credit of other financial institutions could adversely affect us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exposure to many different industries and counterparties, and routinely execute transactions with counterparties in the financial services industry, including brokers and dealers, central clearinghouses, commercial banks, investment banks, hedge funds and investment funds and other financial institutions. Many of these transactions expose us to credit risk in the event of the default of our counterparty. In addition, with respect to secured transactions, our credit risk may be exacerbated when the collateral held by us cannot be realized or is liquidated at prices not sufficient to recover the full amount of the loan or derivative exposure due to us. We also have exposure to these financial institutions in the form of unsecured debt instruments, non-redeemable and redeemable preferred securities, derivatives and joint venture, hedge fund and equity investments. Further, potential action by governments and regulatory bodies in response to the financial crisis affecting the global banking system and financial markets, such as investment, nationalization, conservatorship, receivership and other intervention, whether under existing legal authority or any new authority that may be created, or lack of action by governments and central banks, as well as deterioration in the banks’ credit standing, could negatively impact these instruments, securities, transactions and investments or limit our ability to trade with them. Any such losses or impairments to the carrying value of these investments or other changes may materially and adversely affect our results of operations and financial condition.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2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continued threat of terrorism and ongoing military actions may adversely affect the value of our investment portfolio and the level of claim losses we incur</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continued threat of terrorism, both within the United States and abroad, ongoing military and other actions and heightened security measures in response to these types of threats may cause significant volatility in global financial markets and result in loss of life, property damage, additional disruptions to commerce and reduced economic activity. The value of assets in our investment portfolio may be adversely affected by declines in the credit and equity markets and reduced economic activity caused by the continued threat of terrorism. Companies in which we maintain investments may suffer losses as a result of financial, commercial or economic disruptions and such disruptions might affect the ability of those companies to pay interest or principal on their securities or mortgage loans. Terrorist actions also could disrupt our operations centers in the U.S. and result in higher than anticipated claims under our insurance policies.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Gaps in our risk management policies and procedures may leave us exposed to unidentified or unanticipated risk, which could negatively affect our business</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have developed and continue to develop risk management policies and procedures to reflect the ongoing review of our risks and expect to continue to do so in the future. Nonetheless, our policies and procedures may not be comprehensive and may not identify every risk to which we are exposed. Many of our methods for managing risk and exposures are based upon the use of observed historical market behavior to model or project potential future exposure. Models used by our business are based on assumptions and projections which may be inaccurate. Business decisions based on incorrect or misused model output and reports could have a material adverse impact on our results of operations. Model risk may be the result of a model being misspecified for its intended purpose, being misused or producing incorrect or inappropriate results. Models used by our business may not operate properly and could contain errors related to model inputs, data, assumptions, calculations, or output which could give rise to adjustments to models that may adversely impact our results of operations. As a result, these methods may not fully predict future exposures, which can be significantly greater than our historical measures indicate. Other risk management methods depend upon the evaluation of information regarding markets, clients, catastrophe occurrence or other matters that are publicly available or otherwise accessible to us. This information may not always be accurate, complete, up-to-date or properly evaluated. Furthermore, there can be no assurance that we can effectively review and monitor all risks or that all of our employees will follow our risk management policies and procedures, nor can there be any assurance that our risk management policies and procedures will enable us to accurately identify all risks and limit our exposures based on our assessments. In addition, we may have to implement more extensive and perhaps different risk management policies and procedures under pending regulations. See “— Risks Related to Our Business — Our variable annuity exposure management strategy may not be effective, may result in net income volatility and may negatively affect our statutory capital.”</w:t>
      </w:r>
    </w:p>
    <w:p>
      <w:pPr>
        <w:spacing w:after="0" w:line="2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failure in cyber-or other information security systems, as well as the occurrence of events unanticipated in Brighthouse’s and MetLife’s disaster recovery systems and business continuity planning could result in a loss or disclosure of confidential information, damage to our reputation and impairment of our ability to conduct business effectively</w:t>
      </w:r>
    </w:p>
    <w:p>
      <w:pPr>
        <w:spacing w:after="0" w:line="7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business is highly dependent upon the effective operation of our computer systems and, for the duration of the Transition Services Agreement and other agreements with MetLife companies, MetLife’s computer systems. We rely on these systems throughout our business for a variety of functions, including processing new business, claims, and post-issue transactions, providing information to customers and distributors, performing actuarial analyses and maintaining financial records. We also retain confidential and proprietary information on such computer systems and we rely on sophisticated technologies to maintain the security of that information. Such computer systems have been, and will likely continue to be, subject to a variety of forms of cyberattacks with the objective of gaining unauthorized access to Brighthouse systems and data or disrupting Brighthouse operations. These include, but are not limited to, phishing attacks, malware, ransomware, denial of service attacks, and other computer-related penetrations. Administrative and technical controls and other preventive actions taken to reduce the risk of cyber-incidents and protect our information technology may be insufficient to prevent physical and electronic break-ins, cyberattacks or other security breaches to such computer systems. In some cases, such physical and electronic break-ins, cyberattacks or other security breaches may not be immediately detected. This may impede or interrupt our business operations and could adversely affect our business, financial condition and results of operations. In addition, the availability and cost of insurance for operational and other risks relating to our business and systems may change and any such change may affect our results of operations.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2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event of a disaster such as a natural catastrophe, epidemic, industrial accident, blackout, computer virus, terrorist attack, cyberattack or war, unanticipated problems with our disaster recovery systems or, for the duration of the Transition Services Agreement and other agreements with MetLife companies, MetLife’s disaster recovery systems, could have a material adverse impact on our ability to conduct business and on our results of operations and financial position, particularly if those problems affect our computer-based data processing, transmission, storage and retrieval systems and destroy valuable data. In addition, in the event that a significant number of our or MetLife’s managers were unavailable following a disaster, our ability to effectively conduct business could be severely compromised. These interruptions also may interfere with our suppliers’ ability to provide goods and services and our employees’ ability to perform their job responsibilities.</w:t>
      </w:r>
    </w:p>
    <w:p>
      <w:pPr>
        <w:spacing w:after="0" w:line="8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failure of our computer systems or, for the duration of the Transition Services Agreement and other agreements with MetLife companies, MetLife’s systems, and/or our respective disaster recovery plans for any reason could cause significant interruptions in our operations and result in a failure to maintain the security, confidentiality or privacy of sensitive data, including personal information relating to our customers. Such a failure could harm our reputation, subject us to regulatory sanctions and legal claims, lead to a loss of customers and revenues and otherwise adversely affect our business and financial results. Vendors, distributors, and other third parties, including MetLife, provide operational or information technology services to us. The failure of such third parties’ or MetLife’s computer systems and/or their disaster recovery plans for any reason might cause significant interruptions in our operations and result in a failure to maintain the security, confidentiality or privacy of sensitive data, including personal information relating to our customers. Such a failure could harm our reputation, subject us to regulatory sanctions and legal claims, lead to a loss of customers and revenues and otherwise adversely affect our business and financial results. While we maintain cyber liability insurance that provides both third-party liability and first-party liability coverages, this insurance may not be sufficient to protect us against all losses. There can be no assurance that our information security policies and systems in place can prevent unauthorized use or disclosure of confidential information, including nonpublic personal information. Any failure to protect the confidentiality of customer information could adversely affect our reputation and have a material adverse effect on our business, financial condition and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associates and those of MetLife may take excessive risks which could negatively affect our financial condition and business</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an insurance enterprise, we are in the business of accepting certain risks. The associates who conduct our business, including executive officers and other members of management, sales intermediaries, investment professionals, product managers, and other associates, as well as associates of MetLife who provide services to Brighthouse in connection with the Transition Services Agreement, the Third-Party Administrative Services Agreement or the Investment Management Agreements do so in part by making decisions and choices that involve exposing us to risk. These include decisions such as setting underwriting guidelines and standards, product design and pricing, determining what assets to purchase for investment and when to sell them, which business opportunities to pursue, and other decisions. Associates may take excessive risks regardless of the structure of our compensation programs and practices. Similarly, our controls and procedures designed to monitor associates’ business decisions and prevent them from taking excessive risks, and to prevent employee misconduct, may not be effective. If our associates take excessive risks, the impact of those risks could harm our reputation and have a material adverse effect on our financial condition and business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standards issued by the Financial Accounting Standards Board may adversely affect our financial statements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financial statements are subject to the application of GAAP, which is periodically revised by the Financial Accounting Standards Board (“FASB”), a recognized authoritative body. Accordingly, from time to time we are required to adopt new or revised accounting standards or interpretations issued by the FASB. The impact of accounting pronouncements that have been issued but not yet implemented are disclosed in our reports filed with the SEC. See Note 1 of the Notes to the Consolidated Financial Statements. The FASB issued several proposed amendments to the accounting for long duration insurance contracts on September 29, 2016. One of the proposed amendments, in particular, would require all guarantees associated with our variable annuity business to be accounted for at fair value, with changes in fair value reported in net income (excluding the change in fair value attributable to nonperformance risk, which would be reported in OCI). Any of the proposed amendments to the accounting for long duration insurance contracts, if adopted, would not be expected to be effective for several years after issuance of a final standard. An assessment of the potential impact of proposed FASB standards, including the proposed changes to long duration insurance accounting, is not provided as such proposals are subject to change through the exposure process and official positions of the FASB are determined only after extensive due process and deliberations. The required adoption of these proposed and other future accounting standards could have a material adverse effect on our GAAP basis equity and results of operations, including on our net income.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2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Brighthouse may not be able to protect our intellectual property and may be subject to infringement claims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rely on a combination of contractual rights with third parties and copyright, trademark, patent and trade secret laws to establish and protect our intellectual property. Third parties may infringe or misappropriate our intellectual property. We may have to litigate to enforce and protect our copyrights, trademarks, patents, trade secrets and know-how or to determine their scope, validity or enforceability. This would represent a diversion of resources that may be significant and our efforts may not prove successful. The inability to secure or protect our intellectual property assets could harm our reputation and have a material adverse effect on our business and our ability to compete with other insurance companies and financial institutions. See “— Risks Related to Our Separation from, and Continuing Relationship with, MetLife — Our separation from MetLife could adversely affect our business and profitability due to MetLife’s strong brand and reputation.”</w:t>
      </w:r>
    </w:p>
    <w:p>
      <w:pPr>
        <w:spacing w:after="0" w:line="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we may be subject to claims by third parties for (i) patent, trademark or copyright infringement, (ii) breach of patent, trademark or copyright license usage rights, or (iii) misappropriation of trade secrets. Any such claims or resulting litigation could result in significant expense and liability for damages. If we were found to have infringed or misappropriated a third-party patent or other intellectual property right, we could in some circumstances be enjoined from providing certain products or services to our customers or from utilizing and benefiting from certain patents, copyrights, trademarks, trade secrets or licenses. Alternatively, we could be required to enter into costly licensing arrangements with third parties or implement a costly alternative. Any of these scenarios could harm our reputation and have a material adverse effect on our business and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Brighthouse may experience difficulty in marketing and distributing products through our distribution channels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distribute our products exclusively through a variety of third-party distribution channels. We may periodically negotiate the terms of these relationships, and there can be no assurance that such terms will remain acceptable to us or such third parties. Such distributors will be subject to differing commission structures, depending on the product sold, one of which is a level/asset-based commission structure; other products are subject to a more traditional commission structure. If a particular commission structure is not acceptable to these distributors, or if we are unsuccessful in attracting and retaining key associates who conduct our business, including wholesalers, and financial advisors, our sales of individual insurance, annuities and investment products could decline and our results of operations and financial condition could be materially adversely affected. See “— Risks Related to Our Business — Elements of our business strategy are new and may not be effective in accomplishing our objectives.”</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Furthermore, an interruption in certain key relationships could materially affect our ability to market our products and could have a material adverse effect on our results of operations and financial condition. Our Separation from MetLife prompted some third parties to re-price, modify or terminate their distribution or vendor relationships with us. An interruption or significant change in certain key relationships could materially affect our ability to market our products and could have a material adverse effect on our results of operations and financial condition. In February 2016, Fidelity elected to suspend its distribution relationship with us following the announcement of the planned separation from MetLife; the suspension was the primary cause of a significant reduction in our sales of variable annuities year-over-year for the year ended December 31, 2016. Other distributors may elect to suspend, alter, reduce or terminate their distribution relationships with us for various reasons changes in our distribution strategy, adverse developments in our business, adverse rating agency actions, or concerns about market-related risks. We are also at risk that key distribution partners may merge, change their business models in ways that affect how our products are sold, or terminate their distribution contracts with us, or that new distribution channels could emerge and adversely impact the effectiveness of our distribution efforts. In addition, we rely on a core number of our distributors to produce the majority of our sales. If any one such distributor were to terminate its relationship with us or reduce the amount of sales which it produces for us, our results of operations could be adversely affected. An increase in bank and broker-dealer consolidation activity could increase competition for access to distributors, result in greater distribution expenses and impair our ability to market products through these channels. Consolidation of distributors and/or other industry changes may also increase the likelihood that distributors will try to renegotiate the terms of any existing selling agreements to terms less favorable to us.</w:t>
      </w:r>
    </w:p>
    <w:p>
      <w:pPr>
        <w:spacing w:after="0" w:line="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our products are distributed through unaffiliated firms, we may not be able to monitor or control the manner of their distribution despite our training and compliance programs. If our products are distributed by such firms in an inappropriate manner, or to customers for whom they are unsuitable, we may suffer reputational and other harm to our business.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2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addition, our distributors may also sell our competitors’ products. If our competitors offer products that are more attractive than ours, or pay higher commission rates to the sales representatives than we do, these representatives may concentrate their efforts in selling our competitors’ products instead of ours. Prior to the sale of MPCG to MassMutual we distributed a significant portion of our annuity products and insurance policies through MPCG. In connection with the sale we entered into an agreement which permits us to serve as the exclusive manufacturer for certain proprietary products which are offered through MassMutual’s career agent channel. We partnered with MassMutual to develop the initial product distributed under this arrangement, the Index Horizons fixed indexed annuity, and agreed on the terms of the related reinsurance. While the agreement has a term of 10 years, it is possible that MassMutual may terminate our exclusivity or the agreement itself in specified circumstances, such as our inability or failure to provide product designs that reasonably meet MassMutual requirements. Although we expect MassMutual to be an important distribution partner with respect to certain of our products, we believe that the level of sales, if any, produced through this channel will be materially less than the levels produced historically through MPCG.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Brighthouse may be unable to attract and retain key personnel to support our business</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success depends, in large part, on our ability to attract and retain key personnel. We compete with other financial services companies for personnel primarily on the basis of compensation, support services and financial position. Intense competition exists for key personnel with demonstrated ability, and we may be unable to hire or retain such personnel. The unexpected loss of services of one or more of our key personnel could have a material adverse effect on our business due to loss of their skills, knowledge of our business, their years of industry experience and the potential difficulty of promptly finding qualified replacement personnel in North Carolina or elsewhere who are prepared to relocate. We may not be able to attract and retain qualified personnel to fill open positions or replace or succeed members of our senior management team or other key personnel. Proposed rules implementing the executive compensation provisions of Dodd-Frank may limit the type and structure of compensation arrangements into which we may enter with certain of its employees and officers. In addition, proposed rules under Dodd-Frank would prohibit the payment of “excessive compensation” to our executives. These restrictions could negatively impact our ability to compete with other companies in recruiting and retaining key personnel.</w:t>
      </w:r>
    </w:p>
    <w:p>
      <w:pPr>
        <w:spacing w:after="0" w:line="5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ability to attract and retain highly qualified independent sales intermediaries for our products may also be negatively affected by our Separation from MetLife. We may be required to lower the prices of our products, increase our sales commissions and fees, change long-term selling and marketing agreements and take other actions to maintain our relationship with our sales intermediaries and distribution partners, all of which could have an adverse effect on our financial condition and results of operations. We cannot accurately predict the long-term effect that our Separation from MetLife will have on our business, sales intermediaries, customers, distributors or associates who conduct our business. In addition, we agreed in the Master Separation Agreement with MetLife that for a certain period following the date of the Master Separation Agreement, subject to customary exceptions regarding prior associates who conduct our business, general solicitation and employees who contact us without being solicited, we will not solicit for employment certain current employees of MetLife or any of its affiliates. We cannot predict how this potential agreement not to solicit employees will impact our ability to attract and recruit associates necessary to the operation of our business.</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failure to protect the confidentiality of client information could adversely affect our reputation and have a material adverse effect on our business, financial condition and results of operations</w:t>
      </w:r>
    </w:p>
    <w:p>
      <w:pPr>
        <w:spacing w:after="0" w:line="6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Pursuant to federal and state laws, various government agencies have established rules protecting the privacy and security of personal information. In addition, most states have enacted laws, which vary significantly from jurisdiction to jurisdiction, to safeguard the privacy and security of personal information. Many of the associates who conduct our business have access to, and routinely process, personal information of clients through a variety of media, including information technology systems. We rely on various internal processes and controls to protect the confidentiality of client information that is accessible to us, or in our possession or the possession of our associates. It is possible that an associate could, intentionally or unintentionally, disclose or misappropriate confidential client information and our data has been the subject of cyberattacks and could be subject to additional attacks. If we fail to maintain adequate internal controls or if our associates fail to comply with our policies and procedures, misappropriation or intentional or unintentional inappropriate disclosure or misuse of client information could occur. Such internal control inadequacies or non-compliance could materially damage our reputation or lead to civil or criminal penalties, which, in turn, could have a material adverse effect on our business, financial condition and results of operations. In addition, we analyze customer data to better manage our business. There has been increased scrutiny, including from state regulators, regarding the use of “big data” techniques such as price optimization. We cannot predict what, if any, actions may be taken with regard to “big data,” but any inquiry in connection with our “big data” business practices could cause reputational harm and any limitations could have a material impact on our business, financial condition and results of operations. See “— The failure in cyber- or other information security systems, as well as the occurrence of events unanticipated in Brighthouse’s and MetLife’s disaster recovery systems and business continuity planning could result in a loss or disclosure of confidential information, damage to our reputation and impairment of our ability to conduct business effectively.”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2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Brighthouse could face difficulties, unforeseen liabilities, asset impairments or rating actions arising from business acquisitions or dispositions</w:t>
      </w:r>
    </w:p>
    <w:p>
      <w:pPr>
        <w:spacing w:after="0" w:line="14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may engage in dispositions and acquisitions of businesses. Such activity exposes us to a number of risks arising from (i) potential difficulties achieving projected financial results including the costs and benefits of integration or deconsolidation; (ii) unforeseen liabilities or asset impairments; (iii) the scope and duration of rights to indemnification for losses; (iv) the use of capital which could be used for other purposes; (v) rating agency reactions; (vi) regulatory requirements that could impact our operations or capital requirements; (vii) changes in statutory accounting principles or GAAP, practices or policies; and (viii) certain other risks specifically arising from activities relating to a legal entity reorganization.</w:t>
      </w:r>
    </w:p>
    <w:p>
      <w:pPr>
        <w:spacing w:after="0" w:line="6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ability to achieve certain financial benefits we anticipate from any acquisitions of businesses will depend in part upon our ability to successfully integrate such businesses in an efficient and effective manner. There may be liabilities or asset impairments that we fail, or are unable, to discover in the course of performing acquisition-related due diligence investigations. Furthermore, even for obligations and liabilities that we do discover during the due diligence process, neither the valuation adjustment nor the contractual protections we negotiate may be sufficient to fully protect us from losses.</w:t>
      </w:r>
    </w:p>
    <w:p>
      <w:pPr>
        <w:spacing w:after="0" w:line="6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may from time to time dispose of business or blocks of in-force business through outright sales, reinsurance transactions or by alternate means. After a disposition, we may remain liable to the acquirer or to third parties for certain losses or costs arising from the divested business or on other bases. We may also not realize the anticipated profit on a disposition or incur a loss on the disposition. In anticipation of any disposition, we may need to restructure our operations, which could disrupt such operations and affect our ability to recruit key personnel needed to operate and grow such business pending the completion of such transaction. In addition, the actions of key employees of the business to be divested could adversely affect the success of such disposition as they may be more focused on obtaining employment, or the terms of their employment, than on maximizing the value of the business to be divested. Furthermore, transition services or tax arrangements related to any such separation could further disrupt our operations and may impose restrictions, liabilities, losses or indemnification obligations on us. Depending on its particulars, a separation could increase our exposure to certain risks, such as by decreasing the diversification of our sources of revenue. Moreover, we may be unable to timely dissolve all contractual relationships with the divested business in the course of the proposed transaction, which may materially adversely affect our ability to realize value from the disposition. Such restructuring could also adversely affect our internal controls and procedures and impair our relationships with key customers, distributors and suppliers. An interruption or significant change in certain key relationships could materially affect our ability to market our products and could have a material adverse effect on our business, operating results and financial condition.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Separation from, and Continuing Relationship with, MetLife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Separation from MetLife could adversely affect our business and profitability due to MetLife’s strong brand and reputation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the Distribution, as a wholly-owned subsidiary of MetLife, we marketed our products and services using the “MetLife” brand name and logo. We have also benefited from trademarks licensed in connection with the MetLife brand. We believe the association with MetLife provided us with preferred status among our customers, vendors and other persons due to MetLife’s globally recognized brand, reputation for high quality products and services and strong capital base and financial strength.</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Separation from MetLife could adversely affect our ability to attract and retain customers, which could result in reduced sales of our products. In connection with the Distribution, Brighthouse entered into the Intellectual Property License Agreement and Master Separation Agreement with MetLife, pursuant to which we have a license to use certain trademarks and the “MetLife” name in certain limited circumstances, including as part of a marketing tag line, for a transition period or otherwise to refer to our historic affiliation with MetLife on selected materials for a limited period of time following the Distribution.</w:t>
      </w:r>
    </w:p>
    <w:p>
      <w:pPr>
        <w:spacing w:after="0" w:line="8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have established a portfolio of trademarks in the United States that we consider important in the marketing of our products and services, including for our name, “Brighthouse Financial.” We have also filed other trademark applications in the United States, including for our logo design and potential taglines. However, the registration of some of these trademarks is not complete and they may not all ultimately become registered. Our use of the Brighthouse Financial name for the Company or for our existing or any new products in the United States has been challenged by third parties, and we were involved in legal proceedings to protect or defend our rights with respect to the Brighthouse Financial name and trademarks. Although the parties to these proceedings have resolved this matter and dismissed the action, it is possible that other challenges to our trademarks could arise in the future.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2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a result of our Separation from MetLife, some of our existing policyholders, contract owners and other customers have chosen, and some may in the future choose to stop doing business with us, which could increase the rate of surrenders and withdrawals in our policies and contracts. In addition, other potential policyholders and contract owners may decide not to purchase our products because we no longer are a part of MetLife.</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Brighthouse’s contractual arrangements with MetLife may not be adequate to meet our operational and business needs. The terms of our arrangements with MetLife may be more favorable than we would be able to obtain from an unaffiliated third party. Brighthouse may be unable to replace those services in a timely manner or on comparable terms</w:t>
      </w:r>
    </w:p>
    <w:p>
      <w:pPr>
        <w:spacing w:after="0" w:line="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Brighthouse has contractual arrangements, such as the Transition Services Agreement, Investment Management Agreement, the Intellectual Property License Agreement, the Investment Finance Services Agreements entered into in connection with the Investment Management Agreements and other agreements that require MetLife affiliates to provide certain services to us, including the receipt of certain IT services pursuant to software license agreements that MetLife affiliates have with certain third-party software vendors, and the provision of investment management and related accounting, reporting, actuarial and other administrative services by MLIA with respect to our general and separate account investment portfolios. There can be no assurance that the services to be provided by the MetLife affiliates will be sufficient to meet our operational and business needs, that the MetLife affiliates will be able to perform such functions in a manner satisfactory to us that MetLife’s practices and procedures will enable it to adequately administer the policies it handles or that any remedies available under these arrangements will be sufficient to us in the event of a dispute or nonperformance. See “— Risks Related to Our Business — The failure of third parties to provide various services, or any failure of the practices and procedures that these third parties use to provide services to us, could have a material adverse effect on our business.”</w:t>
      </w:r>
    </w:p>
    <w:p>
      <w:pPr>
        <w:spacing w:after="0" w:line="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Upon termination or expiration of any agreement between Brighthouse and MetLife affiliates, there can be no assurance that these services will be sustained at the same levels as they were when we were receiving such services from MetLife or that Brighthouse or we will be able to obtain the same benefits from another provider or that Brighthouse’s or our indemnity rights from such third parties will not be limited. Brighthouse or we may not be able to replace services and arrangements in a timely manner or on terms and conditions, including cost, as favorable as those we have previously received from MetLife. The agreements with the MetLife affiliates were entered into in the context of intercompany relationships that arose from enterprise-wide agreements with vendors, and we may have to pay higher prices for similar services from MetLife or unaffiliated third parties in the future. See “— Risks Related to Our Business — The failure of third parties to provide various services, or any failure of the practices and procedures that these third parties use to provide services to us, could have a material adverse effect on our business.”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incremental costs as a subsidiary of a separate, public company</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a result of the Separation, Brighthouse needed to replicate or replace certain functions, systems and infrastructure to which we do not have the same access. Brighthouse has also begun to make infrastructure investments in order to operate without the same access to MetLife’s existing operational and administrative infrastructure. These initiatives involve substantial costs, the hiring and integration of a large number of new employees, and integration of the new and expanded operations and infrastructure with our existing operations and infrastructure and, in some cases, the operations and infrastructure of our partners and other third parties. They also require significant time and attention from our senior management and others throughout Brighthouse, in addition to their day-to-day responsibilities running the business. There can be no assurance that Brighthouse will be able to establish and expand the operations and infrastructure to the extent required, in the time, or at the costs anticipated, and without disrupting our ongoing business operations in a material way, all of which could have a material adverse effect on our business and results of operations.</w:t>
      </w:r>
    </w:p>
    <w:p>
      <w:pPr>
        <w:spacing w:after="0" w:line="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business has benefited from MetLife’s purchasing power when procuring goods and services. As a standalone company, Brighthouse may be unable to obtain such goods and services at comparable prices or on terms as favorable as those obtained prior to the Distribution, which could decrease our overall profitability. See “— Brighthouse’s contractual arrangements with MetLife may not be adequate to meet our operational and business needs. The terms of our arrangements with MetLife may be more favorable than we would be able to obtain from an unaffiliated third party. Brighthouse may be unable to replace those services in a timely manner or on comparable terms.”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2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Distribution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Distribution were to fail to qualify for non-recognition treatment for U.S. federal income tax purposes, then we could be subject to significant tax liabilities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Distribution was conditioned on the continued validity as of the Distribution date of the private letter ruling that MetLife has received from the IRS regarding certain significant issues under the Code, and the receipt and continued validity as of the Distribution date of an opinion from MetLife’s tax advisor that the Distribution qualifies for non-recognition of gain or loss to MetLife and MetLife’s shareholders pursuant to Sections 355 and 361 of the Code, except to the extent of cash received in lieu of fractional shares, each subject to the accuracy of and compliance with certain representations, assumptions and covenants therein.</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Notwithstanding the receipt of the private letter ruling and the tax opinion, the IRS could determine that the Distribution should be treated as a taxable transaction if it determines that any of the representations, assumptions or covenants on which the private letter ruling is based are untrue or have been violated. Furthermore, as part of the IRS’s policy, the IRS did not determine whether the Distribution satisfies certain conditions that are necessary to qualify for non-recognition treatment. Rather, the private letter ruling is based on representations by MetLife and Brighthouse that these conditions have been satisfied. The tax opinion addresses the satisfaction of these conditions.</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tax opinion is not binding on the IRS or the courts, and there can be no assurance that the IRS or a court will not take a contrary position. In addition, the tax advisor relied on certain representations and covenants that have been delivered by MetLife and Brighthouse.</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IRS ultimately determines that the Distribution is taxable, we could incur significant U.S. federal income tax liabilities, and Brighthouse could have an indemnification obligation to MetLife. For a more detailed discussion, see “— Potential indemnification obligations if the Distribution does not qualify for non-recognition treatment or if certain other steps that are part of the Separation do not qualify for their intended tax treatment could materially adversely affect our financial condition.”</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Potential indemnification obligations if the Distribution does not qualify for non-recognition treatment or if certain other steps that are part of the Separation do not qualify for their intended tax treatment could materially adversely affect our financial condition</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Generally, taxes resulting from the failure of the Distribution to qualify for non-recognition treatment for U.S. federal income tax purposes would be imposed on MetLife or MetLife’s shareholders and, under the Tax Separation Agreement, MetLife is generally obligated to indemnify Brighthouse against such taxes if the failure to qualify for tax-free treatment results from any action or inaction that is within MetLife’s control or if the failure results from any direct or indirect transfer of MetLife’s stock. MetLife may have an adverse interpretation of or object to its indemnification obligations to Brighthouse under the Tax Separation Agreement, and there can be no assurance that MetLife will be able to satisfy its indemnification obligation to Brighthouse or that such indemnification will be sufficient to us in the event of a dispute or nonperformance by MetLife. The failure of MetLife to fully indemnify Brighthouse could have a material adverse effect on our financial condition and results of operations.</w:t>
      </w:r>
    </w:p>
    <w:p>
      <w:pPr>
        <w:spacing w:after="0" w:line="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MetLife will generally bear tax-related losses due to the failure of certain steps that were part of the Separation to qualify for their intended tax treatment. However, the IRS could seek to hold Brighthouse responsible for such liabilities, and under the Tax Separation Agreement, Brighthouse could be required, under certain circumstances, to indemnify MetLife and its affiliates against certain tax-related liabilities caused by those failures, to the extent those liabilities result from an action Brighthouse or its affiliates, including us, take or from any breach of Brighthouse’s or its affiliates’, including us, representations, covenants or obligations under the Tax Separation Agreement. Events triggering an indemnification obligation under the Tax Separation Agreement include ceasing to actively conduct Brighthouse’s business and events occurring after the Distribution that cause MetLife to recognize a gain under Section 355(e) of the Code. If the Distribution does not qualify for non-recognition treatment or if certain other steps that are part of the Separation do not qualify for their intended tax treatment, we could be required to pay material additional taxes or an indemnification obligation to MetLife, which could materially and adversely affect our financial condition.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2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could be required to pay material additional taxes or suffer other material adverse tax consequences if the tax consequences of the Separation to us are not as expected</w:t>
      </w:r>
    </w:p>
    <w:p>
      <w:pPr>
        <w:spacing w:after="0" w:line="6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Separation is expected to have certain federal income tax consequences to MetLife and to Brighthouse, including us, as set forth in a private letter ruling issued by the IRS to MetLife and opinions provided by MetLife’s tax advisors. These opinions are not binding on the IRS or the courts, and the tax opinions and the private letter ruling do not address all of the tax consequences of the Separation to Brighthouse, including us. The Separation is a complex transaction subject to numerous tax rules, including rules that could require us to reduce our tax attributes (such as the basis in our assets) in certain circumstances, and the application of these various rules to the Separation is not entirely clear. The ultimate tax consequences to us of the Separation may not be finally determined for many years and may differ from the tax consequences that we and MetLife currently expect and intend to report. As a result, we could be required to pay material additional taxes and to materially reduce the tax assets (or materially increase the tax liabilities) on our consolidated balance sheet. These changes could impact our available capital, ratings or cost of capital. There can be no assurance that the Tax Separation Agreement will protect Brighthouse, including us, from any such consequences, or that any issue that may arise will be subject to indemnification by MetLife under the Tax Separation Agreement. As a result our financial condition and results of operations could be materially and adversely affected.</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Disputes or disagreements with MetLife may affect our financial statements and business operations, and Brighthouse’s contractual remedies may not be sufficient</w:t>
      </w:r>
    </w:p>
    <w:p>
      <w:pPr>
        <w:spacing w:after="0" w:line="6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connection with the Separation, Brighthouse entered into certain agreements that provide a framework for the ongoing relationship with MetLife, including a Transition Services Agreement , a Tax Separation Agreement and a Tax Receivables Agreement. Brighthouse’s agreements with MetLife may not reflect terms that would have resulted from negotiation between unaffiliated parties. Such provisions may include, among other things, indemnification rights and obligations, the allocation of tax liabilities, and other payment obligations between Brighthouse, including us, and MetLife. Disagreements regarding the obligations of MetLife or Brighthouse, including us, under these agreements or any renegotiation of their terms could create disputes that may be resolved in a manner unfavorable to Brighthouse, including us. In addition, there can be no assurance that any remedies available under these agreements will be sufficient to Brighthouse, including us, in the event of a dispute or nonperformance by MetLife or that any such remedies will be sufficiently broad to cover any issues that arise under Brighthouse’s arrangements with MetLife. The failure of MetLife to perform its obligations under these agreements (or claims by MetLife that Brighthouse has failed to perform its obligations under the agreements) may have a material adverse effect on our financial statements, and could consume substantial resources and attention thus creating a material adverse impact on our business performance.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Brighthouse is required to pay MetLife for certain tax benefits, which amounts are expected to be material</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partial consideration for the assets contributed by MetLife to Brighthouse, Brighthouse has entered into a Tax Receivables Agreement with MetLife that provided for the payment by Brighthouse to MetLife of 86% of the amount of cash savings, if any, in U.S. federal income tax that Brighthouse and its subsidiaries, including the us, actually realize (or are deemed to realize under certain circumstances, as discussed in more detail under the heading “Certain Relationships and Related Person Transactions - Agreements Between Us and MetLife - Tax Agreements - Tax Receivables Agreement” included in Brighthouse Financial, Inc.’s Annual Report on Form 10-K for the year ended December 31, 2017) as a result of the utilization of Brighthouse’s and its subsidiaries’, including our, net operating losses, capital losses, tax basis and amortization or depreciation deductions in respect of certain tax benefits Brighthouse, including us, may realize as a result of certain transactions involved in the Separation, together with interest accrued from the date the applicable tax return is due (without extension) until the date the applicable payment is due.</w:t>
      </w:r>
    </w:p>
    <w:p>
      <w:pPr>
        <w:spacing w:after="0" w:line="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Estimating the amount of payments that may be made under the Tax Receivables Agreement is by its nature imprecise, insofar as the calculation of amounts payable depends on a variety of factors. The actual amount and utilization of net operating losses, tax basis and other tax attributes, as well as the amount and timing of any payments under the Tax Receivables Agreement, will vary depending upon a number of factors, including the amount, character and timing of Brighthouse’s and its subsidiaries’, including our, taxable income in the future. The Base Case Scenario has not assumed any benefit from the deferred taxes that are subject to the Tax Receivables Agreement.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2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Brighthouse breaches any of its material obligations under the Tax Receivables Agreement or undergoes a change of control as defined in the Tax Receivables Agreement, the Tax Receivables Agreement will terminate and Brighthouse will be required to make a lump sum payment equal to the present value of expected future payments under the Tax Receivables Agreement, which payment would be based on certain assumptions, including those relating to Brighthouse’s and its subsidiaries’, including our, future taxable income. Additionally, if Brighthouse or a direct or indirect subsidiary, including us, transfers any asset to a corporation with which Brighthouse does not file a consolidated tax return, Brighthouse will be treated as having sold that asset for its fair market value in a taxable transaction for purposes of determining the cash savings in income tax under the Tax Receivables Agreement. If Brighthouse sells or otherwise disposes of any of its subsidiaries, including us, in a transaction that is not a change of control, Brighthouse will be required to make a payment equal to the present value of future payments under the Tax Receivables Agreement attributable to the tax benefits of such subsidiary that is sold or disposed of, applying the assumptions described above. Any such payment resulting from a breach of material obligations, change of control, asset transfer or subsidiary disposition could be substantial and could exceed our actual cash tax savings.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of our directors and officers may have actual or potential conflicts of interest because of their MetLife equity ownership or their former MetLife positions</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Certain of the persons who currently are our executive officers and directors have been MetLife officers, directors or employees and, thus, will have professional relationships with MetLife’s executive officers, directors or employees. In addition, because of their former MetLife positions, certain of our directors and executive officers may own MetLife common stock, or have received equity-based awards from MetLife pursuant to which they may acquire or receive shares of MetLife common stock, and, for some of these individuals, their individual holdings may be significant compared to their total assets. These relationships and financial interests may create, or may create the appearance of, conflicts of interest when these directors and officers are faced with decisions that could have different implications for MetLife and us. For example, potential conflicts of interest could arise in connection with the resolution of any dispute that may arise between MetLife and Brighthouse regarding the terms of the agreements governing the Distribution and the Separation, and the relationship thereafter between the companies.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corporate headquarters are located in Charlotte, North Carolina on a site of approximately 285,000 rentable square feet leased by a MetLife affiliate from a third party. The term of that lease expires in September 2026. In connection with the Separation, we entered into arms-length sublease agreements with such MetLife affiliate for our Charlotte headquarters, as well as certain other locations. Our Charlotte facilities are occupied by each of our three segments, as well as Corporate &amp; Other.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14 of the Notes to the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2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established public trading market exists for Brighthouse Life Insurance Company’s common equity; all of Brighthouse Life Insurance Company’s common stock is held by Brighthouse Holdings, LLC.</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years ended December 31, 2017 and 2016, Brighthouse Life Insurance Company paid cash dividends of $0 and $261 million, respectively. See Note 11 of the Notes to the Consolidated Financial Statements for a discussion of restrictions on Brighthouse Life Insurance Company’s ability to pay dividends. The maximum amount of dividends which Brighthouse Life Insurance Company may pay in 2018, without prior regulatory approval, is $84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Omitted pursuant to General Instruction I(2)(a) of Form 10-K.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2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Index to Management’s Discussion and Analysis of Financial Condition and Results of Operations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33"/>
        </w:trPr>
        <w:tc>
          <w:tcPr>
            <w:tcW w:w="1360" w:type="dxa"/>
            <w:vAlign w:val="bottom"/>
            <w:gridSpan w:val="3"/>
            <w:vMerge w:val="restart"/>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Introduction</w:t>
              </w:r>
            </w:hyperlink>
          </w:p>
        </w:tc>
        <w:tc>
          <w:tcPr>
            <w:tcW w:w="3040" w:type="dxa"/>
            <w:vAlign w:val="bottom"/>
            <w:gridSpan w:val="6"/>
            <w:vMerge w:val="restart"/>
          </w:tcPr>
          <w:p>
            <w:pPr>
              <w:spacing w:after="0"/>
              <w:rPr>
                <w:sz w:val="2"/>
                <w:szCs w:val="2"/>
                <w:color w:val="auto"/>
              </w:rPr>
            </w:pPr>
          </w:p>
        </w:tc>
        <w:tc>
          <w:tcPr>
            <w:tcW w:w="55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360" w:type="dxa"/>
            <w:vAlign w:val="bottom"/>
            <w:gridSpan w:val="3"/>
            <w:vMerge w:val="continue"/>
          </w:tcPr>
          <w:p>
            <w:pPr>
              <w:spacing w:after="0"/>
              <w:rPr>
                <w:sz w:val="15"/>
                <w:szCs w:val="15"/>
                <w:color w:val="auto"/>
              </w:rPr>
            </w:pPr>
          </w:p>
        </w:tc>
        <w:tc>
          <w:tcPr>
            <w:tcW w:w="3040" w:type="dxa"/>
            <w:vAlign w:val="bottom"/>
            <w:gridSpan w:val="6"/>
            <w:vMerge w:val="continue"/>
          </w:tcPr>
          <w:p>
            <w:pPr>
              <w:spacing w:after="0"/>
              <w:rPr>
                <w:sz w:val="15"/>
                <w:szCs w:val="15"/>
                <w:color w:val="auto"/>
              </w:rPr>
            </w:pPr>
          </w:p>
        </w:tc>
        <w:tc>
          <w:tcPr>
            <w:tcW w:w="6340" w:type="dxa"/>
            <w:vAlign w:val="bottom"/>
            <w:gridSpan w:val="3"/>
          </w:tcPr>
          <w:p>
            <w:pPr>
              <w:jc w:val="center"/>
              <w:ind w:left="6070"/>
              <w:spacing w:after="0" w:line="170"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54</w:t>
              </w:r>
            </w:hyperlink>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00" w:type="dxa"/>
            <w:vAlign w:val="bottom"/>
            <w:shd w:val="clear" w:color="auto" w:fill="0000EE"/>
          </w:tcPr>
          <w:p>
            <w:pPr>
              <w:spacing w:after="0"/>
              <w:rPr>
                <w:sz w:val="2"/>
                <w:szCs w:val="2"/>
                <w:color w:val="auto"/>
              </w:rPr>
            </w:pPr>
          </w:p>
        </w:tc>
        <w:tc>
          <w:tcPr>
            <w:tcW w:w="660" w:type="dxa"/>
            <w:vAlign w:val="bottom"/>
            <w:gridSpan w:val="2"/>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160" w:type="dxa"/>
            <w:vAlign w:val="bottom"/>
            <w:gridSpan w:val="2"/>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360" w:type="dxa"/>
            <w:vAlign w:val="bottom"/>
            <w:gridSpan w:val="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Overview</w:t>
              </w:r>
            </w:hyperlink>
          </w:p>
        </w:tc>
        <w:tc>
          <w:tcPr>
            <w:tcW w:w="3040" w:type="dxa"/>
            <w:vAlign w:val="bottom"/>
            <w:gridSpan w:val="6"/>
          </w:tcPr>
          <w:p>
            <w:pPr>
              <w:spacing w:after="0"/>
              <w:rPr>
                <w:sz w:val="22"/>
                <w:szCs w:val="22"/>
                <w:color w:val="auto"/>
              </w:rPr>
            </w:pPr>
          </w:p>
        </w:tc>
        <w:tc>
          <w:tcPr>
            <w:tcW w:w="6340" w:type="dxa"/>
            <w:vAlign w:val="bottom"/>
            <w:gridSpan w:val="3"/>
          </w:tcPr>
          <w:p>
            <w:pPr>
              <w:jc w:val="center"/>
              <w:ind w:left="6070"/>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54</w:t>
              </w:r>
            </w:hyperlink>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gridSpan w:val="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Summary of Critical Accounting Estimates</w:t>
              </w:r>
            </w:hyperlink>
          </w:p>
        </w:tc>
        <w:tc>
          <w:tcPr>
            <w:tcW w:w="6340" w:type="dxa"/>
            <w:vAlign w:val="bottom"/>
            <w:gridSpan w:val="3"/>
          </w:tcPr>
          <w:p>
            <w:pPr>
              <w:jc w:val="center"/>
              <w:ind w:left="6070"/>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55</w:t>
              </w:r>
            </w:hyperlink>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gridSpan w:val="8"/>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Non-GAAP and Other Financial Disclosures</w:t>
              </w:r>
            </w:hyperlink>
          </w:p>
        </w:tc>
        <w:tc>
          <w:tcPr>
            <w:tcW w:w="1180" w:type="dxa"/>
            <w:vAlign w:val="bottom"/>
          </w:tcPr>
          <w:p>
            <w:pPr>
              <w:spacing w:after="0"/>
              <w:rPr>
                <w:sz w:val="21"/>
                <w:szCs w:val="21"/>
                <w:color w:val="auto"/>
              </w:rPr>
            </w:pPr>
          </w:p>
        </w:tc>
        <w:tc>
          <w:tcPr>
            <w:tcW w:w="6340" w:type="dxa"/>
            <w:vAlign w:val="bottom"/>
            <w:gridSpan w:val="3"/>
          </w:tcPr>
          <w:p>
            <w:pPr>
              <w:jc w:val="center"/>
              <w:ind w:left="6070"/>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60</w:t>
              </w:r>
            </w:hyperlink>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60" w:type="dxa"/>
            <w:vAlign w:val="bottom"/>
            <w:gridSpan w:val="4"/>
          </w:tcPr>
          <w:p>
            <w:pPr>
              <w:spacing w:after="0"/>
              <w:rPr>
                <w:rFonts w:ascii="Arial" w:cs="Arial" w:eastAsia="Arial" w:hAnsi="Arial"/>
                <w:sz w:val="18"/>
                <w:szCs w:val="18"/>
                <w:color w:val="0000EE"/>
                <w:w w:val="88"/>
              </w:rPr>
            </w:pPr>
            <w:hyperlink w:anchor="page62">
              <w:r>
                <w:rPr>
                  <w:rFonts w:ascii="Arial" w:cs="Arial" w:eastAsia="Arial" w:hAnsi="Arial"/>
                  <w:sz w:val="18"/>
                  <w:szCs w:val="18"/>
                  <w:color w:val="0000EE"/>
                  <w:w w:val="88"/>
                </w:rPr>
                <w:t>Results of Operations</w:t>
              </w:r>
            </w:hyperlink>
          </w:p>
        </w:tc>
        <w:tc>
          <w:tcPr>
            <w:tcW w:w="1660" w:type="dxa"/>
            <w:vAlign w:val="bottom"/>
            <w:gridSpan w:val="4"/>
          </w:tcPr>
          <w:p>
            <w:pPr>
              <w:spacing w:after="0"/>
              <w:rPr>
                <w:sz w:val="21"/>
                <w:szCs w:val="21"/>
                <w:color w:val="auto"/>
              </w:rPr>
            </w:pPr>
          </w:p>
        </w:tc>
        <w:tc>
          <w:tcPr>
            <w:tcW w:w="1180" w:type="dxa"/>
            <w:vAlign w:val="bottom"/>
          </w:tcPr>
          <w:p>
            <w:pPr>
              <w:spacing w:after="0"/>
              <w:rPr>
                <w:sz w:val="21"/>
                <w:szCs w:val="21"/>
                <w:color w:val="auto"/>
              </w:rPr>
            </w:pPr>
          </w:p>
        </w:tc>
        <w:tc>
          <w:tcPr>
            <w:tcW w:w="6340" w:type="dxa"/>
            <w:vAlign w:val="bottom"/>
            <w:gridSpan w:val="3"/>
          </w:tcPr>
          <w:p>
            <w:pPr>
              <w:jc w:val="center"/>
              <w:ind w:left="6070"/>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61</w:t>
              </w:r>
            </w:hyperlink>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60" w:type="dxa"/>
            <w:vAlign w:val="bottom"/>
            <w:gridSpan w:val="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Effects of Inflation</w:t>
              </w:r>
            </w:hyperlink>
          </w:p>
        </w:tc>
        <w:tc>
          <w:tcPr>
            <w:tcW w:w="2840" w:type="dxa"/>
            <w:vAlign w:val="bottom"/>
            <w:gridSpan w:val="5"/>
          </w:tcPr>
          <w:p>
            <w:pPr>
              <w:spacing w:after="0"/>
              <w:rPr>
                <w:sz w:val="21"/>
                <w:szCs w:val="21"/>
                <w:color w:val="auto"/>
              </w:rPr>
            </w:pPr>
          </w:p>
        </w:tc>
        <w:tc>
          <w:tcPr>
            <w:tcW w:w="6340" w:type="dxa"/>
            <w:vAlign w:val="bottom"/>
            <w:gridSpan w:val="3"/>
          </w:tcPr>
          <w:p>
            <w:pPr>
              <w:jc w:val="center"/>
              <w:ind w:left="6070"/>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69</w:t>
              </w:r>
            </w:hyperlink>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60" w:type="dxa"/>
            <w:vAlign w:val="bottom"/>
            <w:gridSpan w:val="3"/>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gridSpan w:val="6"/>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Off-Balance Sheet Arrangements</w:t>
              </w:r>
            </w:hyperlink>
          </w:p>
        </w:tc>
        <w:tc>
          <w:tcPr>
            <w:tcW w:w="2000" w:type="dxa"/>
            <w:vAlign w:val="bottom"/>
            <w:gridSpan w:val="3"/>
          </w:tcPr>
          <w:p>
            <w:pPr>
              <w:spacing w:after="0"/>
              <w:rPr>
                <w:sz w:val="21"/>
                <w:szCs w:val="21"/>
                <w:color w:val="auto"/>
              </w:rPr>
            </w:pPr>
          </w:p>
        </w:tc>
        <w:tc>
          <w:tcPr>
            <w:tcW w:w="6340" w:type="dxa"/>
            <w:vAlign w:val="bottom"/>
            <w:gridSpan w:val="3"/>
          </w:tcPr>
          <w:p>
            <w:pPr>
              <w:jc w:val="center"/>
              <w:ind w:left="6070"/>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69</w:t>
              </w:r>
            </w:hyperlink>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gridSpan w:val="6"/>
          </w:tcPr>
          <w:p>
            <w:pPr>
              <w:spacing w:after="0"/>
              <w:rPr>
                <w:rFonts w:ascii="Arial" w:cs="Arial" w:eastAsia="Arial" w:hAnsi="Arial"/>
                <w:sz w:val="18"/>
                <w:szCs w:val="18"/>
                <w:color w:val="0000EE"/>
                <w:w w:val="94"/>
              </w:rPr>
            </w:pPr>
            <w:hyperlink w:anchor="page70">
              <w:r>
                <w:rPr>
                  <w:rFonts w:ascii="Arial" w:cs="Arial" w:eastAsia="Arial" w:hAnsi="Arial"/>
                  <w:sz w:val="18"/>
                  <w:szCs w:val="18"/>
                  <w:color w:val="0000EE"/>
                  <w:w w:val="94"/>
                </w:rPr>
                <w:t>Liquidity and Capital Resources</w:t>
              </w:r>
            </w:hyperlink>
          </w:p>
        </w:tc>
        <w:tc>
          <w:tcPr>
            <w:tcW w:w="2000" w:type="dxa"/>
            <w:vAlign w:val="bottom"/>
            <w:gridSpan w:val="3"/>
          </w:tcPr>
          <w:p>
            <w:pPr>
              <w:spacing w:after="0"/>
              <w:rPr>
                <w:sz w:val="21"/>
                <w:szCs w:val="21"/>
                <w:color w:val="auto"/>
              </w:rPr>
            </w:pPr>
          </w:p>
        </w:tc>
        <w:tc>
          <w:tcPr>
            <w:tcW w:w="6340" w:type="dxa"/>
            <w:vAlign w:val="bottom"/>
            <w:gridSpan w:val="3"/>
          </w:tcPr>
          <w:p>
            <w:pPr>
              <w:jc w:val="center"/>
              <w:ind w:left="6070"/>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69</w:t>
              </w:r>
            </w:hyperlink>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9"/>
        </w:trPr>
        <w:tc>
          <w:tcPr>
            <w:tcW w:w="7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500" w:type="dxa"/>
            <w:vAlign w:val="bottom"/>
          </w:tcPr>
          <w:p>
            <w:pPr>
              <w:jc w:val="right"/>
              <w:ind w:right="4050"/>
              <w:spacing w:after="0"/>
              <w:rPr>
                <w:sz w:val="20"/>
                <w:szCs w:val="20"/>
                <w:color w:val="auto"/>
              </w:rPr>
            </w:pPr>
            <w:r>
              <w:rPr>
                <w:rFonts w:ascii="Arial" w:cs="Arial" w:eastAsia="Arial" w:hAnsi="Arial"/>
                <w:sz w:val="18"/>
                <w:szCs w:val="18"/>
                <w:color w:val="auto"/>
              </w:rPr>
              <w:t>53</w:t>
            </w:r>
          </w:p>
        </w:tc>
        <w:tc>
          <w:tcPr>
            <w:tcW w:w="6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purposes of this discussion, “BLIC,” the “Company,” “we,” “our” and “us” refer to Brighthouse Life Insurance Company (formerly, MetLife USA or MICC), a Delaware corporation originally incorporated in Connecticut in 1863, and its subsidiaries. Brighthouse Life Insurance Company is an indirect wholly-owned subsidiary of Brighthouse Financial, Inc. (together with its subsidiaries and affiliates, “Brighthouse”). Management’s narrative analysis of the results of operations is presented pursuant to General Instruction I(2)(a) of Form 10-K. This discussion should be read in conjunction with “Note Regarding Forward-Looking Statements,” “Risk Factors,” “Quantitative and Qualitative Disclosures About Market Risk” and the Company’s consolidated financial statements included elsewhere herein.</w:t>
      </w:r>
    </w:p>
    <w:p>
      <w:pPr>
        <w:spacing w:after="0" w:line="13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discussion may contain forward-looking statements that reflect our plans, estimates and beliefs. Our actual results could differ materially from those discussed in these forward-looking statements. Factors that could cause or contribute to these differences include those factors discussed below and elsewhere in this report, particularly in “Note Regarding Forward-Looking Statements” and “Risk Factors.”</w:t>
      </w:r>
    </w:p>
    <w:p>
      <w:pPr>
        <w:spacing w:after="0" w:line="12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This narrative analysis includes references to our performance measure, adjusted earnings, that is not based on GAAP. This measure is used by management to evaluate performance and allocate resources. Consistent with GAAP guidance for segment reporting, adjusted earnings is also our GAAP measure of segment performance. Adjusted earnings allows analysis of our performance and facilitates comparisons to industry results. See “— Non-GAAP and Other Financial Disclosures” for a definition and discussion of this and other financial measures, and “— Results of Operations” for reconciliations of historical non-GAAP financial measures to the most directly comparable GAAP measures.</w:t>
      </w:r>
    </w:p>
    <w:p>
      <w:pPr>
        <w:spacing w:after="0" w:line="11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2017 we allocated capital to our segments based on an internal capital model developed by MetLife, which is a model that reflects the capital required to represent the measurement of the risk profile of the business. Going forward, we will allocate capital to our segments based on the statutory-oriented funding target of each segment. The funding target will be the sum of the net statutory liabilities plus management’s allocation of statutory surplus.</w:t>
      </w:r>
    </w:p>
    <w:p>
      <w:pPr>
        <w:spacing w:after="0" w:line="9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also allocate capital to our segments to meet our long-term promises to clients, to service long-term obligations and to support our credit and financial strength ratings. Segment net investment income is credited or charged based on the level of allocated equity; however, changes in allocated equity do not impact our consolidated net investment income or net income (loss). Going forward, changes in allocated equity based on the new statutory-oriented internal capital methodology will also not impact our consolidated net investment income or net income (loss). See Note 2 of the Notes to the Consolidated Financial Statements for a discussion of the internal capital model and segment accounting policies including the calculation of segment net investment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offer a range of individual annuities and individual life insurance products. We are licensed and regulated in each U.S. jurisdiction where we conduct insurance business. Brighthouse Life Insurance Company is licensed to issue insurance products in all U.S. states (except New York), the District of Columbia, the Bahamas, Guam, Puerto Rico, the British Virgin Islands and the U.S. Virgin Islands. Our insurance subsidiary, BHNY, is only licensed to issue insurance products in New York. The Company’s business is organized into three segments: Annuities, Life and Run-off. In addition, the Company reports certain of its results of operations in Corporate &amp; Other. See Note 2 of the Notes to the Consolidated Financial Statements for further information on the Company’s segments and Corporate &amp; Other. Management continues to evaluate the Company’s segment performance and allocated resources and may adjust related measurements in the future to better reflect segment profitability.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2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management to adopt accounting policies and make estimates and assumptions that affect amounts reported on the Consolidated Financial Statements.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most critical estimates include those used in determining:</w:t>
      </w:r>
    </w:p>
    <w:p>
      <w:pPr>
        <w:spacing w:after="0" w:line="117" w:lineRule="exact"/>
        <w:rPr>
          <w:sz w:val="20"/>
          <w:szCs w:val="20"/>
          <w:color w:val="auto"/>
        </w:rPr>
      </w:pPr>
    </w:p>
    <w:p>
      <w:pPr>
        <w:ind w:left="660" w:hanging="49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liabilities for future policy benefits;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accounting for reinsurance;</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capitalization and amortization of DAC and the establishment and amortization of VOBA;</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estimated fair values of investments in the absence of quoted market values;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 impairments;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estimated fair values of freestanding derivatives and the recognition and estimated fair value of embedded derivatives requiring bifurcation;</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measurement of income taxes and the valuation of deferred tax assets; and</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liabilities for litigation and regulatory matters.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spacing w:after="0" w:line="127" w:lineRule="exact"/>
        <w:rPr>
          <w:sz w:val="20"/>
          <w:szCs w:val="20"/>
          <w:color w:val="auto"/>
        </w:rPr>
      </w:pPr>
    </w:p>
    <w:p>
      <w:pPr>
        <w:ind w:right="1780" w:firstLine="324"/>
        <w:spacing w:after="0" w:line="375" w:lineRule="auto"/>
        <w:rPr>
          <w:sz w:val="20"/>
          <w:szCs w:val="20"/>
          <w:color w:val="auto"/>
        </w:rPr>
      </w:pPr>
      <w:r>
        <w:rPr>
          <w:rFonts w:ascii="Arial" w:cs="Arial" w:eastAsia="Arial" w:hAnsi="Arial"/>
          <w:sz w:val="18"/>
          <w:szCs w:val="18"/>
          <w:color w:val="auto"/>
        </w:rPr>
        <w:t xml:space="preserve">The above critical accounting estimates are described below and in Note 1 of the Notes to the Consolidated Financial Statements. </w:t>
      </w:r>
      <w:r>
        <w:rPr>
          <w:rFonts w:ascii="Arial" w:cs="Arial" w:eastAsia="Arial" w:hAnsi="Arial"/>
          <w:sz w:val="18"/>
          <w:szCs w:val="18"/>
          <w:b w:val="1"/>
          <w:bCs w:val="1"/>
          <w:i w:val="1"/>
          <w:iCs w:val="1"/>
          <w:color w:val="auto"/>
        </w:rPr>
        <w:t>Liability for Future Policy Benefits</w:t>
      </w:r>
    </w:p>
    <w:p>
      <w:pPr>
        <w:spacing w:after="0" w:line="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Generally, future policy benefits are payable over an extended period of time and related liabilities are calculated as the present value of future expected benefits to be paid, reduced by the present value of future expected premiums. Such liabilities are established based on methods and underlying assumptions that are in accordance with GAAP and applicable actuarial standards. The principal assumptions used in the establishment of liabilities for future policy benefits are mortality, morbidity, benefit utilization and withdrawals, policy lapse, retirement, disability incidence, disability terminations, investment returns, inflation, expenses and other contingent events as appropriate to the respective product type. These assumptions, intended to estimate the experience for the period the policy benefits are payable, are established at the time the policy is issued and locked in. Utilizing these assumptions, liabilities are established on a block of business basis. If experience is less favorable than assumed, DAC may be reduced and/or additional insurance liabilities established, resulting in a reduction in earnings.</w:t>
      </w:r>
    </w:p>
    <w:p>
      <w:pPr>
        <w:spacing w:after="0" w:line="8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Future policy benefit liabilities for GMDBs and GMIBs relating to certain variable annuity contracts are based on estimates of the expected value of benefits in excess of the projected account balance, recognizing the excess ratably over the accumulation period based on total expected assessments. Liabilities for universal and variable life secondary guarantees are determined by estimating the expected value of death benefits payable when the account balance is projected to be zero and recognizing those benefits ratably over the contract period based on total expected assessments. The assumptions used in estimating the excess benefits under variable annuity guarantees and the secondary guarantee liabilities under universal and variable life policies are consistent with those used for amortizing DAC, and are therefore subject to the same variability and risk. The assumptions of investment performance and volatility for variable products are consistent with historical experience of the appropriate underlying equity index, such as the S&amp;P 500 Index.</w:t>
      </w:r>
    </w:p>
    <w:p>
      <w:pPr>
        <w:spacing w:after="0" w:line="5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regularly review our assumptions supporting our estimates of actuarial liabilities for future policy benefits. For universal life and annuity product guarantees, assumptions are updated periodically, whereas for traditional life products, such as term life and non-participating whole life insurance, assumptions are established and locked in at inception but reviewed periodically to determine whether a premium deficiency exists that would trigger an unlocking of assumptions. We also review our actuarial liabilities to determine if profits are projected in earlier years followed by losses projected in later years, which could require us to establish an additional liability. Differences between actual experience and the assumptions used in pricing our policies and guarantees, as well as adjustments to the related liabilities, result in variances in profit and could result in losses.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2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assessing loss recognition and profits followed by losses, product groupings are limited by segment. Historically, all of our universal life business was grouped together for evaluating loss recognition and profits followed by losses. In the second quarter of 2016, an actuarial model change reduced expected future gross profits for ULSG and triggered loss recognition resulting in a loss of $178 million, after tax. Subsequently, in the fourth quarter of 2016, ULSG was moved from our Life segment to our Run-off segment, triggering a change in groupings for loss recognition testing that resulted in an additional loss of $95 million, after tax.</w:t>
      </w:r>
    </w:p>
    <w:p>
      <w:pPr>
        <w:spacing w:after="0" w:line="8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See Note 1 of the Notes to the Consolidated Financial Statements for additional information on our accounting policy relating to variable annuity guarantees and liability for future policy benefits and Note 4 of the Notes to the Consolidated Financial Statements for future policyholder benefit liabilities.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Accounting for reinsurance requires extensive use of assumptions and estimates, particularly related to the future performance of the underlying business and the potential impact of counterparty credit risk with respect to reinsurance receivables. We periodically review actual and anticipated experience compared to the aforementioned assumptions used to establish assets and liabilities relating to ceded and assumed reinsurance and evaluate the financial strength of counterparties to our reinsurance agreements using criteria similar to those evaluated in our security impairment process. See “— Investment Impairments.”</w:t>
      </w:r>
    </w:p>
    <w:p>
      <w:pPr>
        <w:spacing w:after="0" w:line="8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Additionally, for each of our reinsurance agreements, we determine whether the agreement provides indemnification against loss or liability relating to insurance risk, in accordance with applicable accounting standards. We review all contractual features, including those that may limit the amount of insurance risk to which the reinsurer is subject or features that delay the timely reimbursement of claims. We evaluate present values of projected future cash flows on blocks of policies subject to new reinsurance agreements in light of all such contractual features to determine whether our reinsurance counterparties are exposed to a reasonable possibility of significant loss. Such analysis involves management estimates as to the cash flow projections, as well as management judgment as to what constitutes a reasonable possibility of significant loss. If we determine that a reinsurance agreement does not expose the reinsurer to a reasonable possibility of a significant loss from insurance risk, we record the agreement using the deposit method of accounting.</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of the Notes to the Consolidated Financial Statements for additional information on our reinsurance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Policy Acquisition Costs and Value of Business Acquired</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incur significant costs in connection with acquiring new and renewal insurance business. Costs that relate directly to the successful acquisition or renewal of insurance contracts are deferred as DAC. In addition to commissions and other direct costs, deferrable costs include the portion of an employee’s total compensation and benefits related to time spent selling, underwriting or processing the issuance of new and renewal insurance business only with respect to actual policies acquired or renewed. We utilize various techniques to estimate the portion of an employee’s time spent on qualifying acquisition activities that result in actual sales, including surveys, interviews, representative time studies and other methods. These estimates include assumptions that are reviewed and updated on a periodic basis or more frequently to reflect significant changes in processes or distribution methods.</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VOBA represents the excess of book value over the estimated fair value of acquired insurance, annuity and investment-type contracts in-force at the acquisition date. The estimated fair value of the acquired liabilities is based on projections, by each block of business, of future policy and contract charges, premiums, mortality and morbidity, separate account performance, surrenders, operational expenses, investment returns, nonperformance risk adjustment and other factors. Actual experience on the purchased business may vary from these projections. The recovery of DAC and VOBA is dependent upon the future profitability of the related business.</w:t>
      </w:r>
    </w:p>
    <w:p>
      <w:pPr>
        <w:spacing w:after="0" w:line="8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Separate account rates of return on variable universal life contracts and variable deferred annuity contracts affect in-force account balances on such contracts each reporting period, which can result in significant fluctuations in amortization of DAC and VOBA, which is based on estimated gross profits. Our practice to determine the impact of gross profits resulting from returns on separate accounts assumes that long-term appreciation in equity markets is not changed by short-term market fluctuations, but is only changed when sustained interim deviations are expected. We monitor these events and only change the assumption when our long-term expectation changes. The effect of an increase (decrease) by 100 basis points in the assumed future rate of return is reasonably likely to result in a decrease (increase) in the DAC and VOBA amortization with an offset to our unearned revenue liability which nets to approximately $210 million. We use a mean reversion approach to separate account returns where the mean reversion period is five years with a long-term separate account return after the five-year reversion period is over. The current long-term rate of return assumption for the variable universal life contracts and variable deferred annuity contracts is in the mid-6% range.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2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also generally review other long-term assumptions underlying the projections of estimated gross profits on an annual basis. These assumptions primarily relate to investment returns, interest crediting rates, mortality, persistency, benefit elections and withdrawals and expenses to administer business. Assumptions used in the calculation of estimated gross profits which may have significantly changed are updated annually. If the update of assumptions causes expected future gross profits to increase, DAC and VOBA amortization will generally decrease, resulting in a current period increase to earnings. The opposite result occurs when the assumption update causes expected future gross profits to decrease.</w:t>
      </w:r>
    </w:p>
    <w:p>
      <w:pPr>
        <w:spacing w:after="0" w:line="6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most significant assumption updates resulting in a change to the expected future gross profits and the amortization of DAC and VOBA are due to revisions to expenses, in-force or persistency assumptions, benefit elections, withdrawals and expected future investment returns on annuity contracts and variable and universal life insurance policies. We expect these assumptions to be the ones most reasonably likely to cause significant changes in the future. Changes in these assumptions can be offsetting and we are unable to predict their movement or offsetting impact over time.</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we update the estimated gross profits with actual gross profits in each reporting period. When the change in estimated gross profits principally relates to the difference between actual and estimates in the current period, an increase in profits will generally result in an increase in amortization and a decrease in profits will generally result in a decrease in amortization.</w:t>
      </w:r>
    </w:p>
    <w:p>
      <w:pPr>
        <w:spacing w:after="0" w:line="73" w:lineRule="exact"/>
        <w:rPr>
          <w:sz w:val="20"/>
          <w:szCs w:val="20"/>
          <w:color w:val="auto"/>
        </w:rPr>
      </w:pPr>
    </w:p>
    <w:p>
      <w:pPr>
        <w:ind w:right="1460" w:firstLine="324"/>
        <w:spacing w:after="0" w:line="375" w:lineRule="auto"/>
        <w:rPr>
          <w:sz w:val="20"/>
          <w:szCs w:val="20"/>
          <w:color w:val="auto"/>
        </w:rPr>
      </w:pPr>
      <w:r>
        <w:rPr>
          <w:rFonts w:ascii="Arial" w:cs="Arial" w:eastAsia="Arial" w:hAnsi="Arial"/>
          <w:sz w:val="18"/>
          <w:szCs w:val="18"/>
          <w:color w:val="auto"/>
        </w:rPr>
        <w:t xml:space="preserve">See Note 5 of the Notes to the Consolidated Financial Statements for additional information related to DAC and VOBA amortization. </w:t>
      </w:r>
      <w:r>
        <w:rPr>
          <w:rFonts w:ascii="Arial" w:cs="Arial" w:eastAsia="Arial" w:hAnsi="Arial"/>
          <w:sz w:val="18"/>
          <w:szCs w:val="18"/>
          <w:b w:val="1"/>
          <w:bCs w:val="1"/>
          <w:i w:val="1"/>
          <w:iCs w:val="1"/>
          <w:color w:val="auto"/>
        </w:rPr>
        <w:t>Estimated Fair Value of Investments</w:t>
      </w:r>
    </w:p>
    <w:p>
      <w:pPr>
        <w:spacing w:after="0" w:line="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determining the estimated fair value of our investments, fair values are based on unadjusted quoted prices for identical investments in active markets that are readily and regularly obtainable. When such quoted prices are not available, fair values are based on quoted prices in markets that are not active, quoted prices for similar but not identical investments, or other observable inputs. If these inputs are not available, or observable inputs are not determinable, unobservable inputs and/or adjustments to observable inputs requiring management judgment are used to determine the estimated fair value of investments.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methodologies, assumptions and inputs utilized are described in Note 9 of the Notes to the Consolidated Financial Statements.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Financial markets are susceptible to severe events evidenced by rapid depreciation in asset values accompanied by a reduction in asset liquidity. Our ability to sell investments, or the price ultimately realized for investments, depends upon the demand and liquidity in the market and increases the use of judgment in determining the estimated fair value of certain investments.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Impairments</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One of the significant estimates related to AFS securities is our impairment evaluation. The assessment of whether an other-than-temporary impairment (“OTTI”) occurred is based on our case-by-case evaluation of the underlying reasons for the decline in estimated fair value on a security-by-security basis. Our review of each fixed maturity and equity security for OTTI includes an analysis of gross unrealized losses by three categories of severity and/or age of gross unrealized loss. An extended and severe unrealized loss position on a fixed maturity security may not have any impact on the ability of the issuer to service all scheduled interest and principal payments. Accordingly, such an unrealized loss position may not impact our evaluation of recoverability of all contractual cash flows or the ability to recover an amount at least equal to its amortized cost based on the present value of the expected future cash flows to be collected. In contrast, for certain equity securities, greater weight and consideration are given to a decline in estimated fair value and the likelihood such estimated fair value decline will recover.</w:t>
      </w:r>
    </w:p>
    <w:p>
      <w:pPr>
        <w:spacing w:after="0" w:line="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we consider a wide range of factors about the security issuer and use our best judgment in evaluating the cause of the decline in the estimated fair value of the security and in assessing the prospects for near-term recovery. Inherent in our evaluation of the security are assumptions and estimates about the operations of the issuer and its future earnings potential. Factors we consider in the OTTI evaluation process are described in Note 7 of the Notes to the Consolidated Financial Statements.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determination of the amount of allowances and impairments on the remaining invested asset classes is highly subjective and is based upon our periodic evaluation and assessment of known and inherent risks associated with the respective asset class. Such evaluations and assessments are revised as conditions change and new information becomes available.</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Notes 1 and 7 of the Notes to the Consolidated Financial Statements for additional information relating to our determination of the amount of allowances and impairments.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2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use freestanding derivative instruments to hedge various capital market risks in our products, including: (i) certain guarantees, some of which are reported as embedded derivatives; (ii) current or future changes in the fair value of our assets and liabilities; and (iii) current or future changes in cash flows. All derivatives, whether freestanding or embedded, are required to be carried on the balance sheet at fair value with changes reflected in either net income (loss) or in OCI, depending on the type of hedge. Below is a summary of critical accounting estimates by type of derivative.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Freestanding Derivatives</w:t>
      </w:r>
    </w:p>
    <w:p>
      <w:pPr>
        <w:spacing w:after="0" w:line="117" w:lineRule="exact"/>
        <w:rPr>
          <w:sz w:val="20"/>
          <w:szCs w:val="20"/>
          <w:color w:val="auto"/>
        </w:rPr>
      </w:pPr>
    </w:p>
    <w:p>
      <w:pPr>
        <w:jc w:val="both"/>
        <w:ind w:left="180" w:firstLine="324"/>
        <w:spacing w:after="0" w:line="297" w:lineRule="auto"/>
        <w:rPr>
          <w:sz w:val="20"/>
          <w:szCs w:val="20"/>
          <w:color w:val="auto"/>
        </w:rPr>
      </w:pPr>
      <w:r>
        <w:rPr>
          <w:rFonts w:ascii="Arial" w:cs="Arial" w:eastAsia="Arial" w:hAnsi="Arial"/>
          <w:sz w:val="16"/>
          <w:szCs w:val="16"/>
          <w:color w:val="auto"/>
        </w:rPr>
        <w:t>The determination of the estimated fair value of freestanding derivatives, when quoted market values are not available, is based on market standard valuation methodologies and inputs that management believes are consistent with what other market participants would use when pricing such instruments. Derivative valuations can be affected by changes in interest rates, foreign currency exchange rates, financial indices, credit spreads, default risk, nonperformance risk, volatility, liquidity and changes in estimates and assumptions used in the pricing models. See Note 8 of the Notes to the Consolidated Financial Statements for additional information on significant inputs into the OTC derivative pricing models and credit risk adjustment.</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Embedded Derivatives</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We issue variable annuity products with guaranteed minimum benefits, some of which are embedded derivatives measured at estimated fair value separately from the host variable annuity product, with changes in estimated fair value reported in net derivative gains (losses). The estimated fair values of these embedded derivatives are determined based on the present value of projected future benefits minus the present value of projected future fees attributable to the guarantee. The projections of future benefits and future fees require capital markets and actuarial assumptions, including expectations concerning policyholder behavior. A risk neutral valuation methodology is used under which the cash flows from the guarantees are projected under multiple capital market scenarios using observable risk-free rates.</w:t>
      </w:r>
    </w:p>
    <w:p>
      <w:pPr>
        <w:spacing w:after="0" w:line="85" w:lineRule="exact"/>
        <w:rPr>
          <w:sz w:val="20"/>
          <w:szCs w:val="20"/>
          <w:color w:val="auto"/>
        </w:rPr>
      </w:pPr>
    </w:p>
    <w:p>
      <w:pPr>
        <w:jc w:val="both"/>
        <w:ind w:left="180" w:firstLine="324"/>
        <w:spacing w:after="0" w:line="289" w:lineRule="auto"/>
        <w:rPr>
          <w:sz w:val="20"/>
          <w:szCs w:val="20"/>
          <w:color w:val="auto"/>
        </w:rPr>
      </w:pPr>
      <w:r>
        <w:rPr>
          <w:rFonts w:ascii="Arial" w:cs="Arial" w:eastAsia="Arial" w:hAnsi="Arial"/>
          <w:sz w:val="16"/>
          <w:szCs w:val="16"/>
          <w:color w:val="auto"/>
        </w:rPr>
        <w:t>Market conditions, including, but not limited to, changes in interest rates, equity indices, market volatility and variations in actuarial assumptions, including policyholder behavior, mortality and risk margins related to non-capital market inputs, as well as changes in our nonperformance risk adjustment may result in significant fluctuations in the estimated fair value of the guarantees that could materially affect net income. Changes to actuarial assumptions, principally related to contract holder behavior such as annuitization utilization and withdrawals associated with GMIB riders can result in a change of expected future cash outflows of a guarantee between the accrual-based model for insurance liabilities and the fair-value based model for embedded derivatives. See Note 1 of the Notes to the Consolidated Financial Statements for additional information relating to the determination of the accounting model. Risk margins are established to capture the non-capital market risks of the instrument which represent the additional compensation a market participant would require to assume the risks related to the uncertainties in certain actuarial assumptions. The establishment of risk margins requires the use of significant management judgment, including assumptions of the amount and cost of capital needed to cover the guarantees.</w:t>
      </w:r>
    </w:p>
    <w:p>
      <w:pPr>
        <w:spacing w:after="0" w:line="59" w:lineRule="exact"/>
        <w:rPr>
          <w:sz w:val="20"/>
          <w:szCs w:val="20"/>
          <w:color w:val="auto"/>
        </w:rPr>
      </w:pPr>
    </w:p>
    <w:p>
      <w:pPr>
        <w:jc w:val="both"/>
        <w:ind w:left="180" w:firstLine="324"/>
        <w:spacing w:after="0" w:line="287" w:lineRule="auto"/>
        <w:rPr>
          <w:sz w:val="20"/>
          <w:szCs w:val="20"/>
          <w:color w:val="auto"/>
        </w:rPr>
      </w:pPr>
      <w:r>
        <w:rPr>
          <w:rFonts w:ascii="Arial" w:cs="Arial" w:eastAsia="Arial" w:hAnsi="Arial"/>
          <w:sz w:val="16"/>
          <w:szCs w:val="16"/>
          <w:color w:val="auto"/>
        </w:rPr>
        <w:t>With respect to assumptions regarding policyholder behavior, we have recorded charges, and in some cases benefits, in prior years as a result of the availability of sufficient and credible data at the conclusion of each review. During the second quarter of 2016, MetLife undertook its annual review of actuarial assumptions for its U.S. retail variable annuity business in light of the availability of updated industry studies and a larger body of cumulative actual experience data than had been previously available. This data provided greater insight into contract holder behavior for GMIB riders passing the initial 10-year waiting period before benefits can be fully utilized. As a result of this review, we made changes to contract holder benefit utilization behavior and long-term economic assumptions, as well as risk margins. These assumption updates resulted in a change in our estimate of expected future cash flows and moved certain of those cash flows from the accrual-based insurance liabilities model to the fair value-based embedded derivatives model. This change in accounting estimate and the resulting charge to earnings were primarily due to an increase in the anticipated level of forced annuitizations where the non-life contingent portion is now reported as an embedded derivative. With more of the estimated future cash outflows being accounted for as embedded derivatives, the GMIB rider liabilities are more sensitive to market changes and thus may result in greater income statement volatility. In addition, in the third quarter of 2016, we performed the annual review of our actuarial assumptions for our remaining annuity and life businesses.</w:t>
      </w:r>
    </w:p>
    <w:p>
      <w:pPr>
        <w:spacing w:after="0" w:line="65"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We ceded the risk associated with certain of the variable annuities with guaranteed minimum benefits described in the preceding paragraphs. The value of the embedded derivatives on the ceded risk is determined using a methodology consistent with that described previously for the guarantees directly written by us with the exception of the input for nonperformance risk that reflects the credit of the reinsurer. However, because certain of the reinsured guarantees do not meet the definition of an embedded derivative and, thus are not accounted for at fair value, significant fluctuations in net income may occur when the change in the fair value of the reinsurance recoverable is recorded in net income without a corresponding and offsetting change in fair value of the directly written guaranteed liability.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2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8 of the Notes to the Consolidated Financial Statements for additional information on our embedded derivatives.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Nonperformance Risk Adjustment</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valuation of our embedded derivatives includes an adjustment for the risk that we fail to satisfy our obligations, which we refer to as our nonperformance risk. The nonperformance risk adjustment, which is captured as a spread over the risk-free rate in determining the discount rate to discount the cash flows of the liability, was previously determined by taking into consideration publicly available information relating to spreads in the secondary market for MetLife, Inc.’s debt, including related credit default swaps.</w:t>
      </w:r>
    </w:p>
    <w:p>
      <w:pPr>
        <w:spacing w:after="0" w:line="79"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In the third quarter of 2017, in connection with the Separation, we updated our assumptions for determining the credit spread underlying the nonperformance risk adjustment to be based on Brighthouse Financial, Inc.’s creditworthiness instead of that of MetLife, Inc. The credit spread was determined by taking into consideration publicly available information relating to spreads in the secondary market for Brighthouse Financial, Inc.’s debt. These observable spreads are then adjusted, as necessary, to reflect the financial strength ratings of the issuing insurance subsidiaries as compared to the credit rating of Brighthouse Financial, Inc.</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provide for federal and state income taxes currently payable, as well as those deferred due to temporary differences between the financial reporting and tax bases of assets and liabilities. Our accounting for income taxes represents our best estimate of various events and transactions. Tax laws are often complex and may be subject to differing interpretations by the taxpayer and the relevant governmental taxing authorities. In establishing a provision for income tax expense, we must make judgments and interpretations about the application of tax laws. We must also make estimates about when in the future certain items will affect taxable income in the various taxing jurisdictions.</w:t>
      </w:r>
    </w:p>
    <w:p>
      <w:pPr>
        <w:spacing w:after="0" w:line="8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establishing a liability for unrecognized tax benefits, assumptions may be made in determining whether, and to what extent, a tax position may be sustained. Once established, unrecognized tax benefits are adjusted when there is more information available or when events occur requiring a change.</w:t>
      </w:r>
    </w:p>
    <w:p>
      <w:pPr>
        <w:spacing w:after="0" w:line="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Valuation allowances are established against deferred tax assets, particularly those arising from carryforwards, when management determines, based on available information, that it is more likely than not that deferred income tax assets will not be realized. The realization of deferred tax assets related to carryforwards depends upon the existence of sufficient taxable income within the carryforward periods under the tax law in the applicable tax jurisdiction. Significant judgment is required in projecting future taxable income to determine whether valuation allowances should be established, as well as the amount of such allowances. See Note 1 of the Notes to the Consolidated Financial Statements for additional information relating to our determination of such valuation allowances.</w:t>
      </w:r>
    </w:p>
    <w:p>
      <w:pPr>
        <w:spacing w:after="0" w:line="8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may be required to change our provision for income taxes when estimates used in determining valuation allowances on deferred tax assets significantly change, or when new information indicates the need for adjustment in valuation allowances. Additionally, future events, such as changes in tax laws, tax regulations, or interpretations of such laws or regulations, could have an impact on the provision for income tax and the effective tax rate. Any such changes could significantly affect the amounts reported in the financial statements in the year these changes occur.</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22, 2017, President Trump signed the Tax Act into law. The Tax Act reduced the corporate tax rate to 21%, reduced interest expense deductibility, increased capitalization amounts for deferred acquisition costs, eliminated the corporate alternative minimum tax, provided for determining reserve deductions at 92.81% of statutory reserves, and reduced the dividend received deduction. Most of the changes in the Tax Act are effective on January 1, 2018.</w:t>
      </w:r>
    </w:p>
    <w:p>
      <w:pPr>
        <w:spacing w:after="0" w:line="7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reduction in the corporate rate required a one-time re-measurement of certain deferred tax items as of December 31, 2017. For the estimated impact of the Tax Act on the financial statements, including the estimated impact resulting from the re-measurement of deferred tax assets and liabilities. See Note 13 of the Notes to the Consolidated Financial Statements for more information. Actual results may materially differ from the Company’s current estimate due to, among other things, further guidance that may be issued by tax authorities or regulatory bodies and/or changes in interpretations and assumptions preliminarily made. The Company will continue to analyze the Tax Act to finalize its financial statement impact.</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1 and 13 of the Notes to the Consolidated Financial Statements for additional information on our income taxes.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2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Contingencies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a party to a number of legal actions and are involved in a number of regulatory investigations. Given the inherent unpredictability of these matters, it is difficult to estimate the impact on our financial position. Liabilities are established when it is probable that a loss has been incurred and the amount of the loss can be reasonably estimated. On a quarterly and annual basis, we review relevant information with respect to liabilities for litigation, regulatory investigations and litigation-related contingencies to be reflected in our results of operations and financial condition.</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14 of the Notes to the Consolidated Financial Statements for additional information regarding our assessment of litigation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and Other Financial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Disclosures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Adjusted Earnings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this report, we present adjusted earnings as a measure of our performance that is not calculated in accordance with GAAP. We believe that this non-GAAP financial measure enhances the understanding of our performance by highlighting the results of operations and the underlying profitability drivers of our business. However, adjusted earnings should not be viewed as a substitute for net income (loss), which is the most directly comparable financial measure calculated in accordance with GAAP. See “— Results of Operations” for a reconciliation of adjusted earnings to net income (loss). A reconciliation of adjusted earnings to net income (loss) is not accessible on a forward-looking basis because we believe it is not possible without unreasonable efforts to provide other than a range of net investment gains and losses and net derivative gains and losses, which can fluctuate significantly within or outside the range and from period to period and may have a material impact on net income (loss).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definitions of the non-GAAP and other financial measures discussed in this report may differ from those used by other companies. For example, as indicated below, we exclude GMIB revenues and related embedded derivatives gains (losses), as well as GMIB benefits and associated DAC and VOBA offsets from adjusted earnings, thereby excluding substantially all GMLB activity from adjusted earnings.</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Adjusted earnings, which may be positive or negative, is used by management to evaluate performance, allocate resources and facilitate comparisons to industry results. This financial measure focuses on our primary businesses principally by excluding the impact of market volatility, which could distort trends, as well as businesses that have been or will be sold or exited by us, referred to as divested businesses.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significant items excluded from total revenues, net of income tax, in calculating adjusted earnings:</w:t>
      </w:r>
    </w:p>
    <w:p>
      <w:pPr>
        <w:spacing w:after="0" w:line="117" w:lineRule="exact"/>
        <w:rPr>
          <w:sz w:val="20"/>
          <w:szCs w:val="20"/>
          <w:color w:val="auto"/>
        </w:rPr>
      </w:pPr>
    </w:p>
    <w:p>
      <w:pPr>
        <w:ind w:left="980" w:hanging="25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7" w:lineRule="exact"/>
        <w:rPr>
          <w:rFonts w:ascii="Arial" w:cs="Arial" w:eastAsia="Arial" w:hAnsi="Arial"/>
          <w:sz w:val="18"/>
          <w:szCs w:val="18"/>
          <w:color w:val="auto"/>
        </w:rPr>
      </w:pPr>
    </w:p>
    <w:p>
      <w:pPr>
        <w:ind w:left="980" w:right="20" w:hanging="256"/>
        <w:spacing w:after="0" w:line="342"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Net derivative gains (losses) except earned income on derivatives and amortization of premium on derivatives that are hedges of investments or that are used to replicate certain investments, but do not qualify for hedge accounting treatment (“Investment Hedge Adjustments”); and</w:t>
      </w:r>
    </w:p>
    <w:p>
      <w:pPr>
        <w:spacing w:after="0" w:line="15" w:lineRule="exact"/>
        <w:rPr>
          <w:rFonts w:ascii="Arial" w:cs="Arial" w:eastAsia="Arial" w:hAnsi="Arial"/>
          <w:sz w:val="16"/>
          <w:szCs w:val="16"/>
          <w:color w:val="auto"/>
        </w:rPr>
      </w:pPr>
    </w:p>
    <w:p>
      <w:pPr>
        <w:ind w:left="980" w:hanging="256"/>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Amortization of unearned revenue related to net investment gains (losses) and net derivative gains (losses) and certain variable annuity GMIB fees (“GMIB Fees”).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significant items excluded from total expenses, net of income tax, in calculating adjusted earnings:</w:t>
      </w:r>
    </w:p>
    <w:p>
      <w:pPr>
        <w:spacing w:after="0" w:line="117" w:lineRule="exact"/>
        <w:rPr>
          <w:sz w:val="20"/>
          <w:szCs w:val="20"/>
          <w:color w:val="auto"/>
        </w:rPr>
      </w:pPr>
    </w:p>
    <w:p>
      <w:pPr>
        <w:ind w:left="980" w:hanging="25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associated with benefits and hedging costs related to GMIBs (“GMIB Costs”);</w:t>
      </w:r>
    </w:p>
    <w:p>
      <w:pPr>
        <w:spacing w:after="0" w:line="117" w:lineRule="exact"/>
        <w:rPr>
          <w:rFonts w:ascii="Arial" w:cs="Arial" w:eastAsia="Arial" w:hAnsi="Arial"/>
          <w:sz w:val="18"/>
          <w:szCs w:val="18"/>
          <w:color w:val="auto"/>
        </w:rPr>
      </w:pPr>
    </w:p>
    <w:p>
      <w:pPr>
        <w:ind w:left="980" w:right="20" w:hanging="25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 and</w:t>
      </w:r>
    </w:p>
    <w:p>
      <w:pPr>
        <w:spacing w:after="0" w:line="62" w:lineRule="exact"/>
        <w:rPr>
          <w:rFonts w:ascii="Arial" w:cs="Arial" w:eastAsia="Arial" w:hAnsi="Arial"/>
          <w:sz w:val="18"/>
          <w:szCs w:val="18"/>
          <w:color w:val="auto"/>
        </w:rPr>
      </w:pPr>
    </w:p>
    <w:p>
      <w:pPr>
        <w:ind w:left="980" w:hanging="25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Amortization of DAC and VOBA related to (i) net investment gains (losses), (ii) net derivative gains (losses), (iii) GMIB Fees and GMIB Costs and (iv) Market Value Adjustments.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tax impact of the adjustments mentioned are calculated net of the U.S. statutory tax rate, which could differ from our effective tax rate.</w:t>
      </w:r>
    </w:p>
    <w:p>
      <w:pPr>
        <w:spacing w:after="0" w:line="117"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present adjusted earnings in a manner consistent with management’s view of the primary business activities that drive the profitability of our core businesses. The following table illustrates how each component of adjusted earnings is calculated from the GAAP statement of operations line items: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2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4"/>
          <w:szCs w:val="14"/>
          <w:b w:val="1"/>
          <w:bCs w:val="1"/>
          <w:color w:val="auto"/>
        </w:rPr>
        <w:t>Component of Adjusted Earnings</w:t>
      </w:r>
      <w:r>
        <w:rPr>
          <w:sz w:val="20"/>
          <w:szCs w:val="20"/>
          <w:color w:val="auto"/>
        </w:rPr>
        <w:tab/>
      </w:r>
      <w:r>
        <w:rPr>
          <w:rFonts w:ascii="Arial" w:cs="Arial" w:eastAsia="Arial" w:hAnsi="Arial"/>
          <w:sz w:val="13"/>
          <w:szCs w:val="13"/>
          <w:b w:val="1"/>
          <w:bCs w:val="1"/>
          <w:color w:val="auto"/>
        </w:rPr>
        <w:t>How Derived from GAAP (1)</w:t>
      </w:r>
    </w:p>
    <w:p>
      <w:pPr>
        <w:sectPr>
          <w:pgSz w:w="11900" w:h="16838" w:orient="portrait"/>
          <w:cols w:equalWidth="0" w:num="1">
            <w:col w:w="11420"/>
          </w:cols>
          <w:pgMar w:left="240" w:top="229" w:right="239" w:bottom="1440" w:gutter="0" w:footer="0" w:header="0"/>
        </w:sectPr>
      </w:pPr>
    </w:p>
    <w:p>
      <w:pPr>
        <w:spacing w:after="0" w:line="50" w:lineRule="exact"/>
        <w:rPr>
          <w:sz w:val="20"/>
          <w:szCs w:val="20"/>
          <w:color w:val="auto"/>
        </w:rPr>
      </w:pPr>
    </w:p>
    <w:p>
      <w:pPr>
        <w:ind w:left="500" w:hanging="2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Fee income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500" w:hanging="28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investment spread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Insurance-related activities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500" w:hanging="32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Amortization of DAC and VOBA</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00" w:hanging="270"/>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 expenses, net of DAC capitalization</w:t>
      </w:r>
    </w:p>
    <w:p>
      <w:pPr>
        <w:spacing w:after="0" w:line="140" w:lineRule="exact"/>
        <w:rPr>
          <w:rFonts w:ascii="Arial" w:cs="Arial" w:eastAsia="Arial" w:hAnsi="Arial"/>
          <w:sz w:val="16"/>
          <w:szCs w:val="16"/>
          <w:color w:val="auto"/>
        </w:rPr>
      </w:pPr>
    </w:p>
    <w:p>
      <w:pPr>
        <w:ind w:left="500" w:hanging="320"/>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Provision for income tax expense (benefit)</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r>
        <w:rPr>
          <w:rFonts w:ascii="Arial" w:cs="Arial" w:eastAsia="Arial" w:hAnsi="Arial"/>
          <w:sz w:val="14"/>
          <w:szCs w:val="14"/>
          <w:b w:val="1"/>
          <w:bCs w:val="1"/>
          <w:color w:val="auto"/>
        </w:rPr>
        <w:t>_</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both"/>
        <w:ind w:left="323" w:right="40" w:hanging="223"/>
        <w:spacing w:after="0" w:line="302" w:lineRule="auto"/>
        <w:tabs>
          <w:tab w:leader="none" w:pos="323"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Universal life and investment-type policy fee</w:t>
      </w:r>
      <w:r>
        <w:rPr>
          <w:rFonts w:ascii="Arial" w:cs="Arial" w:eastAsia="Arial" w:hAnsi="Arial"/>
          <w:sz w:val="16"/>
          <w:szCs w:val="16"/>
          <w:color w:val="auto"/>
        </w:rPr>
        <w:t>s (excluding (a) unearned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adjustments related to net investment gains (losses) and net derivative gains (losses) and (b) GMIB Fees) plus </w:t>
      </w:r>
      <w:r>
        <w:rPr>
          <w:rFonts w:ascii="Arial" w:cs="Arial" w:eastAsia="Arial" w:hAnsi="Arial"/>
          <w:sz w:val="16"/>
          <w:szCs w:val="16"/>
          <w:i w:val="1"/>
          <w:iCs w:val="1"/>
          <w:color w:val="auto"/>
        </w:rPr>
        <w:t>Other revenues</w:t>
      </w:r>
      <w:r>
        <w:rPr>
          <w:rFonts w:ascii="Arial" w:cs="Arial" w:eastAsia="Arial" w:hAnsi="Arial"/>
          <w:sz w:val="16"/>
          <w:szCs w:val="16"/>
          <w:color w:val="auto"/>
        </w:rPr>
        <w:t xml:space="preserve"> (excluding other revenues associated with related party reinsurance) and amortization of deferred gain on reinsurance.</w:t>
      </w:r>
    </w:p>
    <w:p>
      <w:pPr>
        <w:spacing w:after="0" w:line="46" w:lineRule="exact"/>
        <w:rPr>
          <w:rFonts w:ascii="Arial" w:cs="Arial" w:eastAsia="Arial" w:hAnsi="Arial"/>
          <w:sz w:val="16"/>
          <w:szCs w:val="16"/>
          <w:color w:val="auto"/>
        </w:rPr>
      </w:pPr>
    </w:p>
    <w:p>
      <w:pPr>
        <w:jc w:val="both"/>
        <w:ind w:left="323" w:right="20" w:hanging="273"/>
        <w:spacing w:after="0" w:line="259"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Net investment income </w:t>
      </w:r>
      <w:r>
        <w:rPr>
          <w:rFonts w:ascii="Arial" w:cs="Arial" w:eastAsia="Arial" w:hAnsi="Arial"/>
          <w:sz w:val="18"/>
          <w:szCs w:val="18"/>
          <w:color w:val="auto"/>
        </w:rPr>
        <w:t>(excluding securitization entities income) plus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Hedge Adjustments and interest received on ceded fixed annuity reinsurance deposit funds reduced by </w:t>
      </w:r>
      <w:r>
        <w:rPr>
          <w:rFonts w:ascii="Arial" w:cs="Arial" w:eastAsia="Arial" w:hAnsi="Arial"/>
          <w:sz w:val="18"/>
          <w:szCs w:val="18"/>
          <w:i w:val="1"/>
          <w:iCs w:val="1"/>
          <w:color w:val="auto"/>
        </w:rPr>
        <w:t>Interest credited to policyholder account balances</w:t>
      </w:r>
      <w:r>
        <w:rPr>
          <w:rFonts w:ascii="Arial" w:cs="Arial" w:eastAsia="Arial" w:hAnsi="Arial"/>
          <w:sz w:val="18"/>
          <w:szCs w:val="18"/>
          <w:color w:val="auto"/>
        </w:rPr>
        <w:t xml:space="preserve"> and interest on future policy benefits.</w:t>
      </w:r>
    </w:p>
    <w:p>
      <w:pPr>
        <w:spacing w:after="0" w:line="78" w:lineRule="exact"/>
        <w:rPr>
          <w:rFonts w:ascii="Arial" w:cs="Arial" w:eastAsia="Arial" w:hAnsi="Arial"/>
          <w:sz w:val="18"/>
          <w:szCs w:val="18"/>
          <w:color w:val="auto"/>
        </w:rPr>
      </w:pPr>
    </w:p>
    <w:p>
      <w:pPr>
        <w:jc w:val="both"/>
        <w:ind w:left="323" w:right="40" w:hanging="323"/>
        <w:spacing w:after="0" w:line="259"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Premiums </w:t>
      </w:r>
      <w:r>
        <w:rPr>
          <w:rFonts w:ascii="Arial" w:cs="Arial" w:eastAsia="Arial" w:hAnsi="Arial"/>
          <w:sz w:val="18"/>
          <w:szCs w:val="18"/>
          <w:color w:val="auto"/>
        </w:rPr>
        <w:t>less</w:t>
      </w:r>
      <w:r>
        <w:rPr>
          <w:rFonts w:ascii="Arial" w:cs="Arial" w:eastAsia="Arial" w:hAnsi="Arial"/>
          <w:sz w:val="18"/>
          <w:szCs w:val="18"/>
          <w:i w:val="1"/>
          <w:iCs w:val="1"/>
          <w:color w:val="auto"/>
        </w:rPr>
        <w:t xml:space="preserve"> Policyholder benefits and claims </w:t>
      </w:r>
      <w:r>
        <w:rPr>
          <w:rFonts w:ascii="Arial" w:cs="Arial" w:eastAsia="Arial" w:hAnsi="Arial"/>
          <w:sz w:val="18"/>
          <w:szCs w:val="18"/>
          <w:color w:val="auto"/>
        </w:rPr>
        <w:t>(excluding (a) GMIB Costs, (b)</w:t>
      </w:r>
      <w:r>
        <w:rPr>
          <w:rFonts w:ascii="Arial" w:cs="Arial" w:eastAsia="Arial" w:hAnsi="Arial"/>
          <w:sz w:val="18"/>
          <w:szCs w:val="18"/>
          <w:i w:val="1"/>
          <w:iCs w:val="1"/>
          <w:color w:val="auto"/>
        </w:rPr>
        <w:t xml:space="preserve"> </w:t>
      </w:r>
      <w:r>
        <w:rPr>
          <w:rFonts w:ascii="Arial" w:cs="Arial" w:eastAsia="Arial" w:hAnsi="Arial"/>
          <w:sz w:val="18"/>
          <w:szCs w:val="18"/>
          <w:color w:val="auto"/>
        </w:rPr>
        <w:t>Market Value Adjustments, (c) interest on future policy benefits and (d) amortization of deferred gain on reinsurance) plus the pass through of performance of ceded separate account assets.</w:t>
      </w:r>
    </w:p>
    <w:p>
      <w:pPr>
        <w:spacing w:after="0" w:line="51" w:lineRule="exact"/>
        <w:rPr>
          <w:rFonts w:ascii="Arial" w:cs="Arial" w:eastAsia="Arial" w:hAnsi="Arial"/>
          <w:sz w:val="18"/>
          <w:szCs w:val="18"/>
          <w:color w:val="auto"/>
        </w:rPr>
      </w:pPr>
    </w:p>
    <w:p>
      <w:pPr>
        <w:jc w:val="both"/>
        <w:ind w:left="323" w:right="40" w:hanging="313"/>
        <w:spacing w:after="0" w:line="291" w:lineRule="auto"/>
        <w:tabs>
          <w:tab w:leader="none" w:pos="323"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Amortization of DAC and VOBA (excluding amounts related to (a) net investment gains (losses), (b) net derivative gains (losses), (c) GMIB Fees and GMIB Costs and</w:t>
      </w:r>
    </w:p>
    <w:p>
      <w:pPr>
        <w:ind w:left="323"/>
        <w:spacing w:after="0"/>
        <w:rPr>
          <w:rFonts w:ascii="Arial" w:cs="Arial" w:eastAsia="Arial" w:hAnsi="Arial"/>
          <w:sz w:val="16"/>
          <w:szCs w:val="16"/>
          <w:color w:val="auto"/>
        </w:rPr>
      </w:pPr>
      <w:r>
        <w:rPr>
          <w:rFonts w:ascii="Arial" w:cs="Arial" w:eastAsia="Arial" w:hAnsi="Arial"/>
          <w:sz w:val="18"/>
          <w:szCs w:val="18"/>
          <w:color w:val="auto"/>
        </w:rPr>
        <w:t>(d) Market Value Adjustments).</w:t>
      </w:r>
    </w:p>
    <w:p>
      <w:pPr>
        <w:spacing w:after="0" w:line="75" w:lineRule="exact"/>
        <w:rPr>
          <w:rFonts w:ascii="Arial" w:cs="Arial" w:eastAsia="Arial" w:hAnsi="Arial"/>
          <w:sz w:val="16"/>
          <w:szCs w:val="16"/>
          <w:color w:val="auto"/>
        </w:rPr>
      </w:pPr>
    </w:p>
    <w:p>
      <w:pPr>
        <w:ind w:left="323" w:hanging="263"/>
        <w:spacing w:after="0"/>
        <w:tabs>
          <w:tab w:leader="none" w:pos="323"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Other expenses </w:t>
      </w:r>
      <w:r>
        <w:rPr>
          <w:rFonts w:ascii="Arial" w:cs="Arial" w:eastAsia="Arial" w:hAnsi="Arial"/>
          <w:sz w:val="16"/>
          <w:szCs w:val="16"/>
          <w:color w:val="auto"/>
        </w:rPr>
        <w:t>reduced by capitalization of DAC and securitization entities expense.</w:t>
      </w:r>
    </w:p>
    <w:p>
      <w:pPr>
        <w:spacing w:after="0" w:line="113" w:lineRule="exact"/>
        <w:rPr>
          <w:rFonts w:ascii="Arial" w:cs="Arial" w:eastAsia="Arial" w:hAnsi="Arial"/>
          <w:sz w:val="16"/>
          <w:szCs w:val="16"/>
          <w:color w:val="auto"/>
        </w:rPr>
      </w:pPr>
    </w:p>
    <w:p>
      <w:pPr>
        <w:ind w:left="323" w:hanging="313"/>
        <w:spacing w:after="0"/>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impact of the above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-3078480</wp:posOffset>
            </wp:positionH>
            <wp:positionV relativeFrom="paragraph">
              <wp:posOffset>-2025650</wp:posOffset>
            </wp:positionV>
            <wp:extent cx="7246620" cy="617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61722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-790575</wp:posOffset>
            </wp:positionV>
            <wp:extent cx="724662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-139065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5" w:lineRule="exact"/>
        <w:rPr>
          <w:sz w:val="20"/>
          <w:szCs w:val="20"/>
          <w:color w:val="auto"/>
        </w:rPr>
      </w:pPr>
    </w:p>
    <w:p>
      <w:pPr>
        <w:sectPr>
          <w:pgSz w:w="11900" w:h="16838" w:orient="portrait"/>
          <w:cols w:equalWidth="0" w:num="2">
            <w:col w:w="4137" w:space="720"/>
            <w:col w:w="6563"/>
          </w:cols>
          <w:pgMar w:left="240" w:top="229" w:right="239" w:bottom="1440" w:gutter="0" w:footer="0" w:header="0"/>
          <w:type w:val="continuous"/>
        </w:sectPr>
      </w:pPr>
    </w:p>
    <w:p>
      <w:pPr>
        <w:spacing w:after="0"/>
        <w:rPr>
          <w:sz w:val="20"/>
          <w:szCs w:val="20"/>
          <w:color w:val="auto"/>
        </w:rPr>
      </w:pPr>
      <w:r>
        <w:rPr>
          <w:rFonts w:ascii="Arial" w:cs="Arial" w:eastAsia="Arial" w:hAnsi="Arial"/>
          <w:sz w:val="18"/>
          <w:szCs w:val="18"/>
          <w:color w:val="auto"/>
        </w:rPr>
        <w:t>(1) Italicized items indicate GAAP statement of operations line items.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Consistent with GAAP guidance for segment reporting, adjusted earnings is also our GAAP measure of segment performance. Accordingly, we report adjusted earnings by segment in Note 2 of the Notes to the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Disclosures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additional information is relevant to an understanding of our performance results:</w:t>
      </w:r>
    </w:p>
    <w:p>
      <w:pPr>
        <w:spacing w:after="0" w:line="117" w:lineRule="exact"/>
        <w:rPr>
          <w:sz w:val="20"/>
          <w:szCs w:val="20"/>
          <w:color w:val="auto"/>
        </w:rPr>
      </w:pPr>
    </w:p>
    <w:p>
      <w:pPr>
        <w:jc w:val="both"/>
        <w:ind w:left="660" w:hanging="328"/>
        <w:spacing w:after="0" w:line="25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We sometimes refer to sales activity for various products. Statistical sales information for life sales are calculated using the LIMRA (Life Insurance Marketing and Research Association) definition of sales for core direct sales, excluding company sponsored internal exchanges, corporate-owned life insurance, bank-owned life insurance, and private placement variable universal life insurance. Annuity sales consist of 10% of direct statutory premiums, excluding company sponsored internal exchanges. These sales statistics do not correspond to revenues under GAAP, but are used as relevant measures of business activity.</w:t>
      </w:r>
    </w:p>
    <w:p>
      <w:pPr>
        <w:spacing w:after="0" w:line="80" w:lineRule="exact"/>
        <w:rPr>
          <w:rFonts w:ascii="Arial" w:cs="Arial" w:eastAsia="Arial" w:hAnsi="Arial"/>
          <w:sz w:val="18"/>
          <w:szCs w:val="18"/>
          <w:b w:val="1"/>
          <w:bCs w:val="1"/>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Allocated equity is the portion of common stockholder’s equity that management allocates to each of its segments and sub-segments. See “Management’s Discussion and Analysis of Financial Condition and Results of Operations — Introduction.” and Note 2 of the Notes to the Consolidated Financial Statements for further details regarding allocated equity and the use of an internal capital model.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Business Overview. </w:t>
      </w:r>
      <w:r>
        <w:rPr>
          <w:rFonts w:ascii="Arial" w:cs="Arial" w:eastAsia="Arial" w:hAnsi="Arial"/>
          <w:sz w:val="18"/>
          <w:szCs w:val="18"/>
          <w:color w:val="auto"/>
        </w:rPr>
        <w:t>We continue to evaluate our product offerings with the goal to provide new products that are simpler, more transparent and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value to our advisors, clients and shareholders. New business efforts in 2017 centered on the sale of our structured index-linked annuity products (“Shield Annuities”), which increased 50% compared to 2016. In addition, as part of our distribution agreement with MassMutual, we launched a new fixed indexed annuity product in the second half of 2017. However, overall 2017 sales declined on a comparative basis due to impacts from Separation-related events that occurred in 2016, including the sale of MPCG to MassMutual and the suspension of sales by Fidelity, as well as our migration away from participating whole life and certain term life products.</w:t>
      </w:r>
    </w:p>
    <w:p>
      <w:pPr>
        <w:spacing w:after="0" w:line="8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Unless otherwise noted, all amounts in the following discussions of our results of operations are stated before income tax except for adjusted earnings amounts, which are presented net of income tax.</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29" w:right="239" w:bottom="1440" w:gutter="0" w:footer="0" w:header="0"/>
          <w:type w:val="continuous"/>
        </w:sectPr>
      </w:pPr>
    </w:p>
    <w:bookmarkStart w:id="62" w:name="page63"/>
    <w:bookmarkEnd w:id="6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Universal life and investment-type product policy fees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revenues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investment gains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derivative gains (losses)</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Expenses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Policyholder benefits and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credited to policyholder account balances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Capitalization of DAC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DAC and VOBA</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expense on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expenses</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before provision for income tax</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Provision for 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Net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23495</wp:posOffset>
            </wp:positionV>
            <wp:extent cx="19551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p>
      <w:pPr>
        <w:ind w:left="580"/>
        <w:spacing w:after="0"/>
        <w:tabs>
          <w:tab w:leader="none" w:pos="21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23495</wp:posOffset>
            </wp:positionV>
            <wp:extent cx="19551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9"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(In millions)</w:t>
      </w:r>
    </w:p>
    <w:p>
      <w:pPr>
        <w:spacing w:after="0" w:line="338" w:lineRule="exact"/>
        <w:rPr>
          <w:sz w:val="20"/>
          <w:szCs w:val="20"/>
          <w:color w:val="auto"/>
        </w:rPr>
      </w:pPr>
    </w:p>
    <w:p>
      <w:pPr>
        <w:spacing w:after="0"/>
        <w:tabs>
          <w:tab w:leader="none" w:pos="1100" w:val="left"/>
          <w:tab w:leader="none" w:pos="1600" w:val="left"/>
          <w:tab w:leader="none" w:pos="25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828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1,180</w:t>
      </w:r>
    </w:p>
    <w:p>
      <w:pPr>
        <w:spacing w:after="0" w:line="86" w:lineRule="exact"/>
        <w:rPr>
          <w:sz w:val="20"/>
          <w:szCs w:val="20"/>
          <w:color w:val="auto"/>
        </w:rPr>
      </w:pPr>
    </w:p>
    <w:p>
      <w:pPr>
        <w:ind w:left="1000"/>
        <w:spacing w:after="0"/>
        <w:tabs>
          <w:tab w:leader="none" w:pos="2560" w:val="left"/>
        </w:tabs>
        <w:rPr>
          <w:sz w:val="20"/>
          <w:szCs w:val="20"/>
          <w:color w:val="auto"/>
        </w:rPr>
      </w:pPr>
      <w:r>
        <w:rPr>
          <w:rFonts w:ascii="Arial" w:cs="Arial" w:eastAsia="Arial" w:hAnsi="Arial"/>
          <w:sz w:val="16"/>
          <w:szCs w:val="16"/>
          <w:color w:val="auto"/>
        </w:rPr>
        <w:t>3,156</w:t>
      </w:r>
      <w:r>
        <w:rPr>
          <w:sz w:val="20"/>
          <w:szCs w:val="20"/>
          <w:color w:val="auto"/>
        </w:rPr>
        <w:tab/>
      </w:r>
      <w:r>
        <w:rPr>
          <w:rFonts w:ascii="Arial" w:cs="Arial" w:eastAsia="Arial" w:hAnsi="Arial"/>
          <w:sz w:val="16"/>
          <w:szCs w:val="16"/>
          <w:color w:val="auto"/>
        </w:rPr>
        <w:t>3,097</w:t>
      </w:r>
    </w:p>
    <w:p>
      <w:pPr>
        <w:spacing w:after="0" w:line="86" w:lineRule="exact"/>
        <w:rPr>
          <w:sz w:val="20"/>
          <w:szCs w:val="20"/>
          <w:color w:val="auto"/>
        </w:rPr>
      </w:pPr>
    </w:p>
    <w:p>
      <w:pPr>
        <w:ind w:left="1000"/>
        <w:spacing w:after="0"/>
        <w:tabs>
          <w:tab w:leader="none" w:pos="2580" w:val="left"/>
        </w:tabs>
        <w:rPr>
          <w:sz w:val="20"/>
          <w:szCs w:val="20"/>
          <w:color w:val="auto"/>
        </w:rPr>
      </w:pPr>
      <w:r>
        <w:rPr>
          <w:rFonts w:ascii="Arial" w:cs="Arial" w:eastAsia="Arial" w:hAnsi="Arial"/>
          <w:sz w:val="15"/>
          <w:szCs w:val="15"/>
          <w:color w:val="auto"/>
        </w:rPr>
        <w:t>2,973</w:t>
      </w:r>
      <w:r>
        <w:rPr>
          <w:sz w:val="20"/>
          <w:szCs w:val="20"/>
          <w:color w:val="auto"/>
        </w:rPr>
        <w:tab/>
      </w:r>
      <w:r>
        <w:rPr>
          <w:rFonts w:ascii="Arial" w:cs="Arial" w:eastAsia="Arial" w:hAnsi="Arial"/>
          <w:sz w:val="15"/>
          <w:szCs w:val="15"/>
          <w:color w:val="auto"/>
        </w:rPr>
        <w:t>3,111</w:t>
      </w:r>
    </w:p>
    <w:p>
      <w:pPr>
        <w:spacing w:after="0" w:line="98" w:lineRule="exact"/>
        <w:rPr>
          <w:sz w:val="20"/>
          <w:szCs w:val="20"/>
          <w:color w:val="auto"/>
        </w:rPr>
      </w:pPr>
    </w:p>
    <w:p>
      <w:pPr>
        <w:ind w:left="1120"/>
        <w:spacing w:after="0"/>
        <w:tabs>
          <w:tab w:leader="none" w:pos="2680" w:val="left"/>
        </w:tabs>
        <w:rPr>
          <w:sz w:val="20"/>
          <w:szCs w:val="20"/>
          <w:color w:val="auto"/>
        </w:rPr>
      </w:pPr>
      <w:r>
        <w:rPr>
          <w:rFonts w:ascii="Arial" w:cs="Arial" w:eastAsia="Arial" w:hAnsi="Arial"/>
          <w:sz w:val="16"/>
          <w:szCs w:val="16"/>
          <w:color w:val="auto"/>
        </w:rPr>
        <w:t>336</w:t>
      </w:r>
      <w:r>
        <w:rPr>
          <w:sz w:val="20"/>
          <w:szCs w:val="20"/>
          <w:color w:val="auto"/>
        </w:rPr>
        <w:tab/>
      </w:r>
      <w:r>
        <w:rPr>
          <w:rFonts w:ascii="Arial" w:cs="Arial" w:eastAsia="Arial" w:hAnsi="Arial"/>
          <w:sz w:val="16"/>
          <w:szCs w:val="16"/>
          <w:color w:val="auto"/>
        </w:rPr>
        <w:t>709</w:t>
      </w:r>
    </w:p>
    <w:p>
      <w:pPr>
        <w:spacing w:after="0" w:line="86" w:lineRule="exact"/>
        <w:rPr>
          <w:sz w:val="20"/>
          <w:szCs w:val="20"/>
          <w:color w:val="auto"/>
        </w:rPr>
      </w:pPr>
    </w:p>
    <w:p>
      <w:pPr>
        <w:jc w:val="both"/>
        <w:ind w:left="1140"/>
        <w:spacing w:after="0"/>
        <w:tabs>
          <w:tab w:leader="none" w:pos="2720" w:val="left"/>
        </w:tabs>
        <w:rPr>
          <w:sz w:val="20"/>
          <w:szCs w:val="20"/>
          <w:color w:val="auto"/>
        </w:rPr>
      </w:pPr>
      <w:r>
        <w:rPr>
          <w:rFonts w:ascii="Arial" w:cs="Arial" w:eastAsia="Arial" w:hAnsi="Arial"/>
          <w:sz w:val="16"/>
          <w:szCs w:val="16"/>
          <w:color w:val="auto"/>
        </w:rPr>
        <w:t>(27)</w:t>
      </w:r>
      <w:r>
        <w:rPr>
          <w:sz w:val="20"/>
          <w:szCs w:val="20"/>
          <w:color w:val="auto"/>
        </w:rPr>
        <w:tab/>
      </w:r>
      <w:r>
        <w:rPr>
          <w:rFonts w:ascii="Arial" w:cs="Arial" w:eastAsia="Arial" w:hAnsi="Arial"/>
          <w:sz w:val="16"/>
          <w:szCs w:val="16"/>
          <w:color w:val="auto"/>
        </w:rPr>
        <w:t>(67)</w:t>
      </w:r>
    </w:p>
    <w:p>
      <w:pPr>
        <w:spacing w:after="0" w:line="86" w:lineRule="exact"/>
        <w:rPr>
          <w:sz w:val="20"/>
          <w:szCs w:val="20"/>
          <w:color w:val="auto"/>
        </w:rPr>
      </w:pPr>
    </w:p>
    <w:p>
      <w:pPr>
        <w:jc w:val="both"/>
        <w:ind w:left="940"/>
        <w:spacing w:after="0"/>
        <w:tabs>
          <w:tab w:leader="none" w:pos="2520" w:val="left"/>
        </w:tabs>
        <w:rPr>
          <w:sz w:val="20"/>
          <w:szCs w:val="20"/>
          <w:color w:val="auto"/>
        </w:rPr>
      </w:pPr>
      <w:r>
        <w:rPr>
          <w:rFonts w:ascii="Arial" w:cs="Arial" w:eastAsia="Arial" w:hAnsi="Arial"/>
          <w:sz w:val="16"/>
          <w:szCs w:val="16"/>
          <w:color w:val="auto"/>
        </w:rPr>
        <w:t>(1,468)</w:t>
      </w:r>
      <w:r>
        <w:rPr>
          <w:sz w:val="20"/>
          <w:szCs w:val="20"/>
          <w:color w:val="auto"/>
        </w:rPr>
        <w:tab/>
      </w:r>
      <w:r>
        <w:rPr>
          <w:rFonts w:ascii="Arial" w:cs="Arial" w:eastAsia="Arial" w:hAnsi="Arial"/>
          <w:sz w:val="16"/>
          <w:szCs w:val="16"/>
          <w:color w:val="auto"/>
        </w:rPr>
        <w:t>(5,770)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34925</wp:posOffset>
            </wp:positionV>
            <wp:extent cx="19551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66" w:lineRule="exact"/>
        <w:rPr>
          <w:sz w:val="20"/>
          <w:szCs w:val="20"/>
          <w:color w:val="auto"/>
        </w:rPr>
      </w:pPr>
    </w:p>
    <w:p>
      <w:pPr>
        <w:ind w:left="1000"/>
        <w:spacing w:after="0"/>
        <w:tabs>
          <w:tab w:leader="none" w:pos="2560" w:val="left"/>
        </w:tabs>
        <w:rPr>
          <w:sz w:val="20"/>
          <w:szCs w:val="20"/>
          <w:color w:val="auto"/>
        </w:rPr>
      </w:pPr>
      <w:r>
        <w:rPr>
          <w:rFonts w:ascii="Arial" w:cs="Arial" w:eastAsia="Arial" w:hAnsi="Arial"/>
          <w:sz w:val="16"/>
          <w:szCs w:val="16"/>
          <w:color w:val="auto"/>
        </w:rPr>
        <w:t>5,798</w:t>
      </w:r>
      <w:r>
        <w:rPr>
          <w:sz w:val="20"/>
          <w:szCs w:val="20"/>
          <w:color w:val="auto"/>
        </w:rPr>
        <w:tab/>
      </w:r>
      <w:r>
        <w:rPr>
          <w:rFonts w:ascii="Arial" w:cs="Arial" w:eastAsia="Arial" w:hAnsi="Arial"/>
          <w:sz w:val="16"/>
          <w:szCs w:val="16"/>
          <w:color w:val="auto"/>
        </w:rPr>
        <w:t>2,260</w:t>
      </w:r>
    </w:p>
    <w:p>
      <w:pPr>
        <w:spacing w:after="0" w:line="370" w:lineRule="exact"/>
        <w:rPr>
          <w:sz w:val="20"/>
          <w:szCs w:val="20"/>
          <w:color w:val="auto"/>
        </w:rPr>
      </w:pPr>
    </w:p>
    <w:p>
      <w:pPr>
        <w:ind w:left="1000"/>
        <w:spacing w:after="0"/>
        <w:tabs>
          <w:tab w:leader="none" w:pos="2560" w:val="left"/>
        </w:tabs>
        <w:rPr>
          <w:sz w:val="20"/>
          <w:szCs w:val="20"/>
          <w:color w:val="auto"/>
        </w:rPr>
      </w:pPr>
      <w:r>
        <w:rPr>
          <w:rFonts w:ascii="Arial" w:cs="Arial" w:eastAsia="Arial" w:hAnsi="Arial"/>
          <w:sz w:val="16"/>
          <w:szCs w:val="16"/>
          <w:color w:val="auto"/>
        </w:rPr>
        <w:t>3,594</w:t>
      </w:r>
      <w:r>
        <w:rPr>
          <w:sz w:val="20"/>
          <w:szCs w:val="20"/>
          <w:color w:val="auto"/>
        </w:rPr>
        <w:tab/>
      </w:r>
      <w:r>
        <w:rPr>
          <w:rFonts w:ascii="Arial" w:cs="Arial" w:eastAsia="Arial" w:hAnsi="Arial"/>
          <w:sz w:val="16"/>
          <w:szCs w:val="16"/>
          <w:color w:val="auto"/>
        </w:rPr>
        <w:t>3,738</w:t>
      </w:r>
    </w:p>
    <w:p>
      <w:pPr>
        <w:spacing w:after="0" w:line="86" w:lineRule="exact"/>
        <w:rPr>
          <w:sz w:val="20"/>
          <w:szCs w:val="20"/>
          <w:color w:val="auto"/>
        </w:rPr>
      </w:pPr>
    </w:p>
    <w:p>
      <w:pPr>
        <w:ind w:left="1000"/>
        <w:spacing w:after="0"/>
        <w:tabs>
          <w:tab w:leader="none" w:pos="2560" w:val="left"/>
        </w:tabs>
        <w:rPr>
          <w:sz w:val="20"/>
          <w:szCs w:val="20"/>
          <w:color w:val="auto"/>
        </w:rPr>
      </w:pPr>
      <w:r>
        <w:rPr>
          <w:rFonts w:ascii="Arial" w:cs="Arial" w:eastAsia="Arial" w:hAnsi="Arial"/>
          <w:sz w:val="16"/>
          <w:szCs w:val="16"/>
          <w:color w:val="auto"/>
        </w:rPr>
        <w:t>1,076</w:t>
      </w:r>
      <w:r>
        <w:rPr>
          <w:sz w:val="20"/>
          <w:szCs w:val="20"/>
          <w:color w:val="auto"/>
        </w:rPr>
        <w:tab/>
      </w:r>
      <w:r>
        <w:rPr>
          <w:rFonts w:ascii="Arial" w:cs="Arial" w:eastAsia="Arial" w:hAnsi="Arial"/>
          <w:sz w:val="16"/>
          <w:szCs w:val="16"/>
          <w:color w:val="auto"/>
        </w:rPr>
        <w:t>1,131</w:t>
      </w:r>
    </w:p>
    <w:p>
      <w:pPr>
        <w:spacing w:after="0" w:line="86" w:lineRule="exact"/>
        <w:rPr>
          <w:sz w:val="20"/>
          <w:szCs w:val="20"/>
          <w:color w:val="auto"/>
        </w:rPr>
      </w:pPr>
    </w:p>
    <w:p>
      <w:pPr>
        <w:ind w:left="2660" w:hanging="1599"/>
        <w:spacing w:after="0"/>
        <w:tabs>
          <w:tab w:leader="none" w:pos="2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(330)</w:t>
      </w:r>
    </w:p>
    <w:p>
      <w:pPr>
        <w:spacing w:after="0" w:line="109" w:lineRule="exact"/>
        <w:rPr>
          <w:sz w:val="20"/>
          <w:szCs w:val="20"/>
          <w:color w:val="auto"/>
        </w:rPr>
      </w:pPr>
    </w:p>
    <w:p>
      <w:pPr>
        <w:jc w:val="both"/>
        <w:ind w:left="1120"/>
        <w:spacing w:after="0"/>
        <w:tabs>
          <w:tab w:leader="none" w:pos="2640" w:val="left"/>
        </w:tabs>
        <w:rPr>
          <w:sz w:val="20"/>
          <w:szCs w:val="20"/>
          <w:color w:val="auto"/>
        </w:rPr>
      </w:pPr>
      <w:r>
        <w:rPr>
          <w:rFonts w:ascii="Arial" w:cs="Arial" w:eastAsia="Arial" w:hAnsi="Arial"/>
          <w:sz w:val="16"/>
          <w:szCs w:val="16"/>
          <w:color w:val="auto"/>
        </w:rPr>
        <w:t>916</w:t>
      </w:r>
      <w:r>
        <w:rPr>
          <w:sz w:val="20"/>
          <w:szCs w:val="20"/>
          <w:color w:val="auto"/>
        </w:rPr>
        <w:tab/>
      </w:r>
      <w:r>
        <w:rPr>
          <w:rFonts w:ascii="Arial" w:cs="Arial" w:eastAsia="Arial" w:hAnsi="Arial"/>
          <w:sz w:val="16"/>
          <w:szCs w:val="16"/>
          <w:color w:val="auto"/>
        </w:rPr>
        <w:t>(225)</w:t>
      </w:r>
    </w:p>
    <w:p>
      <w:pPr>
        <w:spacing w:after="0" w:line="86" w:lineRule="exact"/>
        <w:rPr>
          <w:sz w:val="20"/>
          <w:szCs w:val="20"/>
          <w:color w:val="auto"/>
        </w:rPr>
      </w:pPr>
    </w:p>
    <w:p>
      <w:pPr>
        <w:ind w:left="1200"/>
        <w:spacing w:after="0"/>
        <w:tabs>
          <w:tab w:leader="none" w:pos="2680" w:val="left"/>
        </w:tabs>
        <w:rPr>
          <w:sz w:val="20"/>
          <w:szCs w:val="20"/>
          <w:color w:val="auto"/>
        </w:rPr>
      </w:pPr>
      <w:r>
        <w:rPr>
          <w:rFonts w:ascii="Arial" w:cs="Arial" w:eastAsia="Arial" w:hAnsi="Arial"/>
          <w:sz w:val="16"/>
          <w:szCs w:val="16"/>
          <w:color w:val="auto"/>
        </w:rPr>
        <w:t>56</w:t>
      </w:r>
      <w:r>
        <w:rPr>
          <w:sz w:val="20"/>
          <w:szCs w:val="20"/>
          <w:color w:val="auto"/>
        </w:rPr>
        <w:tab/>
      </w:r>
      <w:r>
        <w:rPr>
          <w:rFonts w:ascii="Arial" w:cs="Arial" w:eastAsia="Arial" w:hAnsi="Arial"/>
          <w:sz w:val="16"/>
          <w:szCs w:val="16"/>
          <w:color w:val="auto"/>
        </w:rPr>
        <w:t>130</w:t>
      </w:r>
    </w:p>
    <w:p>
      <w:pPr>
        <w:spacing w:after="0" w:line="86" w:lineRule="exact"/>
        <w:rPr>
          <w:sz w:val="20"/>
          <w:szCs w:val="20"/>
          <w:color w:val="auto"/>
        </w:rPr>
      </w:pPr>
    </w:p>
    <w:p>
      <w:pPr>
        <w:ind w:left="1000"/>
        <w:spacing w:after="0"/>
        <w:tabs>
          <w:tab w:leader="none" w:pos="2560" w:val="left"/>
        </w:tabs>
        <w:rPr>
          <w:sz w:val="20"/>
          <w:szCs w:val="20"/>
          <w:color w:val="auto"/>
        </w:rPr>
      </w:pPr>
      <w:r>
        <w:rPr>
          <w:rFonts w:ascii="Arial" w:cs="Arial" w:eastAsia="Arial" w:hAnsi="Arial"/>
          <w:sz w:val="16"/>
          <w:szCs w:val="16"/>
          <w:color w:val="auto"/>
        </w:rPr>
        <w:t>2,033</w:t>
      </w:r>
      <w:r>
        <w:rPr>
          <w:sz w:val="20"/>
          <w:szCs w:val="20"/>
          <w:color w:val="auto"/>
        </w:rPr>
        <w:tab/>
      </w:r>
      <w:r>
        <w:rPr>
          <w:rFonts w:ascii="Arial" w:cs="Arial" w:eastAsia="Arial" w:hAnsi="Arial"/>
          <w:sz w:val="16"/>
          <w:szCs w:val="16"/>
          <w:color w:val="auto"/>
        </w:rPr>
        <w:t>2,281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34925</wp:posOffset>
            </wp:positionV>
            <wp:extent cx="19551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66" w:lineRule="exact"/>
        <w:rPr>
          <w:sz w:val="20"/>
          <w:szCs w:val="20"/>
          <w:color w:val="auto"/>
        </w:rPr>
      </w:pPr>
    </w:p>
    <w:p>
      <w:pPr>
        <w:ind w:left="1000"/>
        <w:spacing w:after="0"/>
        <w:tabs>
          <w:tab w:leader="none" w:pos="2560" w:val="left"/>
        </w:tabs>
        <w:rPr>
          <w:sz w:val="20"/>
          <w:szCs w:val="20"/>
          <w:color w:val="auto"/>
        </w:rPr>
      </w:pPr>
      <w:r>
        <w:rPr>
          <w:rFonts w:ascii="Arial" w:cs="Arial" w:eastAsia="Arial" w:hAnsi="Arial"/>
          <w:sz w:val="16"/>
          <w:szCs w:val="16"/>
          <w:color w:val="auto"/>
        </w:rPr>
        <w:t>7,419</w:t>
      </w:r>
      <w:r>
        <w:rPr>
          <w:sz w:val="20"/>
          <w:szCs w:val="20"/>
          <w:color w:val="auto"/>
        </w:rPr>
        <w:tab/>
      </w:r>
      <w:r>
        <w:rPr>
          <w:rFonts w:ascii="Arial" w:cs="Arial" w:eastAsia="Arial" w:hAnsi="Arial"/>
          <w:sz w:val="16"/>
          <w:szCs w:val="16"/>
          <w:color w:val="auto"/>
        </w:rPr>
        <w:t>6,725</w:t>
      </w:r>
    </w:p>
    <w:p>
      <w:pPr>
        <w:spacing w:after="0" w:line="86" w:lineRule="exact"/>
        <w:rPr>
          <w:sz w:val="20"/>
          <w:szCs w:val="20"/>
          <w:color w:val="auto"/>
        </w:rPr>
      </w:pPr>
    </w:p>
    <w:p>
      <w:pPr>
        <w:jc w:val="both"/>
        <w:ind w:left="940"/>
        <w:spacing w:after="0"/>
        <w:tabs>
          <w:tab w:leader="none" w:pos="2520" w:val="left"/>
        </w:tabs>
        <w:rPr>
          <w:sz w:val="20"/>
          <w:szCs w:val="20"/>
          <w:color w:val="auto"/>
        </w:rPr>
      </w:pPr>
      <w:r>
        <w:rPr>
          <w:rFonts w:ascii="Arial" w:cs="Arial" w:eastAsia="Arial" w:hAnsi="Arial"/>
          <w:sz w:val="16"/>
          <w:szCs w:val="16"/>
          <w:color w:val="auto"/>
        </w:rPr>
        <w:t>(1,621)</w:t>
      </w:r>
      <w:r>
        <w:rPr>
          <w:sz w:val="20"/>
          <w:szCs w:val="20"/>
          <w:color w:val="auto"/>
        </w:rPr>
        <w:tab/>
      </w:r>
      <w:r>
        <w:rPr>
          <w:rFonts w:ascii="Arial" w:cs="Arial" w:eastAsia="Arial" w:hAnsi="Arial"/>
          <w:sz w:val="16"/>
          <w:szCs w:val="16"/>
          <w:color w:val="auto"/>
        </w:rPr>
        <w:t>(4,465)</w:t>
      </w:r>
    </w:p>
    <w:p>
      <w:pPr>
        <w:spacing w:after="0" w:line="86" w:lineRule="exact"/>
        <w:rPr>
          <w:sz w:val="20"/>
          <w:szCs w:val="20"/>
          <w:color w:val="auto"/>
        </w:rPr>
      </w:pPr>
    </w:p>
    <w:p>
      <w:pPr>
        <w:ind w:left="2540" w:hanging="1479"/>
        <w:spacing w:after="0"/>
        <w:tabs>
          <w:tab w:leader="none" w:pos="2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(1,690)</w:t>
      </w:r>
    </w:p>
    <w:p>
      <w:pPr>
        <w:spacing w:after="0" w:line="109" w:lineRule="exact"/>
        <w:rPr>
          <w:sz w:val="20"/>
          <w:szCs w:val="20"/>
          <w:color w:val="auto"/>
        </w:rPr>
      </w:pPr>
    </w:p>
    <w:p>
      <w:pPr>
        <w:spacing w:after="0"/>
        <w:tabs>
          <w:tab w:leader="none" w:pos="1040" w:val="left"/>
          <w:tab w:leader="none" w:pos="1600" w:val="left"/>
          <w:tab w:leader="none" w:pos="25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(883)</w:t>
        <w:tab/>
        <w:t>$</w:t>
      </w:r>
      <w:r>
        <w:rPr>
          <w:sz w:val="20"/>
          <w:szCs w:val="20"/>
          <w:color w:val="auto"/>
        </w:rPr>
        <w:tab/>
      </w:r>
      <w:r>
        <w:rPr>
          <w:rFonts w:ascii="Arial" w:cs="Arial" w:eastAsia="Arial" w:hAnsi="Arial"/>
          <w:sz w:val="14"/>
          <w:szCs w:val="14"/>
          <w:color w:val="auto"/>
        </w:rPr>
        <w:t>(2,775)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52070</wp:posOffset>
            </wp:positionV>
            <wp:extent cx="19551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7640" w:space="720"/>
            <w:col w:w="3060"/>
          </w:cols>
          <w:pgMar w:left="240" w:top="229" w:right="23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The table below shows the components of our net income (loss), in addition to adjusted earnings for the years ended December 31, 2017 and 2016.</w:t>
      </w:r>
    </w:p>
    <w:p>
      <w:pPr>
        <w:spacing w:after="0" w:line="316" w:lineRule="exact"/>
        <w:rPr>
          <w:sz w:val="20"/>
          <w:szCs w:val="20"/>
          <w:color w:val="auto"/>
        </w:rPr>
      </w:pPr>
    </w:p>
    <w:p>
      <w:pPr>
        <w:ind w:left="8960"/>
        <w:spacing w:after="0"/>
        <w:rPr>
          <w:sz w:val="20"/>
          <w:szCs w:val="20"/>
          <w:color w:val="auto"/>
        </w:rPr>
      </w:pPr>
      <w:r>
        <w:rPr>
          <w:rFonts w:ascii="Arial" w:cs="Arial" w:eastAsia="Arial" w:hAnsi="Arial"/>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37465</wp:posOffset>
            </wp:positionV>
            <wp:extent cx="19551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GMLB Riders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investment gains (losses)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earnings before provision for income tax</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Income (loss) before provision for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Provision for income tax expense (benefit)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(loss)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left="560"/>
        <w:spacing w:after="0"/>
        <w:tabs>
          <w:tab w:leader="none" w:pos="214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37465</wp:posOffset>
            </wp:positionV>
            <wp:extent cx="19551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90" w:lineRule="exact"/>
        <w:rPr>
          <w:sz w:val="20"/>
          <w:szCs w:val="20"/>
          <w:color w:val="auto"/>
        </w:rPr>
      </w:pPr>
    </w:p>
    <w:p>
      <w:pPr>
        <w:spacing w:after="0"/>
        <w:tabs>
          <w:tab w:leader="none" w:pos="920" w:val="left"/>
          <w:tab w:leader="none" w:pos="1600" w:val="left"/>
          <w:tab w:leader="none" w:pos="25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(1,929)</w:t>
        <w:tab/>
        <w:t>$</w:t>
      </w:r>
      <w:r>
        <w:rPr>
          <w:sz w:val="20"/>
          <w:szCs w:val="20"/>
          <w:color w:val="auto"/>
        </w:rPr>
        <w:tab/>
      </w:r>
      <w:r>
        <w:rPr>
          <w:rFonts w:ascii="Arial" w:cs="Arial" w:eastAsia="Arial" w:hAnsi="Arial"/>
          <w:sz w:val="14"/>
          <w:szCs w:val="14"/>
          <w:color w:val="auto"/>
        </w:rPr>
        <w:t>(3,180)</w:t>
      </w:r>
    </w:p>
    <w:p>
      <w:pPr>
        <w:spacing w:after="0" w:line="86" w:lineRule="exact"/>
        <w:rPr>
          <w:sz w:val="20"/>
          <w:szCs w:val="20"/>
          <w:color w:val="auto"/>
        </w:rPr>
      </w:pPr>
    </w:p>
    <w:p>
      <w:pPr>
        <w:ind w:left="2540" w:hanging="1479"/>
        <w:spacing w:after="0"/>
        <w:tabs>
          <w:tab w:leader="none" w:pos="2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(2,015)</w:t>
      </w:r>
    </w:p>
    <w:p>
      <w:pPr>
        <w:spacing w:after="0" w:line="109" w:lineRule="exact"/>
        <w:rPr>
          <w:sz w:val="20"/>
          <w:szCs w:val="20"/>
          <w:color w:val="auto"/>
        </w:rPr>
      </w:pPr>
    </w:p>
    <w:p>
      <w:pPr>
        <w:jc w:val="both"/>
        <w:ind w:left="1140"/>
        <w:spacing w:after="0"/>
        <w:tabs>
          <w:tab w:leader="none" w:pos="2720" w:val="left"/>
        </w:tabs>
        <w:rPr>
          <w:sz w:val="20"/>
          <w:szCs w:val="20"/>
          <w:color w:val="auto"/>
        </w:rPr>
      </w:pPr>
      <w:r>
        <w:rPr>
          <w:rFonts w:ascii="Arial" w:cs="Arial" w:eastAsia="Arial" w:hAnsi="Arial"/>
          <w:sz w:val="16"/>
          <w:szCs w:val="16"/>
          <w:color w:val="auto"/>
        </w:rPr>
        <w:t>(27)</w:t>
      </w:r>
      <w:r>
        <w:rPr>
          <w:sz w:val="20"/>
          <w:szCs w:val="20"/>
          <w:color w:val="auto"/>
        </w:rPr>
        <w:tab/>
      </w:r>
      <w:r>
        <w:rPr>
          <w:rFonts w:ascii="Arial" w:cs="Arial" w:eastAsia="Arial" w:hAnsi="Arial"/>
          <w:sz w:val="16"/>
          <w:szCs w:val="16"/>
          <w:color w:val="auto"/>
        </w:rPr>
        <w:t>(67)</w:t>
      </w:r>
    </w:p>
    <w:p>
      <w:pPr>
        <w:spacing w:after="0" w:line="86" w:lineRule="exact"/>
        <w:rPr>
          <w:sz w:val="20"/>
          <w:szCs w:val="20"/>
          <w:color w:val="auto"/>
        </w:rPr>
      </w:pPr>
    </w:p>
    <w:p>
      <w:pPr>
        <w:ind w:left="2660" w:hanging="1518"/>
        <w:spacing w:after="0"/>
        <w:tabs>
          <w:tab w:leader="none" w:pos="2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(477)</w:t>
      </w:r>
    </w:p>
    <w:p>
      <w:pPr>
        <w:spacing w:after="0" w:line="109" w:lineRule="exact"/>
        <w:rPr>
          <w:sz w:val="20"/>
          <w:szCs w:val="20"/>
          <w:color w:val="auto"/>
        </w:rPr>
      </w:pPr>
    </w:p>
    <w:p>
      <w:pPr>
        <w:ind w:left="1120"/>
        <w:spacing w:after="0"/>
        <w:tabs>
          <w:tab w:leader="none" w:pos="2560" w:val="left"/>
        </w:tabs>
        <w:rPr>
          <w:sz w:val="20"/>
          <w:szCs w:val="20"/>
          <w:color w:val="auto"/>
        </w:rPr>
      </w:pPr>
      <w:r>
        <w:rPr>
          <w:rFonts w:ascii="Arial" w:cs="Arial" w:eastAsia="Arial" w:hAnsi="Arial"/>
          <w:sz w:val="16"/>
          <w:szCs w:val="16"/>
          <w:color w:val="auto"/>
        </w:rPr>
        <w:t>582</w:t>
      </w:r>
      <w:r>
        <w:rPr>
          <w:sz w:val="20"/>
          <w:szCs w:val="20"/>
          <w:color w:val="auto"/>
        </w:rPr>
        <w:tab/>
      </w:r>
      <w:r>
        <w:rPr>
          <w:rFonts w:ascii="Arial" w:cs="Arial" w:eastAsia="Arial" w:hAnsi="Arial"/>
          <w:sz w:val="16"/>
          <w:szCs w:val="16"/>
          <w:color w:val="auto"/>
        </w:rPr>
        <w:t>1,274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34925</wp:posOffset>
            </wp:positionV>
            <wp:extent cx="19551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66" w:lineRule="exact"/>
        <w:rPr>
          <w:sz w:val="20"/>
          <w:szCs w:val="20"/>
          <w:color w:val="auto"/>
        </w:rPr>
      </w:pPr>
    </w:p>
    <w:p>
      <w:pPr>
        <w:jc w:val="both"/>
        <w:ind w:left="940"/>
        <w:spacing w:after="0"/>
        <w:tabs>
          <w:tab w:leader="none" w:pos="2520" w:val="left"/>
        </w:tabs>
        <w:rPr>
          <w:sz w:val="20"/>
          <w:szCs w:val="20"/>
          <w:color w:val="auto"/>
        </w:rPr>
      </w:pPr>
      <w:r>
        <w:rPr>
          <w:rFonts w:ascii="Arial" w:cs="Arial" w:eastAsia="Arial" w:hAnsi="Arial"/>
          <w:sz w:val="16"/>
          <w:szCs w:val="16"/>
          <w:color w:val="auto"/>
        </w:rPr>
        <w:t>(1,621)</w:t>
      </w:r>
      <w:r>
        <w:rPr>
          <w:sz w:val="20"/>
          <w:szCs w:val="20"/>
          <w:color w:val="auto"/>
        </w:rPr>
        <w:tab/>
      </w:r>
      <w:r>
        <w:rPr>
          <w:rFonts w:ascii="Arial" w:cs="Arial" w:eastAsia="Arial" w:hAnsi="Arial"/>
          <w:sz w:val="16"/>
          <w:szCs w:val="16"/>
          <w:color w:val="auto"/>
        </w:rPr>
        <w:t>(4,465)</w:t>
      </w:r>
    </w:p>
    <w:p>
      <w:pPr>
        <w:spacing w:after="0" w:line="86" w:lineRule="exact"/>
        <w:rPr>
          <w:sz w:val="20"/>
          <w:szCs w:val="20"/>
          <w:color w:val="auto"/>
        </w:rPr>
      </w:pPr>
    </w:p>
    <w:p>
      <w:pPr>
        <w:ind w:left="2540" w:hanging="1479"/>
        <w:spacing w:after="0"/>
        <w:tabs>
          <w:tab w:leader="none" w:pos="2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(1,690)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19551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9" w:lineRule="exact"/>
        <w:rPr>
          <w:sz w:val="20"/>
          <w:szCs w:val="20"/>
          <w:color w:val="auto"/>
        </w:rPr>
      </w:pPr>
    </w:p>
    <w:p>
      <w:pPr>
        <w:spacing w:after="0"/>
        <w:tabs>
          <w:tab w:leader="none" w:pos="1040" w:val="left"/>
          <w:tab w:leader="none" w:pos="1600" w:val="left"/>
          <w:tab w:leader="none" w:pos="25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(883)</w:t>
        <w:tab/>
        <w:t>$</w:t>
      </w:r>
      <w:r>
        <w:rPr>
          <w:sz w:val="20"/>
          <w:szCs w:val="20"/>
          <w:color w:val="auto"/>
        </w:rPr>
        <w:tab/>
      </w:r>
      <w:r>
        <w:rPr>
          <w:rFonts w:ascii="Arial" w:cs="Arial" w:eastAsia="Arial" w:hAnsi="Arial"/>
          <w:sz w:val="14"/>
          <w:szCs w:val="14"/>
          <w:color w:val="auto"/>
        </w:rPr>
        <w:t>(2,775)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34925</wp:posOffset>
            </wp:positionV>
            <wp:extent cx="19551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55165" cy="2603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7640" w:space="720"/>
            <w:col w:w="3060"/>
          </w:cols>
          <w:pgMar w:left="240" w:top="229" w:right="239" w:bottom="1440" w:gutter="0" w:footer="0" w:header="0"/>
          <w:type w:val="continuous"/>
        </w:sect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Year Ended December 31, 2017 Compared with the Year Ended December 31, 2016</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Income (loss) before provision for income tax increased $2.8 billion ($1.9 billion, net of income tax) compared to 2016. This increase was primarily due to favorable changes from freestanding derivatives and GMLB Riders, partially offset by lower adjusted earnings. Additionally, after-tax results were impacted by a non-cash charge in the third quarter of 2017 in connection with the Separation of $1.1 billion which was partially offset by the favorable impact recognized in the fourth quarter of 2017 of $704 million related to the enactment of the Tax Act. Excluding the impacts from the annual actuarial assumption review, income (loss) before provision for income tax increased $388 million.</w:t>
      </w:r>
    </w:p>
    <w:p>
      <w:pPr>
        <w:spacing w:after="0" w:line="80"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i w:val="1"/>
          <w:iCs w:val="1"/>
          <w:color w:val="auto"/>
        </w:rPr>
        <w:t xml:space="preserve">GMLB Riders. </w:t>
      </w:r>
      <w:r>
        <w:rPr>
          <w:rFonts w:ascii="Arial" w:cs="Arial" w:eastAsia="Arial" w:hAnsi="Arial"/>
          <w:sz w:val="18"/>
          <w:szCs w:val="18"/>
          <w:color w:val="auto"/>
        </w:rPr>
        <w:t>Results from GMLB Riders reflect (i) changes in the carrying value of GMLBs liabilities, including GMIBs, GMWBs and GMABs; (ii)</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the fair value of the hedges and reinsurance of the GMLB liabilities; (iii) the fees earned from the GMLB liabilities; and (iv) the effects related to DAC and VOBA amortization offsets to each of the preceding components (collectively, the “GMLB Riders”).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29"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left="180" w:right="20" w:firstLine="324"/>
        <w:spacing w:after="0" w:line="264" w:lineRule="auto"/>
        <w:rPr>
          <w:sz w:val="20"/>
          <w:szCs w:val="20"/>
          <w:color w:val="auto"/>
        </w:rPr>
      </w:pPr>
      <w:r>
        <w:rPr>
          <w:rFonts w:ascii="Arial" w:cs="Arial" w:eastAsia="Arial" w:hAnsi="Arial"/>
          <w:sz w:val="18"/>
          <w:szCs w:val="18"/>
          <w:color w:val="auto"/>
        </w:rPr>
        <w:t>Comparative results from GMLB Riders were favorable by $1.3 billion as benefits recognized from lower liability reserves were partially offset by unfavorable impacts from the related DAC offsets and market factor impacts on our hedging program. For a detailed discussion of the GMLB Riders, see “— GMLB Riders — Year Ended December 31, 2017 Compared with the Year Ended December 31, 2016.”</w:t>
      </w:r>
    </w:p>
    <w:p>
      <w:pPr>
        <w:spacing w:after="0" w:line="73"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i w:val="1"/>
          <w:iCs w:val="1"/>
          <w:color w:val="auto"/>
        </w:rPr>
        <w:t xml:space="preserve">Other Derivative Instruments. </w:t>
      </w:r>
      <w:r>
        <w:rPr>
          <w:rFonts w:ascii="Arial" w:cs="Arial" w:eastAsia="Arial" w:hAnsi="Arial"/>
          <w:sz w:val="18"/>
          <w:szCs w:val="18"/>
          <w:color w:val="auto"/>
        </w:rPr>
        <w:t>We have other derivative instruments in addition to the hedges and embedded derivatives included in GMLB Riders,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changes in fair value are recognized in net derivative gains (losses). Changes in the fair value of other derivative instruments had a favorable impact on comparative results of $1.8 billion.</w:t>
      </w:r>
    </w:p>
    <w:p>
      <w:pPr>
        <w:spacing w:after="0" w:line="73"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i w:val="1"/>
          <w:iCs w:val="1"/>
          <w:color w:val="auto"/>
        </w:rPr>
        <w:t xml:space="preserve">Freestanding Derivatives. </w:t>
      </w:r>
      <w:r>
        <w:rPr>
          <w:rFonts w:ascii="Arial" w:cs="Arial" w:eastAsia="Arial" w:hAnsi="Arial"/>
          <w:sz w:val="18"/>
          <w:szCs w:val="18"/>
          <w:color w:val="auto"/>
        </w:rPr>
        <w:t>We have freestanding derivatives that economically hedge certain invested assets and insurance liabilities. The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hedging activity is focused in the following areas:</w:t>
      </w:r>
    </w:p>
    <w:p>
      <w:pPr>
        <w:spacing w:after="0" w:line="62" w:lineRule="exact"/>
        <w:rPr>
          <w:sz w:val="20"/>
          <w:szCs w:val="20"/>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of interest rate swaps when we have duration mismatches where suitable assets with maturities similar to those of our long-dated liabilities are not readily available in the market;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of foreign currency swaps when we hold fixed maturity securities denominated in foreign currencies that are matching insurance liabilities denominated in U.S. dollars.</w:t>
      </w:r>
    </w:p>
    <w:p>
      <w:pPr>
        <w:spacing w:after="0" w:line="62"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The market impacts on the hedges are accounted for in net income (loss) while the offsetting economic impact on the items they are hedging are either not recognized or recognized through OCI in equity.</w:t>
      </w:r>
    </w:p>
    <w:p>
      <w:pPr>
        <w:spacing w:after="0" w:line="62"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In 2016, in connection with the Separation, we entered into additional interest rate swaps in order to protect the statutory capital of the Company from further declines in interest rates.</w:t>
      </w:r>
    </w:p>
    <w:p>
      <w:pPr>
        <w:spacing w:after="0" w:line="62"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Changes in the fair value of freestanding derivatives had a $1.8 billion favorable impact on comparative results, primarily due to favorable changes in interest rates on the fair value of our interest rate swaps. This favorable change was partially offset by unfavorable changes in our foreign currency swaps due to the U.S. dollar weakening against key foreign currencies in the current period when compared to the prior period.</w:t>
      </w:r>
    </w:p>
    <w:p>
      <w:pPr>
        <w:spacing w:after="0" w:line="57" w:lineRule="exact"/>
        <w:rPr>
          <w:sz w:val="20"/>
          <w:szCs w:val="20"/>
          <w:color w:val="auto"/>
        </w:rPr>
      </w:pPr>
    </w:p>
    <w:p>
      <w:pPr>
        <w:jc w:val="both"/>
        <w:ind w:left="340" w:firstLine="324"/>
        <w:spacing w:after="0" w:line="272" w:lineRule="auto"/>
        <w:rPr>
          <w:sz w:val="20"/>
          <w:szCs w:val="20"/>
          <w:color w:val="auto"/>
        </w:rPr>
      </w:pPr>
      <w:r>
        <w:rPr>
          <w:rFonts w:ascii="Arial" w:cs="Arial" w:eastAsia="Arial" w:hAnsi="Arial"/>
          <w:sz w:val="17"/>
          <w:szCs w:val="17"/>
          <w:i w:val="1"/>
          <w:iCs w:val="1"/>
          <w:color w:val="auto"/>
        </w:rPr>
        <w:t xml:space="preserve">Embedded Derivatives. </w:t>
      </w:r>
      <w:r>
        <w:rPr>
          <w:rFonts w:ascii="Arial" w:cs="Arial" w:eastAsia="Arial" w:hAnsi="Arial"/>
          <w:sz w:val="17"/>
          <w:szCs w:val="17"/>
          <w:color w:val="auto"/>
        </w:rPr>
        <w:t>Certain ceded reinsurance agreements in our Life and Run-off segments are written on a coinsurance with funds withheld</w:t>
      </w:r>
      <w:r>
        <w:rPr>
          <w:rFonts w:ascii="Arial" w:cs="Arial" w:eastAsia="Arial" w:hAnsi="Arial"/>
          <w:sz w:val="17"/>
          <w:szCs w:val="17"/>
          <w:i w:val="1"/>
          <w:iCs w:val="1"/>
          <w:color w:val="auto"/>
        </w:rPr>
        <w:t xml:space="preserve"> </w:t>
      </w:r>
      <w:r>
        <w:rPr>
          <w:rFonts w:ascii="Arial" w:cs="Arial" w:eastAsia="Arial" w:hAnsi="Arial"/>
          <w:sz w:val="17"/>
          <w:szCs w:val="17"/>
          <w:color w:val="auto"/>
        </w:rPr>
        <w:t>basis. The funds withheld component is accounted for as an embedded derivative with changes in the fair value recognized in net income (loss) in the period in which they occur. In addition, the changes in liability values of our index-linked annuity products that result from changes in the underlying equity index are accounted for as embedded derivatives. Changes in the fair value of embedded derivatives had a favorable impact on comparative results of $17 million, primarily due to lower unfavorable impacts recognized in the current period on our Shield Annuities. In connection with the transition to our new variable annuity hedging program, changes in the fair value of Shield Annuities are included in the direct written liabilities component of GMLB Riders beginning in the third quarter of 2017 on a prospective basis.</w:t>
      </w:r>
    </w:p>
    <w:p>
      <w:pPr>
        <w:spacing w:after="0" w:line="70"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i w:val="1"/>
          <w:iCs w:val="1"/>
          <w:color w:val="auto"/>
        </w:rPr>
        <w:t xml:space="preserve">Net Investment Gains (Losses). </w:t>
      </w:r>
      <w:r>
        <w:rPr>
          <w:rFonts w:ascii="Arial" w:cs="Arial" w:eastAsia="Arial" w:hAnsi="Arial"/>
          <w:sz w:val="18"/>
          <w:szCs w:val="18"/>
          <w:color w:val="auto"/>
        </w:rPr>
        <w:t>Net investment gains (losses) had a favorable impact on comparative results of $40 million, primarily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impairments in the prior period on real estate joint ventures and fixed maturity securities and higher current period net gains on the sales of equity securities. This favorable change was partially offset by current period net losses compared to prior period net gains on foreign currency transactions, as well as current period net losses on commercial mortgage loans compared to prior period gains.</w:t>
      </w:r>
    </w:p>
    <w:p>
      <w:pPr>
        <w:spacing w:after="0" w:line="79"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i w:val="1"/>
          <w:iCs w:val="1"/>
          <w:color w:val="auto"/>
        </w:rPr>
        <w:t xml:space="preserve">Other Adjustments. </w:t>
      </w:r>
      <w:r>
        <w:rPr>
          <w:rFonts w:ascii="Arial" w:cs="Arial" w:eastAsia="Arial" w:hAnsi="Arial"/>
          <w:sz w:val="18"/>
          <w:szCs w:val="18"/>
          <w:color w:val="auto"/>
        </w:rPr>
        <w:t>Other adjustments to determine adjusted earnings had a favorable impact on comparative results of $434 million,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recognized in the prior period, including an impairment of goodwill in our Run-off segment and the write-off of previously capitalized items in Corporate &amp; Other in connection with the sale of MPCG to MassMutual. See Note 12 of the Notes to the Consolidated Financial Statements for additional discussion of the goodwill impairment.</w:t>
      </w:r>
    </w:p>
    <w:p>
      <w:pPr>
        <w:spacing w:after="0" w:line="79"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i w:val="1"/>
          <w:iCs w:val="1"/>
          <w:color w:val="auto"/>
        </w:rPr>
        <w:t>Income Tax Expense (Benefit)</w:t>
      </w:r>
      <w:r>
        <w:rPr>
          <w:rFonts w:ascii="Arial" w:cs="Arial" w:eastAsia="Arial" w:hAnsi="Arial"/>
          <w:sz w:val="17"/>
          <w:szCs w:val="17"/>
          <w:color w:val="auto"/>
        </w:rPr>
        <w:t>. Income tax benefit for the year ended December 31, 2017 was $738 million, or 46% of income (loss) before provision</w:t>
      </w:r>
      <w:r>
        <w:rPr>
          <w:rFonts w:ascii="Arial" w:cs="Arial" w:eastAsia="Arial" w:hAnsi="Arial"/>
          <w:sz w:val="17"/>
          <w:szCs w:val="17"/>
          <w:i w:val="1"/>
          <w:iCs w:val="1"/>
          <w:color w:val="auto"/>
        </w:rPr>
        <w:t xml:space="preserve"> </w:t>
      </w:r>
      <w:r>
        <w:rPr>
          <w:rFonts w:ascii="Arial" w:cs="Arial" w:eastAsia="Arial" w:hAnsi="Arial"/>
          <w:sz w:val="17"/>
          <w:szCs w:val="17"/>
          <w:color w:val="auto"/>
        </w:rPr>
        <w:t>for income tax, compared to $1.7 billion, or 38% of income (loss) before provision for income tax, for the year ended December 31, 2016. Our effective tax rate differs from the U.S. statutory rate typically due to the impacts of the dividend received deductions and utilization of tax credits. In the current period, we recognized an additional $1.1 billion non-cash tax charge in connection with the Separation. We also recognized a tax benefit in the current period of $704 million related to the enactment of the Tax Act. Our 2016 results include a $381 million ($305 million, net of income tax) non-cash charge for goodwill impairment. The tax benefit on this charge was limited to $76 million on the associated tax goodwill. Our 2016 results also include a $78 million benefit due to a deferred tax adjustment related to goodwill.</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2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i w:val="1"/>
          <w:iCs w:val="1"/>
          <w:color w:val="auto"/>
        </w:rPr>
        <w:t xml:space="preserve">Adjusted Earnings. </w:t>
      </w:r>
      <w:r>
        <w:rPr>
          <w:rFonts w:ascii="Arial" w:cs="Arial" w:eastAsia="Arial" w:hAnsi="Arial"/>
          <w:sz w:val="17"/>
          <w:szCs w:val="17"/>
          <w:color w:val="auto"/>
        </w:rPr>
        <w:t>As more fully described in “— Non-GAAP and Other Financial Disclosures,” we use adjusted earnings, which does not equate to</w:t>
      </w:r>
      <w:r>
        <w:rPr>
          <w:rFonts w:ascii="Arial" w:cs="Arial" w:eastAsia="Arial" w:hAnsi="Arial"/>
          <w:sz w:val="17"/>
          <w:szCs w:val="17"/>
          <w:i w:val="1"/>
          <w:iCs w:val="1"/>
          <w:color w:val="auto"/>
        </w:rPr>
        <w:t xml:space="preserve"> </w:t>
      </w:r>
      <w:r>
        <w:rPr>
          <w:rFonts w:ascii="Arial" w:cs="Arial" w:eastAsia="Arial" w:hAnsi="Arial"/>
          <w:sz w:val="17"/>
          <w:szCs w:val="17"/>
          <w:color w:val="auto"/>
        </w:rPr>
        <w:t>net income (loss), as determined in accordance with GAAP, to analyze our performance, evaluate segment performance, and allocate resources. We believe that the presentation of adjusted earnings, as we measure it for management purposes, enhances the understanding of our performance by highlighting the results of operations and the underlying profitability drivers of the business. Adjusted earnings and other financial measures based on adjusted earnings allow analysis of our performance relative to our business plan and facilitate comparisons to industry results. Adjusted earnings should not be viewed as a substitute for net income (loss). Adjusted earnings before provision for income tax decreased $692 million ($810 million, net of income tax) for the year ended December 31, 2017, compared to the prior period. Adjusted earnings is discussed in greater detail below.</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Reconciliation of net income (loss) to adjusted earnings</w:t>
      </w:r>
    </w:p>
    <w:p>
      <w:pPr>
        <w:spacing w:after="0" w:line="338"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5"/>
          <w:szCs w:val="15"/>
          <w:color w:val="auto"/>
        </w:rPr>
        <w:t>Add: Provision for 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income (loss) before provision for income tax</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GMLB Riders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Other derivative instruments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Net investment gains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Other adjustments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earnings before provision for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5"/>
          <w:szCs w:val="15"/>
          <w:color w:val="auto"/>
        </w:rPr>
        <w:t>Less: Provision for income tax (expense) benefit</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Adjusted earnings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580"/>
        <w:spacing w:after="0"/>
        <w:tabs>
          <w:tab w:leader="none" w:pos="21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23495</wp:posOffset>
            </wp:positionV>
            <wp:extent cx="19551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68" w:lineRule="exact"/>
        <w:rPr>
          <w:sz w:val="20"/>
          <w:szCs w:val="20"/>
          <w:color w:val="auto"/>
        </w:rPr>
      </w:pPr>
    </w:p>
    <w:p>
      <w:pPr>
        <w:spacing w:after="0"/>
        <w:tabs>
          <w:tab w:leader="none" w:pos="1040" w:val="left"/>
          <w:tab w:leader="none" w:pos="1600" w:val="left"/>
          <w:tab w:leader="none" w:pos="25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(883)</w:t>
        <w:tab/>
        <w:t>$</w:t>
      </w:r>
      <w:r>
        <w:rPr>
          <w:sz w:val="20"/>
          <w:szCs w:val="20"/>
          <w:color w:val="auto"/>
        </w:rPr>
        <w:tab/>
      </w:r>
      <w:r>
        <w:rPr>
          <w:rFonts w:ascii="Arial" w:cs="Arial" w:eastAsia="Arial" w:hAnsi="Arial"/>
          <w:sz w:val="14"/>
          <w:szCs w:val="14"/>
          <w:color w:val="auto"/>
        </w:rPr>
        <w:t>(2,775)</w:t>
      </w:r>
    </w:p>
    <w:p>
      <w:pPr>
        <w:spacing w:after="0" w:line="86" w:lineRule="exact"/>
        <w:rPr>
          <w:sz w:val="20"/>
          <w:szCs w:val="20"/>
          <w:color w:val="auto"/>
        </w:rPr>
      </w:pPr>
    </w:p>
    <w:p>
      <w:pPr>
        <w:ind w:left="2540" w:hanging="1479"/>
        <w:spacing w:after="0"/>
        <w:tabs>
          <w:tab w:leader="none" w:pos="2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(1,690)</w:t>
      </w:r>
    </w:p>
    <w:p>
      <w:pPr>
        <w:spacing w:after="0" w:line="109" w:lineRule="exact"/>
        <w:rPr>
          <w:sz w:val="20"/>
          <w:szCs w:val="20"/>
          <w:color w:val="auto"/>
        </w:rPr>
      </w:pPr>
    </w:p>
    <w:p>
      <w:pPr>
        <w:jc w:val="both"/>
        <w:ind w:left="940"/>
        <w:spacing w:after="0"/>
        <w:tabs>
          <w:tab w:leader="none" w:pos="2520" w:val="left"/>
        </w:tabs>
        <w:rPr>
          <w:sz w:val="20"/>
          <w:szCs w:val="20"/>
          <w:color w:val="auto"/>
        </w:rPr>
      </w:pPr>
      <w:r>
        <w:rPr>
          <w:rFonts w:ascii="Arial" w:cs="Arial" w:eastAsia="Arial" w:hAnsi="Arial"/>
          <w:sz w:val="16"/>
          <w:szCs w:val="16"/>
          <w:color w:val="auto"/>
        </w:rPr>
        <w:t>(1,621)</w:t>
      </w:r>
      <w:r>
        <w:rPr>
          <w:sz w:val="20"/>
          <w:szCs w:val="20"/>
          <w:color w:val="auto"/>
        </w:rPr>
        <w:tab/>
      </w:r>
      <w:r>
        <w:rPr>
          <w:rFonts w:ascii="Arial" w:cs="Arial" w:eastAsia="Arial" w:hAnsi="Arial"/>
          <w:sz w:val="16"/>
          <w:szCs w:val="16"/>
          <w:color w:val="auto"/>
        </w:rPr>
        <w:t>(4,465)</w:t>
      </w:r>
    </w:p>
    <w:p>
      <w:pPr>
        <w:spacing w:after="0" w:line="86" w:lineRule="exact"/>
        <w:rPr>
          <w:sz w:val="20"/>
          <w:szCs w:val="20"/>
          <w:color w:val="auto"/>
        </w:rPr>
      </w:pPr>
    </w:p>
    <w:p>
      <w:pPr>
        <w:jc w:val="both"/>
        <w:ind w:left="940"/>
        <w:spacing w:after="0"/>
        <w:tabs>
          <w:tab w:leader="none" w:pos="2520" w:val="left"/>
        </w:tabs>
        <w:rPr>
          <w:sz w:val="20"/>
          <w:szCs w:val="20"/>
          <w:color w:val="auto"/>
        </w:rPr>
      </w:pPr>
      <w:r>
        <w:rPr>
          <w:rFonts w:ascii="Arial" w:cs="Arial" w:eastAsia="Arial" w:hAnsi="Arial"/>
          <w:sz w:val="16"/>
          <w:szCs w:val="16"/>
          <w:color w:val="auto"/>
        </w:rPr>
        <w:t>(1,929)</w:t>
      </w:r>
      <w:r>
        <w:rPr>
          <w:sz w:val="20"/>
          <w:szCs w:val="20"/>
          <w:color w:val="auto"/>
        </w:rPr>
        <w:tab/>
      </w:r>
      <w:r>
        <w:rPr>
          <w:rFonts w:ascii="Arial" w:cs="Arial" w:eastAsia="Arial" w:hAnsi="Arial"/>
          <w:sz w:val="16"/>
          <w:szCs w:val="16"/>
          <w:color w:val="auto"/>
        </w:rPr>
        <w:t>(3,180)</w:t>
      </w:r>
    </w:p>
    <w:p>
      <w:pPr>
        <w:spacing w:after="0" w:line="86" w:lineRule="exact"/>
        <w:rPr>
          <w:sz w:val="20"/>
          <w:szCs w:val="20"/>
          <w:color w:val="auto"/>
        </w:rPr>
      </w:pPr>
    </w:p>
    <w:p>
      <w:pPr>
        <w:ind w:left="2540" w:hanging="1479"/>
        <w:spacing w:after="0"/>
        <w:tabs>
          <w:tab w:leader="none" w:pos="2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(2,015)</w:t>
      </w:r>
    </w:p>
    <w:p>
      <w:pPr>
        <w:spacing w:after="0" w:line="109" w:lineRule="exact"/>
        <w:rPr>
          <w:sz w:val="20"/>
          <w:szCs w:val="20"/>
          <w:color w:val="auto"/>
        </w:rPr>
      </w:pPr>
    </w:p>
    <w:p>
      <w:pPr>
        <w:jc w:val="both"/>
        <w:ind w:left="1140"/>
        <w:spacing w:after="0"/>
        <w:tabs>
          <w:tab w:leader="none" w:pos="2720" w:val="left"/>
        </w:tabs>
        <w:rPr>
          <w:sz w:val="20"/>
          <w:szCs w:val="20"/>
          <w:color w:val="auto"/>
        </w:rPr>
      </w:pPr>
      <w:r>
        <w:rPr>
          <w:rFonts w:ascii="Arial" w:cs="Arial" w:eastAsia="Arial" w:hAnsi="Arial"/>
          <w:sz w:val="16"/>
          <w:szCs w:val="16"/>
          <w:color w:val="auto"/>
        </w:rPr>
        <w:t>(27)</w:t>
      </w:r>
      <w:r>
        <w:rPr>
          <w:sz w:val="20"/>
          <w:szCs w:val="20"/>
          <w:color w:val="auto"/>
        </w:rPr>
        <w:tab/>
      </w:r>
      <w:r>
        <w:rPr>
          <w:rFonts w:ascii="Arial" w:cs="Arial" w:eastAsia="Arial" w:hAnsi="Arial"/>
          <w:sz w:val="16"/>
          <w:szCs w:val="16"/>
          <w:color w:val="auto"/>
        </w:rPr>
        <w:t>(67)</w:t>
      </w:r>
    </w:p>
    <w:p>
      <w:pPr>
        <w:spacing w:after="0" w:line="86" w:lineRule="exact"/>
        <w:rPr>
          <w:sz w:val="20"/>
          <w:szCs w:val="20"/>
          <w:color w:val="auto"/>
        </w:rPr>
      </w:pPr>
    </w:p>
    <w:p>
      <w:pPr>
        <w:ind w:left="2660" w:hanging="1518"/>
        <w:spacing w:after="0"/>
        <w:tabs>
          <w:tab w:leader="none" w:pos="2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(477)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19551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9" w:lineRule="exact"/>
        <w:rPr>
          <w:sz w:val="20"/>
          <w:szCs w:val="20"/>
          <w:color w:val="auto"/>
        </w:rPr>
      </w:pPr>
    </w:p>
    <w:p>
      <w:pPr>
        <w:ind w:left="1120"/>
        <w:spacing w:after="0"/>
        <w:tabs>
          <w:tab w:leader="none" w:pos="2560" w:val="left"/>
        </w:tabs>
        <w:rPr>
          <w:sz w:val="20"/>
          <w:szCs w:val="20"/>
          <w:color w:val="auto"/>
        </w:rPr>
      </w:pPr>
      <w:r>
        <w:rPr>
          <w:rFonts w:ascii="Arial" w:cs="Arial" w:eastAsia="Arial" w:hAnsi="Arial"/>
          <w:sz w:val="16"/>
          <w:szCs w:val="16"/>
          <w:color w:val="auto"/>
        </w:rPr>
        <w:t>582</w:t>
      </w:r>
      <w:r>
        <w:rPr>
          <w:sz w:val="20"/>
          <w:szCs w:val="20"/>
          <w:color w:val="auto"/>
        </w:rPr>
        <w:tab/>
      </w:r>
      <w:r>
        <w:rPr>
          <w:rFonts w:ascii="Arial" w:cs="Arial" w:eastAsia="Arial" w:hAnsi="Arial"/>
          <w:sz w:val="16"/>
          <w:szCs w:val="16"/>
          <w:color w:val="auto"/>
        </w:rPr>
        <w:t>1,274</w:t>
      </w:r>
    </w:p>
    <w:p>
      <w:pPr>
        <w:spacing w:after="0" w:line="86" w:lineRule="exact"/>
        <w:rPr>
          <w:sz w:val="20"/>
          <w:szCs w:val="20"/>
          <w:color w:val="auto"/>
        </w:rPr>
      </w:pPr>
    </w:p>
    <w:p>
      <w:pPr>
        <w:ind w:left="1120"/>
        <w:spacing w:after="0"/>
        <w:tabs>
          <w:tab w:leader="none" w:pos="2680" w:val="left"/>
        </w:tabs>
        <w:rPr>
          <w:sz w:val="20"/>
          <w:szCs w:val="20"/>
          <w:color w:val="auto"/>
        </w:rPr>
      </w:pPr>
      <w:r>
        <w:rPr>
          <w:rFonts w:ascii="Arial" w:cs="Arial" w:eastAsia="Arial" w:hAnsi="Arial"/>
          <w:sz w:val="16"/>
          <w:szCs w:val="16"/>
          <w:color w:val="auto"/>
        </w:rPr>
        <w:t>459</w:t>
      </w:r>
      <w:r>
        <w:rPr>
          <w:sz w:val="20"/>
          <w:szCs w:val="20"/>
          <w:color w:val="auto"/>
        </w:rPr>
        <w:tab/>
      </w:r>
      <w:r>
        <w:rPr>
          <w:rFonts w:ascii="Arial" w:cs="Arial" w:eastAsia="Arial" w:hAnsi="Arial"/>
          <w:sz w:val="16"/>
          <w:szCs w:val="16"/>
          <w:color w:val="auto"/>
        </w:rPr>
        <w:t>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34925</wp:posOffset>
            </wp:positionV>
            <wp:extent cx="19551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66" w:lineRule="exact"/>
        <w:rPr>
          <w:sz w:val="20"/>
          <w:szCs w:val="20"/>
          <w:color w:val="auto"/>
        </w:rPr>
      </w:pPr>
    </w:p>
    <w:p>
      <w:pPr>
        <w:spacing w:after="0"/>
        <w:tabs>
          <w:tab w:leader="none" w:pos="1100" w:val="left"/>
          <w:tab w:leader="none" w:pos="1600" w:val="left"/>
          <w:tab w:leader="none" w:pos="26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123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34925</wp:posOffset>
            </wp:positionV>
            <wp:extent cx="195516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55165" cy="26035"/>
                    </a:xfrm>
                    <a:prstGeom prst="rect">
                      <a:avLst/>
                    </a:prstGeom>
                    <a:noFill/>
                  </pic:spPr>
                </pic:pic>
              </a:graphicData>
            </a:graphic>
          </wp:anchor>
        </w:drawing>
      </w:r>
    </w:p>
    <w:p>
      <w:pPr>
        <w:spacing w:after="0" w:line="351" w:lineRule="exact"/>
        <w:rPr>
          <w:sz w:val="20"/>
          <w:szCs w:val="20"/>
          <w:color w:val="auto"/>
        </w:rPr>
      </w:pPr>
    </w:p>
    <w:p>
      <w:pPr>
        <w:sectPr>
          <w:pgSz w:w="11900" w:h="16838" w:orient="portrait"/>
          <w:cols w:equalWidth="0" w:num="2">
            <w:col w:w="7640" w:space="720"/>
            <w:col w:w="3060"/>
          </w:cols>
          <w:pgMar w:left="240" w:top="229" w:right="239" w:bottom="1440" w:gutter="0" w:footer="0" w:header="0"/>
          <w:type w:val="continuous"/>
        </w:sectPr>
      </w:pPr>
    </w:p>
    <w:p>
      <w:pPr>
        <w:ind w:left="500" w:hanging="492"/>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 Year Ended December 31, 2017 Compared with the Year Ended December 31, 2016 — Adjusted Earnings” for a listing of other adjustments to net income (loss).</w:t>
      </w:r>
    </w:p>
    <w:p>
      <w:pPr>
        <w:sectPr>
          <w:pgSz w:w="11900" w:h="16838" w:orient="portrait"/>
          <w:cols w:equalWidth="0" w:num="1">
            <w:col w:w="11420"/>
          </w:cols>
          <w:pgMar w:left="240" w:top="229" w:right="2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 Adjusted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investment spread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Insurance-related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DAC and VOBA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expenses, net of DAC capitalization</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Adjusted earnings before provision for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Provision for income tax expense (benefit)</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Adjusted earnings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u w:val="single" w:color="auto"/>
          <w:color w:val="auto"/>
        </w:rPr>
        <w:t>Year Ended December 31, 2017 Compared with the Year Ended December 31,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23495</wp:posOffset>
            </wp:positionV>
            <wp:extent cx="19551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p>
      <w:pPr>
        <w:ind w:left="580"/>
        <w:spacing w:after="0"/>
        <w:tabs>
          <w:tab w:leader="none" w:pos="21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23495</wp:posOffset>
            </wp:positionV>
            <wp:extent cx="19551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68" w:lineRule="exact"/>
        <w:rPr>
          <w:sz w:val="20"/>
          <w:szCs w:val="20"/>
          <w:color w:val="auto"/>
        </w:rPr>
      </w:pPr>
    </w:p>
    <w:p>
      <w:pPr>
        <w:spacing w:after="0"/>
        <w:tabs>
          <w:tab w:leader="none" w:pos="980" w:val="left"/>
          <w:tab w:leader="none" w:pos="1600" w:val="left"/>
          <w:tab w:leader="none" w:pos="25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3,224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3,577</w:t>
      </w:r>
    </w:p>
    <w:p>
      <w:pPr>
        <w:spacing w:after="0" w:line="86" w:lineRule="exact"/>
        <w:rPr>
          <w:sz w:val="20"/>
          <w:szCs w:val="20"/>
          <w:color w:val="auto"/>
        </w:rPr>
      </w:pPr>
    </w:p>
    <w:p>
      <w:pPr>
        <w:ind w:left="1000"/>
        <w:spacing w:after="0"/>
        <w:tabs>
          <w:tab w:leader="none" w:pos="2560" w:val="left"/>
        </w:tabs>
        <w:rPr>
          <w:sz w:val="20"/>
          <w:szCs w:val="20"/>
          <w:color w:val="auto"/>
        </w:rPr>
      </w:pPr>
      <w:r>
        <w:rPr>
          <w:rFonts w:ascii="Arial" w:cs="Arial" w:eastAsia="Arial" w:hAnsi="Arial"/>
          <w:sz w:val="16"/>
          <w:szCs w:val="16"/>
          <w:color w:val="auto"/>
        </w:rPr>
        <w:t>1,235</w:t>
      </w:r>
      <w:r>
        <w:rPr>
          <w:sz w:val="20"/>
          <w:szCs w:val="20"/>
          <w:color w:val="auto"/>
        </w:rPr>
        <w:tab/>
      </w:r>
      <w:r>
        <w:rPr>
          <w:rFonts w:ascii="Arial" w:cs="Arial" w:eastAsia="Arial" w:hAnsi="Arial"/>
          <w:sz w:val="16"/>
          <w:szCs w:val="16"/>
          <w:color w:val="auto"/>
        </w:rPr>
        <w:t>1,507</w:t>
      </w:r>
    </w:p>
    <w:p>
      <w:pPr>
        <w:spacing w:after="0" w:line="86" w:lineRule="exact"/>
        <w:rPr>
          <w:sz w:val="20"/>
          <w:szCs w:val="20"/>
          <w:color w:val="auto"/>
        </w:rPr>
      </w:pPr>
    </w:p>
    <w:p>
      <w:pPr>
        <w:jc w:val="both"/>
        <w:ind w:left="940"/>
        <w:spacing w:after="0"/>
        <w:tabs>
          <w:tab w:leader="none" w:pos="2520" w:val="left"/>
        </w:tabs>
        <w:rPr>
          <w:sz w:val="20"/>
          <w:szCs w:val="20"/>
          <w:color w:val="auto"/>
        </w:rPr>
      </w:pPr>
      <w:r>
        <w:rPr>
          <w:rFonts w:ascii="Arial" w:cs="Arial" w:eastAsia="Arial" w:hAnsi="Arial"/>
          <w:sz w:val="16"/>
          <w:szCs w:val="16"/>
          <w:color w:val="auto"/>
        </w:rPr>
        <w:t>(1,177)</w:t>
      </w:r>
      <w:r>
        <w:rPr>
          <w:sz w:val="20"/>
          <w:szCs w:val="20"/>
          <w:color w:val="auto"/>
        </w:rPr>
        <w:tab/>
      </w:r>
      <w:r>
        <w:rPr>
          <w:rFonts w:ascii="Arial" w:cs="Arial" w:eastAsia="Arial" w:hAnsi="Arial"/>
          <w:sz w:val="16"/>
          <w:szCs w:val="16"/>
          <w:color w:val="auto"/>
        </w:rPr>
        <w:t>(1,187)</w:t>
      </w:r>
    </w:p>
    <w:p>
      <w:pPr>
        <w:spacing w:after="0" w:line="86" w:lineRule="exact"/>
        <w:rPr>
          <w:sz w:val="20"/>
          <w:szCs w:val="20"/>
          <w:color w:val="auto"/>
        </w:rPr>
      </w:pPr>
    </w:p>
    <w:p>
      <w:pPr>
        <w:ind w:left="2540" w:hanging="1479"/>
        <w:spacing w:after="0"/>
        <w:tabs>
          <w:tab w:leader="none" w:pos="2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(1,012)</w:t>
      </w:r>
    </w:p>
    <w:p>
      <w:pPr>
        <w:spacing w:after="0" w:line="109" w:lineRule="exact"/>
        <w:rPr>
          <w:sz w:val="20"/>
          <w:szCs w:val="20"/>
          <w:color w:val="auto"/>
        </w:rPr>
      </w:pPr>
    </w:p>
    <w:p>
      <w:pPr>
        <w:jc w:val="both"/>
        <w:ind w:left="940"/>
        <w:spacing w:after="0"/>
        <w:tabs>
          <w:tab w:leader="none" w:pos="2520" w:val="left"/>
        </w:tabs>
        <w:rPr>
          <w:sz w:val="20"/>
          <w:szCs w:val="20"/>
          <w:color w:val="auto"/>
        </w:rPr>
      </w:pPr>
      <w:r>
        <w:rPr>
          <w:rFonts w:ascii="Arial" w:cs="Arial" w:eastAsia="Arial" w:hAnsi="Arial"/>
          <w:sz w:val="16"/>
          <w:szCs w:val="16"/>
          <w:color w:val="auto"/>
        </w:rPr>
        <w:t>(1,833)</w:t>
      </w:r>
      <w:r>
        <w:rPr>
          <w:sz w:val="20"/>
          <w:szCs w:val="20"/>
          <w:color w:val="auto"/>
        </w:rPr>
        <w:tab/>
      </w:r>
      <w:r>
        <w:rPr>
          <w:rFonts w:ascii="Arial" w:cs="Arial" w:eastAsia="Arial" w:hAnsi="Arial"/>
          <w:sz w:val="16"/>
          <w:szCs w:val="16"/>
          <w:color w:val="auto"/>
        </w:rPr>
        <w:t>(1,611)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34925</wp:posOffset>
            </wp:positionV>
            <wp:extent cx="19551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66" w:lineRule="exact"/>
        <w:rPr>
          <w:sz w:val="20"/>
          <w:szCs w:val="20"/>
          <w:color w:val="auto"/>
        </w:rPr>
      </w:pPr>
    </w:p>
    <w:p>
      <w:pPr>
        <w:ind w:left="1120"/>
        <w:spacing w:after="0"/>
        <w:tabs>
          <w:tab w:leader="none" w:pos="2560" w:val="left"/>
        </w:tabs>
        <w:rPr>
          <w:sz w:val="20"/>
          <w:szCs w:val="20"/>
          <w:color w:val="auto"/>
        </w:rPr>
      </w:pPr>
      <w:r>
        <w:rPr>
          <w:rFonts w:ascii="Arial" w:cs="Arial" w:eastAsia="Arial" w:hAnsi="Arial"/>
          <w:sz w:val="16"/>
          <w:szCs w:val="16"/>
          <w:color w:val="auto"/>
        </w:rPr>
        <w:t>582</w:t>
      </w:r>
      <w:r>
        <w:rPr>
          <w:sz w:val="20"/>
          <w:szCs w:val="20"/>
          <w:color w:val="auto"/>
        </w:rPr>
        <w:tab/>
      </w:r>
      <w:r>
        <w:rPr>
          <w:rFonts w:ascii="Arial" w:cs="Arial" w:eastAsia="Arial" w:hAnsi="Arial"/>
          <w:sz w:val="16"/>
          <w:szCs w:val="16"/>
          <w:color w:val="auto"/>
        </w:rPr>
        <w:t>1,274</w:t>
      </w:r>
    </w:p>
    <w:p>
      <w:pPr>
        <w:spacing w:after="0" w:line="86" w:lineRule="exact"/>
        <w:rPr>
          <w:sz w:val="20"/>
          <w:szCs w:val="20"/>
          <w:color w:val="auto"/>
        </w:rPr>
      </w:pPr>
    </w:p>
    <w:p>
      <w:pPr>
        <w:ind w:left="1120"/>
        <w:spacing w:after="0"/>
        <w:tabs>
          <w:tab w:leader="none" w:pos="2680" w:val="left"/>
        </w:tabs>
        <w:rPr>
          <w:sz w:val="20"/>
          <w:szCs w:val="20"/>
          <w:color w:val="auto"/>
        </w:rPr>
      </w:pPr>
      <w:r>
        <w:rPr>
          <w:rFonts w:ascii="Arial" w:cs="Arial" w:eastAsia="Arial" w:hAnsi="Arial"/>
          <w:sz w:val="16"/>
          <w:szCs w:val="16"/>
          <w:color w:val="auto"/>
        </w:rPr>
        <w:t>459</w:t>
      </w:r>
      <w:r>
        <w:rPr>
          <w:sz w:val="20"/>
          <w:szCs w:val="20"/>
          <w:color w:val="auto"/>
        </w:rPr>
        <w:tab/>
      </w:r>
      <w:r>
        <w:rPr>
          <w:rFonts w:ascii="Arial" w:cs="Arial" w:eastAsia="Arial" w:hAnsi="Arial"/>
          <w:sz w:val="16"/>
          <w:szCs w:val="16"/>
          <w:color w:val="auto"/>
        </w:rPr>
        <w:t>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34925</wp:posOffset>
            </wp:positionV>
            <wp:extent cx="19551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66" w:lineRule="exact"/>
        <w:rPr>
          <w:sz w:val="20"/>
          <w:szCs w:val="20"/>
          <w:color w:val="auto"/>
        </w:rPr>
      </w:pPr>
    </w:p>
    <w:p>
      <w:pPr>
        <w:spacing w:after="0"/>
        <w:tabs>
          <w:tab w:leader="none" w:pos="1100" w:val="left"/>
          <w:tab w:leader="none" w:pos="1600" w:val="left"/>
          <w:tab w:leader="none" w:pos="26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123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34925</wp:posOffset>
            </wp:positionV>
            <wp:extent cx="19551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55165" cy="26035"/>
                    </a:xfrm>
                    <a:prstGeom prst="rect">
                      <a:avLst/>
                    </a:prstGeom>
                    <a:noFill/>
                  </pic:spPr>
                </pic:pic>
              </a:graphicData>
            </a:graphic>
          </wp:anchor>
        </w:drawing>
      </w:r>
    </w:p>
    <w:p>
      <w:pPr>
        <w:spacing w:after="0" w:line="514" w:lineRule="exact"/>
        <w:rPr>
          <w:sz w:val="20"/>
          <w:szCs w:val="20"/>
          <w:color w:val="auto"/>
        </w:rPr>
      </w:pPr>
    </w:p>
    <w:p>
      <w:pPr>
        <w:sectPr>
          <w:pgSz w:w="11900" w:h="16838" w:orient="portrait"/>
          <w:cols w:equalWidth="0" w:num="2">
            <w:col w:w="7640" w:space="720"/>
            <w:col w:w="3060"/>
          </w:cols>
          <w:pgMar w:left="240" w:top="229" w:right="239" w:bottom="1440" w:gutter="0" w:footer="0" w:header="0"/>
          <w:type w:val="continuous"/>
        </w:sectPr>
      </w:pPr>
    </w:p>
    <w:p>
      <w:pPr>
        <w:jc w:val="both"/>
        <w:ind w:left="180" w:firstLine="324"/>
        <w:spacing w:after="0" w:line="259" w:lineRule="auto"/>
        <w:rPr>
          <w:sz w:val="20"/>
          <w:szCs w:val="20"/>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 Adjusted earnings decreased $810 million, primarily due to (i) lower fee income, (ii) lower net investment spread and (iii) higher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(iv) lower DAC amortization. In addition, we recognized a non-cash tax charge of $1.1 billion in the third quarter of 2017, which was partially offset by the favorable impact of $704 million in the fourth quarter of 2017 related to the enactment of the Tax Act. Excluding the impacts from the annual actuarial assumption review, adjusted earnings decreased $1.1 billion.</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2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In the second quarter of 2016, we refined our actuarial model which calculates the reserves for our ULSG products (the “ULSG Model Change”). The new model treats projected premiums and death claims differently than the previous model. This change resulted in a one-time charge to adjusted earnings of $536 million. Of this one-time charge, $262 million was due to higher insurance-related liabilities combined with unfavorable adjustments related to unearned revenue and DAC. The impacts from the model change also resulted in a reduction of expected future gross profits, which drove our loss recognition margins negative, resulting in a further DAC write-off of $242 million and an increase in insurance-related liabilities of $32 million for the year ended December 31, 2016.</w:t>
      </w:r>
    </w:p>
    <w:p>
      <w:pPr>
        <w:spacing w:after="0" w:line="85" w:lineRule="exact"/>
        <w:rPr>
          <w:sz w:val="20"/>
          <w:szCs w:val="20"/>
          <w:color w:val="auto"/>
        </w:rPr>
      </w:pPr>
    </w:p>
    <w:p>
      <w:pPr>
        <w:jc w:val="both"/>
        <w:ind w:left="180" w:firstLine="324"/>
        <w:spacing w:after="0" w:line="291" w:lineRule="auto"/>
        <w:rPr>
          <w:sz w:val="20"/>
          <w:szCs w:val="20"/>
          <w:color w:val="auto"/>
        </w:rPr>
      </w:pPr>
      <w:r>
        <w:rPr>
          <w:rFonts w:ascii="Arial" w:cs="Arial" w:eastAsia="Arial" w:hAnsi="Arial"/>
          <w:sz w:val="16"/>
          <w:szCs w:val="16"/>
          <w:color w:val="auto"/>
        </w:rPr>
        <w:t>In the fourth quarter of 2016, we moved the ULSG products out of the Life segment and into the Run-off segment. The move was triggered by the decision in late 2016 to cease sales of all ULSG products in early 2017 and to manage this business separately from the rest of the Life business (“ULSG Re-segmentation”). In accordance with our accounting policies, the move to a different segment required us to separately evaluate and test the ULSG products for loss recognition without being able to offset losses with future earnings from the variable and universal life products remaining in the Life segment. The re-segmentation driven loss recognition resulted in a decrease in both net income (loss) and adjusted earnings of $146 million, primarily from the write-off of DAC. Additionally, loss recognition triggered by the Contribution Transactions in 2017 resulted in a decrease in both net income (loss) and adjusted earnings of $726 million, of which $571 million was from the write-off of DAC and $155 million was from an increase in insurance liabilities.</w:t>
      </w:r>
    </w:p>
    <w:p>
      <w:pPr>
        <w:spacing w:after="0" w:line="59"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In the fourth quarter of 2017, several actions involving our ULSG business (“ULSG Actions”) resulted in a net decrease to both income (loss) before provision for income tax and pre-tax adjusted earnings of $82 million. These actions included the recapture of certain unaffiliated third-party reinsurance agreements which resulted in net charges totaling $147 million; partially offset by refinements to the actuarial valuation model, resulting in net favorable impact of $65 million.</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Fee Income</w:t>
      </w:r>
      <w:r>
        <w:rPr>
          <w:rFonts w:ascii="Arial" w:cs="Arial" w:eastAsia="Arial" w:hAnsi="Arial"/>
          <w:sz w:val="18"/>
          <w:szCs w:val="18"/>
          <w:color w:val="auto"/>
        </w:rPr>
        <w:t>. Fee income decreased $353 million, primarily due to:</w:t>
      </w:r>
    </w:p>
    <w:p>
      <w:pPr>
        <w:spacing w:after="0" w:line="117" w:lineRule="exact"/>
        <w:rPr>
          <w:sz w:val="20"/>
          <w:szCs w:val="20"/>
          <w:color w:val="auto"/>
        </w:rPr>
      </w:pPr>
    </w:p>
    <w:p>
      <w:pPr>
        <w:ind w:left="1300" w:hanging="320"/>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benefit of $303 million recognized, included in other revenue, in the prior period from the recapture from a former affiliate of reinsurance agreements for certain single premium deferred annuity contracts (“SPDA Recaptures”);</w:t>
      </w:r>
    </w:p>
    <w:p>
      <w:pPr>
        <w:spacing w:after="0" w:line="62"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net benefit of $102 million mostly resulting from the recapture in the prior period of several ceded and assumed reinsurance agreements for certain traditional life products; and</w:t>
      </w:r>
    </w:p>
    <w:p>
      <w:pPr>
        <w:spacing w:after="0" w:line="62"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deferred gain of $32 million recognized in the prior period related to the reinsurance agreements that were recaptured from an affiliate of MetLife in the first quarter of 2017; partially offset by</w:t>
      </w:r>
    </w:p>
    <w:p>
      <w:pPr>
        <w:spacing w:after="0" w:line="62" w:lineRule="exact"/>
        <w:rPr>
          <w:rFonts w:ascii="Arial" w:cs="Arial" w:eastAsia="Arial" w:hAnsi="Arial"/>
          <w:sz w:val="18"/>
          <w:szCs w:val="18"/>
          <w:color w:val="auto"/>
        </w:rPr>
      </w:pPr>
    </w:p>
    <w:p>
      <w:pPr>
        <w:jc w:val="both"/>
        <w:ind w:left="1300" w:right="20" w:hanging="320"/>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$18 million from changes to assumptions in the current period to our Life segment and ULSG products driven mostly by maintenance expenses, premium persistency and mortality, net of unfavorable changes from refinements in the amortization period in our annuities business; and</w:t>
      </w:r>
    </w:p>
    <w:p>
      <w:pPr>
        <w:spacing w:after="0" w:line="73"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charge of $24 million recognized in the prior period due to lower amortization of unearned revenue as a result of the ULSG Model Change.</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Excluding the impact of the annual actuarial assumption review, fee income decreased $371 million.</w:t>
      </w:r>
    </w:p>
    <w:p>
      <w:pPr>
        <w:spacing w:after="0" w:line="117"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i w:val="1"/>
          <w:iCs w:val="1"/>
          <w:color w:val="auto"/>
        </w:rPr>
        <w:t>Net Investment Spread</w:t>
      </w:r>
      <w:r>
        <w:rPr>
          <w:rFonts w:ascii="Arial" w:cs="Arial" w:eastAsia="Arial" w:hAnsi="Arial"/>
          <w:sz w:val="17"/>
          <w:szCs w:val="17"/>
          <w:color w:val="auto"/>
        </w:rPr>
        <w:t>. Net investment spread decreased $272 million, primarily due to lower net investment income driven by (i) lower income on</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derivatives as a result of the termination of interest rate swaps, (ii) lower income from our securities lending program, as a result of a reduction in program size and lower margins due to the impact of a flatter yield curve and (iii) lower prepayment fees. These decreases were partially offset by higher returns on other limited partnership interests driven by an improvement in equity market performance and the impact from an increase in the average invested asset base, primarily due to positive net flows in the general account. The SPDA Recapture had an immaterial impact to net investment spread as the reduction from the elimination of interest credited payments on the related reinsurance receivable, recognized in other revenue, was mostly offset by a corresponding increase in net investment income resulting from an increase in the average invested asset base.</w:t>
      </w:r>
    </w:p>
    <w:p>
      <w:pPr>
        <w:spacing w:after="0" w:line="70"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i w:val="1"/>
          <w:iCs w:val="1"/>
          <w:color w:val="auto"/>
        </w:rPr>
        <w:t>Insurance-Related Activities</w:t>
      </w:r>
      <w:r>
        <w:rPr>
          <w:rFonts w:ascii="Arial" w:cs="Arial" w:eastAsia="Arial" w:hAnsi="Arial"/>
          <w:sz w:val="17"/>
          <w:szCs w:val="17"/>
          <w:color w:val="auto"/>
        </w:rPr>
        <w:t>. Net cost from insurance-related activities decreased by $10 million, primarily due to lower amortization of deferred sales</w:t>
      </w:r>
      <w:r>
        <w:rPr>
          <w:rFonts w:ascii="Arial" w:cs="Arial" w:eastAsia="Arial" w:hAnsi="Arial"/>
          <w:sz w:val="17"/>
          <w:szCs w:val="17"/>
          <w:i w:val="1"/>
          <w:iCs w:val="1"/>
          <w:color w:val="auto"/>
        </w:rPr>
        <w:t xml:space="preserve"> </w:t>
      </w:r>
      <w:r>
        <w:rPr>
          <w:rFonts w:ascii="Arial" w:cs="Arial" w:eastAsia="Arial" w:hAnsi="Arial"/>
          <w:sz w:val="17"/>
          <w:szCs w:val="17"/>
          <w:color w:val="auto"/>
        </w:rPr>
        <w:t>inducements, recognized in policyholder benefits and claims, in connection with the annual actuarial assumption review and a favorable change in the fair value of the underlying ceded separate account assets under a related party reinsurance agreement for certain variable annuity contracts. These decreases were largely offset by unfavorable impacts, recognized in policyholder benefits and claims, from higher net reserves in our ULSG business and an increase in pension risk transfer reserves. The net reserve changes in our ULSG business reflect unfavorable impacts from:</w:t>
      </w:r>
    </w:p>
    <w:p>
      <w:pPr>
        <w:spacing w:after="0" w:line="64" w:lineRule="exact"/>
        <w:rPr>
          <w:sz w:val="20"/>
          <w:szCs w:val="20"/>
          <w:color w:val="auto"/>
        </w:rPr>
      </w:pPr>
    </w:p>
    <w:p>
      <w:pPr>
        <w:jc w:val="center"/>
        <w:ind w:left="5620" w:right="1620" w:hanging="4964"/>
        <w:spacing w:after="0" w:line="747" w:lineRule="auto"/>
        <w:tabs>
          <w:tab w:leader="none" w:pos="1301"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charges recognized in the current period due to additional loss recognition triggered by the Contribution Transactions; 65</w:t>
      </w:r>
    </w:p>
    <w:p>
      <w:pPr>
        <w:sectPr>
          <w:pgSz w:w="11900" w:h="16838" w:orient="portrait"/>
          <w:cols w:equalWidth="0" w:num="1">
            <w:col w:w="11420"/>
          </w:cols>
          <w:pgMar w:left="240" w:top="22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charges in the current period related to the ULSG Actions; and</w:t>
      </w:r>
    </w:p>
    <w:p>
      <w:pPr>
        <w:spacing w:after="0" w:line="11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incremental liability increases that have been recognized since the implementation of the ULSG Model Change; less favorable impacts from:</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charges recognized in the prior period resulting from the ULSG Model Change;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reserves in connection with the annual actuarial assumption review.</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Excluding the impact of the annual actuarial assumption review, insurance-related activities decreased adjusted earnings by $56 million.</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i w:val="1"/>
          <w:iCs w:val="1"/>
          <w:color w:val="auto"/>
        </w:rPr>
        <w:t>Amortization of DAC and VOBA</w:t>
      </w:r>
      <w:r>
        <w:rPr>
          <w:rFonts w:ascii="Arial" w:cs="Arial" w:eastAsia="Arial" w:hAnsi="Arial"/>
          <w:sz w:val="18"/>
          <w:szCs w:val="18"/>
          <w:color w:val="auto"/>
        </w:rPr>
        <w:t>. Lower amortization of DAC and VOBA had a favorable impact on comparative results of $145 million,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w:t>
      </w:r>
    </w:p>
    <w:p>
      <w:pPr>
        <w:spacing w:after="0" w:line="62" w:lineRule="exact"/>
        <w:rPr>
          <w:sz w:val="20"/>
          <w:szCs w:val="20"/>
          <w:color w:val="auto"/>
        </w:rPr>
      </w:pPr>
    </w:p>
    <w:p>
      <w:pPr>
        <w:ind w:left="1300" w:hanging="320"/>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lower amortization of $326 million resulting mostly from refinements to the amortization period in connection with the annual actuarial assumption review; and</w:t>
      </w:r>
    </w:p>
    <w:p>
      <w:pPr>
        <w:spacing w:after="0" w:line="62"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lower amortization of $76 million due primarily to the recapture in the prior year of several life reinsurance agreements from former affiliates and a third party; partially offset by</w:t>
      </w:r>
    </w:p>
    <w:p>
      <w:pPr>
        <w:spacing w:after="0" w:line="62"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amortization of $171 million in our ULSG business resulting from (i) the write down of the remaining ULSG-related DAC as a result of additional loss recognition triggered by the Contribution Transactions in the current period, net of (ii) the impact from charges in the prior period due to the ULSG Model Change, as well as (iii) lower operating amortization in the current period as a result of the DAC write-offs in prior periods; and</w:t>
      </w:r>
    </w:p>
    <w:p>
      <w:pPr>
        <w:spacing w:after="0" w:line="78"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higher amortization of $109 million as a result of the recovery recorded in the prior period in connection with the SPDA Recapture.</w:t>
      </w:r>
    </w:p>
    <w:p>
      <w:pPr>
        <w:spacing w:after="0" w:line="129"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Excluding the impact of the annual actuarial assumption review, higher amortization of DAC and VOBA had an unfavorable impact on comparative results of $181 million.</w:t>
      </w:r>
    </w:p>
    <w:p>
      <w:pPr>
        <w:spacing w:after="0" w:line="62"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i w:val="1"/>
          <w:iCs w:val="1"/>
          <w:color w:val="auto"/>
        </w:rPr>
        <w:t xml:space="preserve">Other Expenses, Net of DAC Capitalization. </w:t>
      </w:r>
      <w:r>
        <w:rPr>
          <w:rFonts w:ascii="Arial" w:cs="Arial" w:eastAsia="Arial" w:hAnsi="Arial"/>
          <w:sz w:val="18"/>
          <w:szCs w:val="18"/>
          <w:color w:val="auto"/>
        </w:rPr>
        <w:t>Expenses increased $222 million, primarily due to establishment costs related to our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transformation and branding, as well as increases in operating expenses as a result of being a stand-alone company.</w:t>
      </w:r>
    </w:p>
    <w:p>
      <w:pPr>
        <w:spacing w:after="0" w:line="62"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i w:val="1"/>
          <w:iCs w:val="1"/>
          <w:color w:val="auto"/>
        </w:rPr>
        <w:t>Actuarial Assumption Review</w:t>
      </w:r>
      <w:r>
        <w:rPr>
          <w:rFonts w:ascii="Arial" w:cs="Arial" w:eastAsia="Arial" w:hAnsi="Arial"/>
          <w:sz w:val="18"/>
          <w:szCs w:val="18"/>
          <w:color w:val="auto"/>
        </w:rPr>
        <w:t>. The results of our actuarial assumption review, which are included in the amounts discussed above, had a favorable</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on comparative results of $410 million, primarily due to a decrease in amortization of DAC and deferred sales inducements from refinements to the amortization period in our annuities business.</w:t>
      </w:r>
    </w:p>
    <w:p>
      <w:pPr>
        <w:spacing w:after="0" w:line="73"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expense for the year ended December 31, 2017 was $459 million, or 79% of income (loss) before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for income tax, compared to $341 million, or 27% of income (loss) before provision for income tax, for the year ended December 31, 2016. Our effective tax rate differs from the U.S. statutory rate typically due to dividend received deductions and tax credits. In the current period, we recognized an additional $1.1 billion non-cash tax charge in connection with the Separation. We also recognized a tax benefit in the current period of $704 million due to the Tax Act.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2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GMLB Riders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presents the overall impact to income (loss) before provision for income tax from the performance of GMLB Riders for (i) changes in carrying value of the GAAP liabilities, (ii) the mark-to-market of hedges and reinsurance, (iii) fees, and (iv) associated DAC offsets for the years ended December 31, 2017 and 2016, respectively.</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7"/>
              </w:rPr>
              <w:t>Years Ended December 31,</w:t>
            </w:r>
          </w:p>
        </w:tc>
        <w:tc>
          <w:tcPr>
            <w:tcW w:w="0" w:type="dxa"/>
            <w:vAlign w:val="bottom"/>
          </w:tcPr>
          <w:p>
            <w:pPr>
              <w:spacing w:after="0"/>
              <w:rPr>
                <w:sz w:val="1"/>
                <w:szCs w:val="1"/>
                <w:color w:val="auto"/>
              </w:rPr>
            </w:pPr>
          </w:p>
        </w:tc>
      </w:tr>
      <w:tr>
        <w:trPr>
          <w:trHeight w:val="264"/>
        </w:trPr>
        <w:tc>
          <w:tcPr>
            <w:tcW w:w="90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9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Directly Written Liabilities (1)</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(2,477)</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Assumed Reinsurance Liabilities</w:t>
            </w:r>
          </w:p>
        </w:tc>
        <w:tc>
          <w:tcPr>
            <w:tcW w:w="26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367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(2,511)</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Hedging Program</w:t>
            </w:r>
          </w:p>
        </w:tc>
        <w:tc>
          <w:tcPr>
            <w:tcW w:w="26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(3,140)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(2,799)</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Ceded Reinsurance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7"/>
        </w:trPr>
        <w:tc>
          <w:tcPr>
            <w:tcW w:w="9020" w:type="dxa"/>
            <w:vAlign w:val="bottom"/>
          </w:tcPr>
          <w:p>
            <w:pPr>
              <w:ind w:left="180"/>
              <w:spacing w:after="0"/>
              <w:rPr>
                <w:sz w:val="20"/>
                <w:szCs w:val="20"/>
                <w:color w:val="auto"/>
              </w:rPr>
            </w:pPr>
            <w:r>
              <w:rPr>
                <w:rFonts w:ascii="Arial" w:cs="Arial" w:eastAsia="Arial" w:hAnsi="Arial"/>
                <w:sz w:val="16"/>
                <w:szCs w:val="16"/>
                <w:color w:val="auto"/>
              </w:rPr>
              <w:t>Total Hedging Program and Reinsurance</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(3,101)</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(2,748)</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Directly Written Fees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Assumed Reinsurance Fees</w:t>
            </w:r>
          </w:p>
        </w:tc>
        <w:tc>
          <w:tcPr>
            <w:tcW w:w="260" w:type="dxa"/>
            <w:vAlign w:val="bottom"/>
          </w:tcPr>
          <w:p>
            <w:pPr>
              <w:spacing w:after="0"/>
              <w:rPr>
                <w:sz w:val="20"/>
                <w:szCs w:val="20"/>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Fees (2)</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217"/>
        </w:trPr>
        <w:tc>
          <w:tcPr>
            <w:tcW w:w="9020" w:type="dxa"/>
            <w:vAlign w:val="bottom"/>
          </w:tcPr>
          <w:p>
            <w:pPr>
              <w:ind w:left="40"/>
              <w:spacing w:after="0"/>
              <w:rPr>
                <w:sz w:val="20"/>
                <w:szCs w:val="20"/>
                <w:color w:val="auto"/>
              </w:rPr>
            </w:pPr>
            <w:r>
              <w:rPr>
                <w:rFonts w:ascii="Arial" w:cs="Arial" w:eastAsia="Arial" w:hAnsi="Arial"/>
                <w:sz w:val="16"/>
                <w:szCs w:val="16"/>
                <w:color w:val="auto"/>
              </w:rPr>
              <w:t>GMLB Riders before DAC Offsets</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(1,895)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(4,413)</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DAC Offsets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1,233</w:t>
            </w:r>
          </w:p>
        </w:tc>
        <w:tc>
          <w:tcPr>
            <w:tcW w:w="0" w:type="dxa"/>
            <w:vAlign w:val="bottom"/>
          </w:tcPr>
          <w:p>
            <w:pPr>
              <w:spacing w:after="0"/>
              <w:rPr>
                <w:sz w:val="1"/>
                <w:szCs w:val="1"/>
                <w:color w:val="auto"/>
              </w:rPr>
            </w:pPr>
          </w:p>
        </w:tc>
      </w:tr>
      <w:tr>
        <w:trPr>
          <w:trHeight w:val="244"/>
        </w:trPr>
        <w:tc>
          <w:tcPr>
            <w:tcW w:w="9020" w:type="dxa"/>
            <w:vAlign w:val="bottom"/>
          </w:tcPr>
          <w:p>
            <w:pPr>
              <w:ind w:left="180"/>
              <w:spacing w:after="0"/>
              <w:rPr>
                <w:sz w:val="20"/>
                <w:szCs w:val="20"/>
                <w:color w:val="auto"/>
              </w:rPr>
            </w:pPr>
            <w:r>
              <w:rPr>
                <w:rFonts w:ascii="Arial" w:cs="Arial" w:eastAsia="Arial" w:hAnsi="Arial"/>
                <w:sz w:val="16"/>
                <w:szCs w:val="16"/>
                <w:color w:val="auto"/>
              </w:rPr>
              <w:t>Total GMLB Riders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(1,929)</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(3,180)</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4"/>
                <w:szCs w:val="14"/>
                <w:color w:val="auto"/>
              </w:rPr>
              <w:t>______________</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90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hanging="492"/>
        <w:spacing w:after="0" w:line="308"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changes in fair value of the Shield Annuities embedded derivatives of ($305) million for the year ended December 31, 2017. Changes in the fair value of the Shield Annuities embedded derivatives were not included in the GMLB results for the year ended December 31, 2016.</w:t>
      </w:r>
    </w:p>
    <w:p>
      <w:pPr>
        <w:spacing w:after="0" w:line="38"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Excludes living benefit fees of $70 million and $75 million, included as a component of adjusted earnings, for the years ended December 31, 2017 and 2016,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Year Ended December 31, 2017 Compared with the Year Ended December 31, 2016</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Comparative results from GMLB Riders were favorable by $1.3 billion. Of this amount, a favorable change of $2.7 billion was recorded in net derivative gains (losses). Excluding the impact of the annual actuarial assumption review, comparative results from GMLB Riders were unfavorable by $795 million.</w:t>
      </w:r>
    </w:p>
    <w:p>
      <w:pPr>
        <w:spacing w:after="0" w:line="73"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i w:val="1"/>
          <w:iCs w:val="1"/>
          <w:color w:val="auto"/>
        </w:rPr>
        <w:t xml:space="preserve">GMLB Riders Liabilities. </w:t>
      </w:r>
      <w:r>
        <w:rPr>
          <w:rFonts w:ascii="Arial" w:cs="Arial" w:eastAsia="Arial" w:hAnsi="Arial"/>
          <w:sz w:val="18"/>
          <w:szCs w:val="18"/>
          <w:color w:val="auto"/>
        </w:rPr>
        <w:t>GMLB Riders liabilities represent our obligation to protect policyholders against the possibility that a downturn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will reduce the specified benefits that can be claimed under the base annuity contract. Any periods of significant and/or sustained downturns in equity markets, increased equity volatility, or reduced interest rates could result in an increase in the valuation of our GMLB Riders liabilities. An increase in these liabilities would result in a decrease to our net income (loss), which could be significant.</w:t>
      </w:r>
    </w:p>
    <w:p>
      <w:pPr>
        <w:spacing w:after="0" w:line="79"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change in the carrying value of GMLB Riders liabilities resulted in a favorable impact on comparative results of $2.9 billion, primarily due to lower charges related to the annual actuarial assumption review in the current year than in the prior year combined with favorable market impacts resulting from higher equity market performance partially offset by interest rates increasing less in the current period than in the prior period. Included in this amount is a decrease of $305 million in the fair value of our Shield Annuities embedded derivatives which have been included in the directly written liability beginning in the third quarter of 2017 on a prospective basis. Excluding the impact of the annual actuarial assumption review, GMLB Riders liabilities had an unfavorable impact on comparative results of $169 million.</w:t>
      </w:r>
    </w:p>
    <w:p>
      <w:pPr>
        <w:spacing w:after="0" w:line="85"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i w:val="1"/>
          <w:iCs w:val="1"/>
          <w:color w:val="auto"/>
        </w:rPr>
        <w:t xml:space="preserve">GMLB Riders Hedging Program and Reinsurance. </w:t>
      </w:r>
      <w:r>
        <w:rPr>
          <w:rFonts w:ascii="Arial" w:cs="Arial" w:eastAsia="Arial" w:hAnsi="Arial"/>
          <w:sz w:val="18"/>
          <w:szCs w:val="18"/>
          <w:color w:val="auto"/>
        </w:rPr>
        <w:t>We enter into freestanding derivatives, and to a lesser extent reinsurance, to hedge the market risks</w:t>
      </w:r>
      <w:r>
        <w:rPr>
          <w:rFonts w:ascii="Arial" w:cs="Arial" w:eastAsia="Arial" w:hAnsi="Arial"/>
          <w:sz w:val="18"/>
          <w:szCs w:val="18"/>
          <w:i w:val="1"/>
          <w:iCs w:val="1"/>
          <w:color w:val="auto"/>
        </w:rPr>
        <w:t xml:space="preserve"> </w:t>
      </w:r>
      <w:r>
        <w:rPr>
          <w:rFonts w:ascii="Arial" w:cs="Arial" w:eastAsia="Arial" w:hAnsi="Arial"/>
          <w:sz w:val="18"/>
          <w:szCs w:val="18"/>
          <w:color w:val="auto"/>
        </w:rPr>
        <w:t>inherent in GMLB Riders liabilities. However, certain of the risks inherent in GMLB Riders liabilities are unhedged, including the adjustment for non-performance risk. Generally, the same market factors that impact the fair value of GMLB Riders liabilities impact the value of the hedges, though in the opposite direction. However, due to the complex nature of the business and any unhedged risks, the changes in fair value of GMLB Riders liabilities and GMLB Riders hedges and reinsurance are not always in an equal amount.</w:t>
      </w:r>
    </w:p>
    <w:p>
      <w:pPr>
        <w:spacing w:after="0" w:line="80"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Changes in the fair value of GMLB Riders hedging program and reinsurance had an unfavorable impact on comparative results of $353 million primarily due to the inverse impact of the same equity market and interest rate factors that impacted the GMLB Riders liabilities.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2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left="180" w:firstLine="324"/>
        <w:spacing w:after="0" w:line="271" w:lineRule="auto"/>
        <w:rPr>
          <w:sz w:val="20"/>
          <w:szCs w:val="20"/>
          <w:color w:val="auto"/>
        </w:rPr>
      </w:pPr>
      <w:r>
        <w:rPr>
          <w:rFonts w:ascii="Arial" w:cs="Arial" w:eastAsia="Arial" w:hAnsi="Arial"/>
          <w:sz w:val="17"/>
          <w:szCs w:val="17"/>
          <w:i w:val="1"/>
          <w:iCs w:val="1"/>
          <w:color w:val="auto"/>
        </w:rPr>
        <w:t xml:space="preserve">GMLB Riders Fees. </w:t>
      </w:r>
      <w:r>
        <w:rPr>
          <w:rFonts w:ascii="Arial" w:cs="Arial" w:eastAsia="Arial" w:hAnsi="Arial"/>
          <w:sz w:val="17"/>
          <w:szCs w:val="17"/>
          <w:color w:val="auto"/>
        </w:rPr>
        <w:t>We earn fees on our GMLB Riders liabilities, which are calculated based on the notional amount used to calculate the owner’s</w:t>
      </w:r>
      <w:r>
        <w:rPr>
          <w:rFonts w:ascii="Arial" w:cs="Arial" w:eastAsia="Arial" w:hAnsi="Arial"/>
          <w:sz w:val="17"/>
          <w:szCs w:val="17"/>
          <w:i w:val="1"/>
          <w:iCs w:val="1"/>
          <w:color w:val="auto"/>
        </w:rPr>
        <w:t xml:space="preserve"> </w:t>
      </w:r>
      <w:r>
        <w:rPr>
          <w:rFonts w:ascii="Arial" w:cs="Arial" w:eastAsia="Arial" w:hAnsi="Arial"/>
          <w:sz w:val="17"/>
          <w:szCs w:val="17"/>
          <w:color w:val="auto"/>
        </w:rPr>
        <w:t>guaranteed benefits (“Benefit Base”). Fees calculated based on the Benefit Base are more stable in market downturns, compared to fees based on the account value, because the Benefit Base excludes the impact of a decline in the market value of the policyholder’s account value. We use the fees directly earned from GMLB Riders to fund the reserves, future claims and costs associated with the hedges of market risks inherent in the GMLB Riders liabilities. For GMLB Riders liabilities accounted for as embedded derivatives, the future fees are included in the fair value of the embedded derivative liabilities, with changes recorded in net derivative gains (losses). For GMLB Riders liabilities accounted for as insurance, while the related fees do affect the valuations of these liabilities, they are not included in the resulting liability values, but are recorded separately in universal life and investment-type product policy fees. Fees from GMLB Riders decreased $7 million.</w:t>
      </w:r>
    </w:p>
    <w:p>
      <w:pPr>
        <w:spacing w:after="0" w:line="71"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i w:val="1"/>
          <w:iCs w:val="1"/>
          <w:color w:val="auto"/>
        </w:rPr>
        <w:t xml:space="preserve">DAC Offsets. </w:t>
      </w:r>
      <w:r>
        <w:rPr>
          <w:rFonts w:ascii="Arial" w:cs="Arial" w:eastAsia="Arial" w:hAnsi="Arial"/>
          <w:sz w:val="18"/>
          <w:szCs w:val="18"/>
          <w:color w:val="auto"/>
        </w:rPr>
        <w:t>DAC offsets, which are inversely related to the changes in certain components of the GMLB Riders discussed above, resulted in an</w:t>
      </w:r>
      <w:r>
        <w:rPr>
          <w:rFonts w:ascii="Arial" w:cs="Arial" w:eastAsia="Arial" w:hAnsi="Arial"/>
          <w:sz w:val="18"/>
          <w:szCs w:val="18"/>
          <w:i w:val="1"/>
          <w:iCs w:val="1"/>
          <w:color w:val="auto"/>
        </w:rPr>
        <w:t xml:space="preserve"> </w:t>
      </w:r>
      <w:r>
        <w:rPr>
          <w:rFonts w:ascii="Arial" w:cs="Arial" w:eastAsia="Arial" w:hAnsi="Arial"/>
          <w:sz w:val="18"/>
          <w:szCs w:val="18"/>
          <w:color w:val="auto"/>
        </w:rPr>
        <w:t>unfavorable impact on comparative results of $1.3 billion. The DAC offset related to certain components of the directly written GMLB Riders is determined by the same factors that impact the respective component, but generally in the opposite direction. There is no DAC related to assumed reinsurance and, accordingly, no DAC offset. Excluding the impact of the annual actuarial assumption review, DAC offsets had an unfavorable impact on comparative results of $267 million.</w:t>
      </w:r>
    </w:p>
    <w:p>
      <w:pPr>
        <w:spacing w:after="0" w:line="80"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i w:val="1"/>
          <w:iCs w:val="1"/>
          <w:color w:val="auto"/>
        </w:rPr>
        <w:t xml:space="preserve">Actuarial Assumption Review. </w:t>
      </w:r>
      <w:r>
        <w:rPr>
          <w:rFonts w:ascii="Arial" w:cs="Arial" w:eastAsia="Arial" w:hAnsi="Arial"/>
          <w:sz w:val="18"/>
          <w:szCs w:val="18"/>
          <w:color w:val="auto"/>
        </w:rPr>
        <w:t>As previously discussed, we review and update, on an annual basis, our long-term assumptions used in the calculations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GMLB Riders liabilities. The impact from the annual actuarial assumption review, which is included in the amounts discussed above, had a favorable impact on comparative results of $2.0 billion, primarily due to the following:</w:t>
      </w:r>
    </w:p>
    <w:p>
      <w:pPr>
        <w:spacing w:after="0" w:line="73" w:lineRule="exact"/>
        <w:rPr>
          <w:sz w:val="20"/>
          <w:szCs w:val="20"/>
          <w:color w:val="auto"/>
        </w:rPr>
      </w:pPr>
    </w:p>
    <w:p>
      <w:pPr>
        <w:jc w:val="both"/>
        <w:ind w:left="66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favorable impact of $3.2 billion, recognized in net derivative gains (losses), mainly related to changes in assumptions regarding rider utilization assumptions and the related adjustment to risk margins in the prior period combined with the nonperformance risk adjustment in the current period resulting from using our own creditworthiness post-separation; partially offset by</w:t>
      </w:r>
    </w:p>
    <w:p>
      <w:pPr>
        <w:spacing w:after="0" w:line="7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unfavorable impact of $1.0 billion in DAC amortization primarily from (i) the favorable amortization offset in the prior period, which is inversely related to the assumption changes above, (ii) an unfavorable offset adjustment in the current period resulting from the change in nonperformance risk and (iii) refinements in the current period to the amortization period.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29"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Effects of Inflation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believes that inflation has not had a material effect on the Company’s results of operations, except insofar as inflation may affect interest rates.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 increase in inflation could affect our business in several ways. During inflationary periods, the value of fixed income investments falls which could increase realized and unrealized losses. Inflation also increases expenses for labor and other materials, potentially putting pressure on profitability if such costs cannot be passed through in our product prices. Prolonged and elevated inflation could adversely affect the financial markets and the economy generally, and dispelling it may require governments to pursue a restrictive fiscal and monetary policy, which could constrain overall economic activity, inhibit revenue growth and reduce the number of attractive investment opportunities.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for Securities Lending and Derivatives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participate in a securities lending program in the normal course of business for the purpose of enhancing the total return on our investment portfolio. Periodically, we receive non-cash collateral for securities lending from counterparties on deposit from customers, which cannot be sold or re-pledged, and which has not been recorded on our consolidated balance sheets. The amount of this collateral was $29 million and $27 million at estimated fair value at December 31, 2017 and 2016, respectively. See Notes 1 and 7 of the Notes to the Consolidated Financial Statements for discussion of our securities lending program, the classification of revenues and expenses, and the nature of the secured financing arrangement and associated liability.</w:t>
      </w:r>
    </w:p>
    <w:p>
      <w:pPr>
        <w:spacing w:after="0" w:line="5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From time to time we participate in repurchase and reverse repurchase programs. In connection with these transactions, we obtain fixed maturity securities as collateral from unaffiliated financial institutions, which can be repledged, and which are not recorded on our balance sheets. We had no pledged or repledged securities at either December 31, 2017 or December 31, 2016.</w:t>
      </w:r>
    </w:p>
    <w:p>
      <w:pPr>
        <w:spacing w:after="0" w:line="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enter into derivatives to manage various risks relating to our ongoing business operations. We have non-cash collateral from counterparties for derivatives, which can be sold or re-pledged subject to certain constraints, and which has not been recorded on our consolidated balance sheets. The amount of this non-cash collateral was $368 million and $564 million at December 31, 2017 and 2016, respectively. See “— Liquidity and Capital Resources — Liquidity” and Note 8 of the Notes to the Consolidated Financial Statements for information regarding the earned income on and the gross notional amount, estimated fair value of assets and liabilities and primary underlying risk exposure of our derivatives.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“Guarantees” in Note 14 of the Notes to the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Additionally, we enter into the following commitments in the normal course of business for the purpose of enhancing the total return on our investment portfolio: mortgage loan commitments and commitments to fund partnership investments and private corporate bond investments. See “Net Investment Income” and “Net Investment Gains (Losses)” in Note 7 of the Notes to the Consolidated Financial Statements for information on the investment income, investment expense, gains and losses from such investments. See also “Fixed Maturity and Equity Securities AFS” and “Mortgage Loans” in Note 7 of the Notes to the Consolidated Financial Statements for information on our investments in fixed maturity securities and mortgage loans.</w:t>
      </w:r>
    </w:p>
    <w:p>
      <w:pPr>
        <w:spacing w:after="0" w:line="5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than the commitments disclosed in Note 14 of the Notes to the Consolidated Financial Statements, there are no other material obligations or liabilities arising from the commitments to fund mortgage loans, partnership investments and private corporate bond investments.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Liquidity refers to our ability to generate adequate cash flows from our normal operations to meet the cash requirements of our operating, investing and financing activities. Capital refers to our long-term financial resources available to support our business operations and contribute to future growth. Our ability to generate and maintain sufficient liquidity and capital depends on the profitability of the businesses, timing of cash flows on investments and products, general economic conditions, access to the Brighthouse Financial, Inc. facilities described below and access to the capital markets and the alternate sources of liquidity and capital described herein.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72"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December 2016, Brighthouse Financial, Inc. entered into the Revolving Credit Facility. Additionally, in June 2017 and July 2017, respectively, Brighthouse Financial, Inc. issued the Senior Notes and entered into the Term Loan Facility. Collectively, these facilities will be a potential source of liquidity and capital to the Company. These facilities may also be supplemented by alternate sources of liquidity either directly or indirectly through affiliates.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Liquidity Management</w:t>
      </w:r>
    </w:p>
    <w:p>
      <w:pPr>
        <w:spacing w:after="0" w:line="117"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Based upon the strength of our franchise, diversification of our businesses, strong financial fundamentals including strong cash flows from operations, substantial short-term liquidity and additional liquid assets in our investment portfolio, as well as the substantial funding sources available to us, we continue to believe we have access to ample liquidity to meet business requirements under current market conditions and reasonably possible stress scenarios. We continuously monitor and adjust our liquidity and capital plans n light of market conditions, as well as changing needs and opportunities.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Sources and Uses of Liquidity and Capital</w:t>
      </w:r>
    </w:p>
    <w:p>
      <w:pPr>
        <w:spacing w:after="0" w:line="117"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The principal cash inflows from operating activities come from insurance premiums, annuity considerations, deposit funds, and net investment income, while the principal cash outflows from operating activities are a result of life insurance and annuity products and operating expenses, as well as income tax. We typically have a net cash outflow from investment activities because cash inflows from operating activities are reinvested in accordance with our asset and liability management discipline to fund insurance liabilities. We closely monitor and manage these risks through our comprehensive investment risk management process. The principal financing cash flows come from deposits and withdrawals on policyholder account balances, repayments on debt, dividends on common stock and changes in collateral related to securities lending and derivative activities.</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Liquid Assets and Short-term Liquidity</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An integral part of our liquidity management includes managing our level of short-term liquidity and level of liquid assets. Short-term liquidity was $1.1 billion and $1.4 billion at December 31, 2017 and 2016, respectively. Liquid assets were $36.5 billion and $27.6 billion at December 31, 2017 and 2016, respectively.</w:t>
      </w:r>
    </w:p>
    <w:p>
      <w:pPr>
        <w:spacing w:after="0" w:line="73"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Short-term liquidity includes cash and cash equivalents and short-term investments, excluding assets that are pledged or otherwise committed. Liquid assets include cash and cash equivalents, short-term investments and publicly-traded securities, excluding assets that are pledged or otherwise committed. Assets pledged or otherwise committed include those in connection with securities lending, derivatives and cash and investments on deposit with regulatory agencies.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Funding Agreements Reported in Policyholder Account Balances</w:t>
      </w:r>
    </w:p>
    <w:p>
      <w:pPr>
        <w:spacing w:after="0" w:line="117"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We issue fixed and floating rate funding agreements to a variety of sources including special purpose entities, the Federal Home Loan Bank and the Federal Agricultural Mortgage Corporation. We had total obligations under funding agreements of $736 million and $772 million at December 31, 2017 and 2016, respectively. During the years ended December 31, 2017, 2016 and 2015, we issued $25 million, $6.1 billion and $17.1 billion, respectively, and repaid $81 million, $9.4 billion and $17.9 billion, respectively, of funding agreements. See Note 4 of the Notes to the Consolidated Financial Statements.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Insurance Liabilities</w:t>
      </w:r>
    </w:p>
    <w:p>
      <w:pPr>
        <w:spacing w:after="0" w:line="117"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Liabilities arising from our insurance activities primarily relate to benefit payments under various life insurance, annuity and pension products, as well as payments for policy surrenders, withdrawals and loans. For annuity or deposit type products, surrender or lapse behavior differs somewhat by segment. In the Annuities segment, lapses and surrenders tend to occur in the normal course of business. During the years ended December 31, 2017 and 2016, general account surrenders and withdrawals from annuity products were $1.6 billion and $1.7 billion, respectively. In the Run-Off segment, which includes pension risk transfers, bank-owned life insurance and other fixed annuity contracts, as well as funding agreements and other capital market products, most of the products offered have fixed maturities or fairly predictable surrenders or withdrawals.</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Pledged Collateral</w:t>
      </w:r>
    </w:p>
    <w:p>
      <w:pPr>
        <w:spacing w:after="0" w:line="117"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We pledge collateral to, and have collateral pledged to us by, counterparties in connection with our derivatives. At December 31, 2017 and 2016, we were obligated to return cash collateral pledged to the Company of $367 million and $728 million, respectively. At December 31, 2017 and 2016, we had pledged cash collateral of $44 million and $765 million, respectively. With respect to OTC-bilateral derivatives in a net liability position that have financial strength contingent provisions, a one-notch downgrade in Brighthouse Life Insurance Company’s financial strength rating would not have increased our derivative collateral requirements at December 31, 2017. See Note 8 of the Notes to the Consolidated Financial Statements.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2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180" w:right="440" w:firstLine="324"/>
        <w:spacing w:after="0" w:line="375" w:lineRule="auto"/>
        <w:rPr>
          <w:sz w:val="20"/>
          <w:szCs w:val="20"/>
          <w:color w:val="auto"/>
        </w:rPr>
      </w:pPr>
      <w:r>
        <w:rPr>
          <w:rFonts w:ascii="Arial" w:cs="Arial" w:eastAsia="Arial" w:hAnsi="Arial"/>
          <w:sz w:val="18"/>
          <w:szCs w:val="18"/>
          <w:color w:val="auto"/>
        </w:rPr>
        <w:t xml:space="preserve">We pledge collateral from time to time in connection with funding agreements. See Note 4 of the Notes to the Consolidated Financial Statements. </w:t>
      </w:r>
      <w:r>
        <w:rPr>
          <w:rFonts w:ascii="Arial" w:cs="Arial" w:eastAsia="Arial" w:hAnsi="Arial"/>
          <w:sz w:val="18"/>
          <w:szCs w:val="18"/>
          <w:b w:val="1"/>
          <w:bCs w:val="1"/>
          <w:i w:val="1"/>
          <w:iCs w:val="1"/>
          <w:u w:val="single" w:color="auto"/>
          <w:color w:val="auto"/>
        </w:rPr>
        <w:t>Securities Lending</w:t>
      </w:r>
    </w:p>
    <w:p>
      <w:pPr>
        <w:spacing w:after="0" w:line="1" w:lineRule="exact"/>
        <w:rPr>
          <w:sz w:val="20"/>
          <w:szCs w:val="20"/>
          <w:color w:val="auto"/>
        </w:rPr>
      </w:pPr>
    </w:p>
    <w:p>
      <w:pPr>
        <w:jc w:val="both"/>
        <w:ind w:left="180" w:firstLine="324"/>
        <w:spacing w:after="0" w:line="254" w:lineRule="auto"/>
        <w:rPr>
          <w:sz w:val="20"/>
          <w:szCs w:val="20"/>
          <w:color w:val="auto"/>
        </w:rPr>
      </w:pPr>
      <w:r>
        <w:rPr>
          <w:rFonts w:ascii="Arial" w:cs="Arial" w:eastAsia="Arial" w:hAnsi="Arial"/>
          <w:sz w:val="18"/>
          <w:szCs w:val="18"/>
          <w:color w:val="auto"/>
        </w:rPr>
        <w:t>We participate in a securities lending program whereby securities are loaned to third parties, primarily brokerage firms and commercial banks. We obtain collateral, usually cash, from the borrower, which must be returned to the borrower when the loaned securities are returned to us. Under our securities lending program, we were liable for cash collateral under our control of $3.8 billion and $6.6 billion at December 31, 2017 and 2016, respectively. Of these amounts, $1.6 billion and $2.1 billion at December 31, 2017 and 2016, respectively, were on open, meaning that the related loaned security could be returned to us on the next business day requiring the immediate return of cash collateral we hold. The estimated fair value of the securities on loan related to the cash collateral on open at December 31, 2017 was $1.6 billion, all of which were U.S. government and agency securities which, if put to us, could be immediately sold to satisfy the cash requirements to immediately return the cash collateral. See Note 7 of the Notes to the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manage our capital position to maintain our financial strength ratings. See “Business — Company Ratings.” Our capital position is supported by our ability to generate strong cash flows within our businesses.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Rating Agencies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Rating agencies use an “outlook statement” of “positive,” “stable,” ‘‘negative’’ or “developing” to indicate a medium- or long-term trend in credit fundamentals which, if continued, may lead to a rating change. A rating may have a “stable” outlook to indicate that the rating is not expected to change; however, a “stable” rating does not preclude a rating agency from changing a rating at any time, without notice. Certain rating agencies assign rating modifiers such as “Credit Watch” or “under review” to indicate their opinion regarding the potential direction of a rating. These ratings modifiers are generally assigned in connection with certain events such as potential mergers, acquisitions, dispositions or material changes in a company’s results, in order for the rating agency to perform its analysis to fully determine the rating implications of the event.</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financial strength ratings represent each rating agency’s opinion of Brighthouse Life Insurance Company’s ability to pay obligations under insurance policies and contracts in accordance with their terms and are not evaluations directed toward the protection of investors in Brighthouse Life Insurance Company’s securities. Financial strength ratings are not statements of fact nor are they recommendations to purchase, hold or sell any security, contract or policy. Each rating should be evaluated independently of any other rating.</w:t>
      </w:r>
    </w:p>
    <w:p>
      <w:pPr>
        <w:spacing w:after="0" w:line="7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financial strength ratings at the date of this filing are indicated in the following table. All financial strength ratings have a stable outlook unless otherwise indicated. Additional information about financial strength ratings can be found on the websites of the respective rating agencies.</w:t>
      </w: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A.M. Best</w:t>
            </w: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Fitch</w:t>
            </w:r>
          </w:p>
        </w:tc>
        <w:tc>
          <w:tcPr>
            <w:tcW w:w="10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Moody’s</w:t>
            </w:r>
          </w:p>
        </w:tc>
        <w:tc>
          <w:tcPr>
            <w:tcW w:w="10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S&amp;P</w:t>
            </w:r>
          </w:p>
        </w:tc>
        <w:tc>
          <w:tcPr>
            <w:tcW w:w="0" w:type="dxa"/>
            <w:vAlign w:val="bottom"/>
          </w:tcPr>
          <w:p>
            <w:pPr>
              <w:spacing w:after="0"/>
              <w:rPr>
                <w:sz w:val="1"/>
                <w:szCs w:val="1"/>
                <w:color w:val="auto"/>
              </w:rPr>
            </w:pPr>
          </w:p>
        </w:tc>
      </w:tr>
      <w:tr>
        <w:trPr>
          <w:trHeight w:val="156"/>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Ratings Structure</w:t>
            </w: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i w:val="1"/>
                <w:iCs w:val="1"/>
                <w:color w:val="auto"/>
              </w:rPr>
              <w:t>“A++ (superior)” to “S</w:t>
            </w:r>
          </w:p>
        </w:tc>
        <w:tc>
          <w:tcPr>
            <w:tcW w:w="1920" w:type="dxa"/>
            <w:vAlign w:val="bottom"/>
            <w:gridSpan w:val="2"/>
            <w:vMerge w:val="restart"/>
          </w:tcPr>
          <w:p>
            <w:pPr>
              <w:jc w:val="center"/>
              <w:ind w:right="120"/>
              <w:spacing w:after="0"/>
              <w:rPr>
                <w:sz w:val="20"/>
                <w:szCs w:val="20"/>
                <w:color w:val="auto"/>
              </w:rPr>
            </w:pPr>
            <w:r>
              <w:rPr>
                <w:rFonts w:ascii="Arial" w:cs="Arial" w:eastAsia="Arial" w:hAnsi="Arial"/>
                <w:sz w:val="14"/>
                <w:szCs w:val="14"/>
                <w:i w:val="1"/>
                <w:iCs w:val="1"/>
                <w:color w:val="auto"/>
                <w:w w:val="98"/>
              </w:rPr>
              <w:t>“AAA (exceptionally strong)”</w:t>
            </w: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4"/>
                <w:szCs w:val="14"/>
                <w:i w:val="1"/>
                <w:iCs w:val="1"/>
                <w:color w:val="auto"/>
              </w:rPr>
              <w:t>“Aaa (highest quality)” to “C</w:t>
            </w:r>
          </w:p>
        </w:tc>
        <w:tc>
          <w:tcPr>
            <w:tcW w:w="1820" w:type="dxa"/>
            <w:vAlign w:val="bottom"/>
          </w:tcPr>
          <w:p>
            <w:pPr>
              <w:jc w:val="center"/>
              <w:spacing w:after="0" w:line="157" w:lineRule="exact"/>
              <w:rPr>
                <w:sz w:val="20"/>
                <w:szCs w:val="20"/>
                <w:color w:val="auto"/>
              </w:rPr>
            </w:pPr>
            <w:r>
              <w:rPr>
                <w:rFonts w:ascii="Arial" w:cs="Arial" w:eastAsia="Arial" w:hAnsi="Arial"/>
                <w:sz w:val="14"/>
                <w:szCs w:val="14"/>
                <w:i w:val="1"/>
                <w:iCs w:val="1"/>
                <w:color w:val="auto"/>
                <w:w w:val="97"/>
              </w:rPr>
              <w:t>“AAA (extremely strong)” to</w:t>
            </w:r>
          </w:p>
        </w:tc>
        <w:tc>
          <w:tcPr>
            <w:tcW w:w="0" w:type="dxa"/>
            <w:vAlign w:val="bottom"/>
          </w:tcPr>
          <w:p>
            <w:pPr>
              <w:spacing w:after="0"/>
              <w:rPr>
                <w:sz w:val="1"/>
                <w:szCs w:val="1"/>
                <w:color w:val="auto"/>
              </w:rPr>
            </w:pPr>
          </w:p>
        </w:tc>
      </w:tr>
      <w:tr>
        <w:trPr>
          <w:trHeight w:val="68"/>
        </w:trPr>
        <w:tc>
          <w:tcPr>
            <w:tcW w:w="3720" w:type="dxa"/>
            <w:vAlign w:val="bottom"/>
            <w:vMerge w:val="continue"/>
          </w:tcPr>
          <w:p>
            <w:pPr>
              <w:spacing w:after="0"/>
              <w:rPr>
                <w:sz w:val="5"/>
                <w:szCs w:val="5"/>
                <w:color w:val="auto"/>
              </w:rPr>
            </w:pPr>
          </w:p>
        </w:tc>
        <w:tc>
          <w:tcPr>
            <w:tcW w:w="1960" w:type="dxa"/>
            <w:vAlign w:val="bottom"/>
            <w:gridSpan w:val="2"/>
            <w:vMerge w:val="continue"/>
          </w:tcPr>
          <w:p>
            <w:pPr>
              <w:spacing w:after="0"/>
              <w:rPr>
                <w:sz w:val="5"/>
                <w:szCs w:val="5"/>
                <w:color w:val="auto"/>
              </w:rPr>
            </w:pPr>
          </w:p>
        </w:tc>
        <w:tc>
          <w:tcPr>
            <w:tcW w:w="1920" w:type="dxa"/>
            <w:vAlign w:val="bottom"/>
            <w:gridSpan w:val="2"/>
            <w:vMerge w:val="continue"/>
          </w:tcPr>
          <w:p>
            <w:pPr>
              <w:spacing w:after="0"/>
              <w:rPr>
                <w:sz w:val="5"/>
                <w:szCs w:val="5"/>
                <w:color w:val="auto"/>
              </w:rPr>
            </w:pPr>
          </w:p>
        </w:tc>
        <w:tc>
          <w:tcPr>
            <w:tcW w:w="1920" w:type="dxa"/>
            <w:vAlign w:val="bottom"/>
            <w:gridSpan w:val="2"/>
            <w:vMerge w:val="continue"/>
          </w:tcPr>
          <w:p>
            <w:pPr>
              <w:spacing w:after="0"/>
              <w:rPr>
                <w:sz w:val="5"/>
                <w:szCs w:val="5"/>
                <w:color w:val="auto"/>
              </w:rPr>
            </w:pPr>
          </w:p>
        </w:tc>
        <w:tc>
          <w:tcPr>
            <w:tcW w:w="1820" w:type="dxa"/>
            <w:vAlign w:val="bottom"/>
            <w:vMerge w:val="restart"/>
          </w:tcPr>
          <w:p>
            <w:pPr>
              <w:jc w:val="center"/>
              <w:spacing w:after="0" w:line="149" w:lineRule="exact"/>
              <w:rPr>
                <w:sz w:val="20"/>
                <w:szCs w:val="20"/>
                <w:color w:val="auto"/>
              </w:rPr>
            </w:pPr>
            <w:r>
              <w:rPr>
                <w:rFonts w:ascii="Arial" w:cs="Arial" w:eastAsia="Arial" w:hAnsi="Arial"/>
                <w:sz w:val="14"/>
                <w:szCs w:val="14"/>
                <w:i w:val="1"/>
                <w:iCs w:val="1"/>
                <w:color w:val="auto"/>
                <w:w w:val="99"/>
              </w:rPr>
              <w:t>“SD (Selective Default)” or</w:t>
            </w:r>
          </w:p>
        </w:tc>
        <w:tc>
          <w:tcPr>
            <w:tcW w:w="0" w:type="dxa"/>
            <w:vAlign w:val="bottom"/>
          </w:tcPr>
          <w:p>
            <w:pPr>
              <w:spacing w:after="0"/>
              <w:rPr>
                <w:sz w:val="1"/>
                <w:szCs w:val="1"/>
                <w:color w:val="auto"/>
              </w:rPr>
            </w:pPr>
          </w:p>
        </w:tc>
      </w:tr>
      <w:tr>
        <w:trPr>
          <w:trHeight w:val="81"/>
        </w:trPr>
        <w:tc>
          <w:tcPr>
            <w:tcW w:w="3720" w:type="dxa"/>
            <w:vAlign w:val="bottom"/>
            <w:vMerge w:val="continue"/>
          </w:tcPr>
          <w:p>
            <w:pPr>
              <w:spacing w:after="0"/>
              <w:rPr>
                <w:sz w:val="7"/>
                <w:szCs w:val="7"/>
                <w:color w:val="auto"/>
              </w:rPr>
            </w:pP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i w:val="1"/>
                <w:iCs w:val="1"/>
                <w:color w:val="auto"/>
                <w:w w:val="92"/>
              </w:rPr>
              <w:t>(suspended)”</w:t>
            </w: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4"/>
                <w:szCs w:val="14"/>
                <w:i w:val="1"/>
                <w:iCs w:val="1"/>
                <w:color w:val="auto"/>
                <w:w w:val="98"/>
              </w:rPr>
              <w:t>to “C (distressed)”</w:t>
            </w: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4"/>
                <w:szCs w:val="14"/>
                <w:i w:val="1"/>
                <w:iCs w:val="1"/>
                <w:color w:val="auto"/>
              </w:rPr>
              <w:t>(lowest rated)”</w:t>
            </w: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3720" w:type="dxa"/>
            <w:vAlign w:val="bottom"/>
          </w:tcPr>
          <w:p>
            <w:pPr>
              <w:spacing w:after="0"/>
              <w:rPr>
                <w:sz w:val="8"/>
                <w:szCs w:val="8"/>
                <w:color w:val="auto"/>
              </w:rPr>
            </w:pPr>
          </w:p>
        </w:tc>
        <w:tc>
          <w:tcPr>
            <w:tcW w:w="1960" w:type="dxa"/>
            <w:vAlign w:val="bottom"/>
            <w:gridSpan w:val="2"/>
            <w:vMerge w:val="continue"/>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i w:val="1"/>
                <w:iCs w:val="1"/>
                <w:color w:val="auto"/>
              </w:rPr>
              <w:t>“D (Default)”</w:t>
            </w:r>
          </w:p>
        </w:tc>
        <w:tc>
          <w:tcPr>
            <w:tcW w:w="0" w:type="dxa"/>
            <w:vAlign w:val="bottom"/>
          </w:tcPr>
          <w:p>
            <w:pPr>
              <w:spacing w:after="0"/>
              <w:rPr>
                <w:sz w:val="1"/>
                <w:szCs w:val="1"/>
                <w:color w:val="auto"/>
              </w:rPr>
            </w:pPr>
          </w:p>
        </w:tc>
      </w:tr>
      <w:tr>
        <w:trPr>
          <w:trHeight w:val="81"/>
        </w:trPr>
        <w:tc>
          <w:tcPr>
            <w:tcW w:w="3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7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Brighthouse Life Insurance Company</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A</w:t>
            </w:r>
          </w:p>
        </w:tc>
        <w:tc>
          <w:tcPr>
            <w:tcW w:w="19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A</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7"/>
              </w:rPr>
              <w:t>A3</w:t>
            </w:r>
          </w:p>
        </w:tc>
        <w:tc>
          <w:tcPr>
            <w:tcW w:w="18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7"/>
              </w:rPr>
              <w:t>A+ (1)</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3740" w:type="dxa"/>
            <w:vAlign w:val="bottom"/>
            <w:vMerge w:val="continue"/>
            <w:shd w:val="clear" w:color="auto" w:fill="CCEEFF"/>
          </w:tcPr>
          <w:p>
            <w:pPr>
              <w:spacing w:after="0"/>
              <w:rPr>
                <w:sz w:val="10"/>
                <w:szCs w:val="10"/>
                <w:color w:val="auto"/>
              </w:rPr>
            </w:pPr>
          </w:p>
        </w:tc>
        <w:tc>
          <w:tcPr>
            <w:tcW w:w="18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4"/>
              </w:rPr>
              <w:t>3rd of 16</w:t>
            </w:r>
          </w:p>
        </w:tc>
        <w:tc>
          <w:tcPr>
            <w:tcW w:w="19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6th of 19</w:t>
            </w:r>
          </w:p>
        </w:tc>
        <w:tc>
          <w:tcPr>
            <w:tcW w:w="19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7th of 21</w:t>
            </w:r>
          </w:p>
        </w:tc>
        <w:tc>
          <w:tcPr>
            <w:tcW w:w="18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5th of 22</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740" w:type="dxa"/>
            <w:vAlign w:val="bottom"/>
            <w:tcBorders>
              <w:bottom w:val="single" w:sz="8" w:color="CCEEFF"/>
            </w:tcBorders>
            <w:shd w:val="clear" w:color="auto" w:fill="CCEEFF"/>
          </w:tcPr>
          <w:p>
            <w:pPr>
              <w:spacing w:after="0"/>
              <w:rPr>
                <w:sz w:val="14"/>
                <w:szCs w:val="14"/>
                <w:color w:val="auto"/>
              </w:rPr>
            </w:pPr>
          </w:p>
        </w:tc>
        <w:tc>
          <w:tcPr>
            <w:tcW w:w="1840" w:type="dxa"/>
            <w:vAlign w:val="bottom"/>
            <w:tcBorders>
              <w:bottom w:val="single" w:sz="8" w:color="CCEEFF"/>
            </w:tcBorders>
            <w:vMerge w:val="continue"/>
            <w:shd w:val="clear" w:color="auto" w:fill="CCEEFF"/>
          </w:tcPr>
          <w:p>
            <w:pPr>
              <w:spacing w:after="0"/>
              <w:rPr>
                <w:sz w:val="14"/>
                <w:szCs w:val="14"/>
                <w:color w:val="auto"/>
              </w:rPr>
            </w:pPr>
          </w:p>
        </w:tc>
        <w:tc>
          <w:tcPr>
            <w:tcW w:w="1980" w:type="dxa"/>
            <w:vAlign w:val="bottom"/>
            <w:tcBorders>
              <w:bottom w:val="single" w:sz="8" w:color="CCEEFF"/>
            </w:tcBorders>
            <w:vMerge w:val="continue"/>
            <w:shd w:val="clear" w:color="auto" w:fill="CCEEFF"/>
          </w:tcPr>
          <w:p>
            <w:pPr>
              <w:spacing w:after="0"/>
              <w:rPr>
                <w:sz w:val="14"/>
                <w:szCs w:val="14"/>
                <w:color w:val="auto"/>
              </w:rPr>
            </w:pPr>
          </w:p>
        </w:tc>
        <w:tc>
          <w:tcPr>
            <w:tcW w:w="1920" w:type="dxa"/>
            <w:vAlign w:val="bottom"/>
            <w:tcBorders>
              <w:bottom w:val="single" w:sz="8" w:color="CCEEFF"/>
            </w:tcBorders>
            <w:vMerge w:val="continue"/>
            <w:shd w:val="clear" w:color="auto" w:fill="CCEEFF"/>
          </w:tcPr>
          <w:p>
            <w:pPr>
              <w:spacing w:after="0"/>
              <w:rPr>
                <w:sz w:val="14"/>
                <w:szCs w:val="14"/>
                <w:color w:val="auto"/>
              </w:rPr>
            </w:pPr>
          </w:p>
        </w:tc>
        <w:tc>
          <w:tcPr>
            <w:tcW w:w="188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40" w:type="dxa"/>
            <w:vAlign w:val="bottom"/>
            <w:vMerge w:val="restart"/>
          </w:tcPr>
          <w:p>
            <w:pPr>
              <w:ind w:left="20"/>
              <w:spacing w:after="0"/>
              <w:rPr>
                <w:sz w:val="20"/>
                <w:szCs w:val="20"/>
                <w:color w:val="auto"/>
              </w:rPr>
            </w:pPr>
            <w:r>
              <w:rPr>
                <w:rFonts w:ascii="Arial" w:cs="Arial" w:eastAsia="Arial" w:hAnsi="Arial"/>
                <w:sz w:val="16"/>
                <w:szCs w:val="16"/>
                <w:color w:val="auto"/>
              </w:rPr>
              <w:t>Brighthouse Life Insurance Company of NY</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rPr>
              <w:t>A</w:t>
            </w:r>
          </w:p>
        </w:tc>
        <w:tc>
          <w:tcPr>
            <w:tcW w:w="19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NR</w:t>
            </w:r>
          </w:p>
        </w:tc>
        <w:tc>
          <w:tcPr>
            <w:tcW w:w="1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NR</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7"/>
              </w:rPr>
              <w:t>A+ (1)</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740" w:type="dxa"/>
            <w:vAlign w:val="bottom"/>
            <w:vMerge w:val="continue"/>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3rd of 16</w:t>
            </w:r>
          </w:p>
        </w:tc>
        <w:tc>
          <w:tcPr>
            <w:tcW w:w="1980" w:type="dxa"/>
            <w:vAlign w:val="bottom"/>
            <w:vMerge w:val="continue"/>
          </w:tcPr>
          <w:p>
            <w:pPr>
              <w:spacing w:after="0"/>
              <w:rPr>
                <w:sz w:val="10"/>
                <w:szCs w:val="10"/>
                <w:color w:val="auto"/>
              </w:rPr>
            </w:pPr>
          </w:p>
        </w:tc>
        <w:tc>
          <w:tcPr>
            <w:tcW w:w="1920" w:type="dxa"/>
            <w:vAlign w:val="bottom"/>
            <w:vMerge w:val="continue"/>
          </w:tcPr>
          <w:p>
            <w:pPr>
              <w:spacing w:after="0"/>
              <w:rPr>
                <w:sz w:val="10"/>
                <w:szCs w:val="10"/>
                <w:color w:val="auto"/>
              </w:rPr>
            </w:pPr>
          </w:p>
        </w:tc>
        <w:tc>
          <w:tcPr>
            <w:tcW w:w="1880" w:type="dxa"/>
            <w:vAlign w:val="bottom"/>
            <w:vMerge w:val="restart"/>
          </w:tcPr>
          <w:p>
            <w:pPr>
              <w:jc w:val="center"/>
              <w:spacing w:after="0"/>
              <w:rPr>
                <w:sz w:val="20"/>
                <w:szCs w:val="20"/>
                <w:color w:val="auto"/>
              </w:rPr>
            </w:pPr>
            <w:r>
              <w:rPr>
                <w:rFonts w:ascii="Arial" w:cs="Arial" w:eastAsia="Arial" w:hAnsi="Arial"/>
                <w:sz w:val="16"/>
                <w:szCs w:val="16"/>
                <w:color w:val="auto"/>
                <w:w w:val="93"/>
              </w:rPr>
              <w:t>5th of 22</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9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780" w:type="dxa"/>
            <w:vAlign w:val="bottom"/>
            <w:gridSpan w:val="2"/>
          </w:tcPr>
          <w:p>
            <w:pPr>
              <w:jc w:val="right"/>
              <w:ind w:right="2679"/>
              <w:spacing w:after="0"/>
              <w:rPr>
                <w:sz w:val="20"/>
                <w:szCs w:val="20"/>
                <w:color w:val="auto"/>
              </w:rPr>
            </w:pPr>
            <w:r>
              <w:rPr>
                <w:rFonts w:ascii="Arial" w:cs="Arial" w:eastAsia="Arial" w:hAnsi="Arial"/>
                <w:sz w:val="14"/>
                <w:szCs w:val="14"/>
                <w:color w:val="auto"/>
                <w:w w:val="91"/>
              </w:rPr>
              <w:t>______________</w:t>
            </w:r>
          </w:p>
        </w:tc>
        <w:tc>
          <w:tcPr>
            <w:tcW w:w="18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(1) Negative outlook.</w:t>
      </w:r>
    </w:p>
    <w:p>
      <w:pPr>
        <w:spacing w:after="0" w:line="11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Rating agencies may continue to review and adjust our ratings. See “Risk Factors — Risks Related to Our Business — A downgrade or a potential downgrade in our financial strength ratings could result in a loss of business and materially adversely affect our financial condition and results of operations” for an in-depth description of the impact of a ratings downgrade.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2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Affiliated Captive Reinsurance Transactions</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Brighthouse Life Insurance Company cedes specific policy classes, including term life insurance, universal life insurance and secondary guarantees on universal life insurance to our subsidiary captive reinsurer, BRCD. The statutory reserves of BRCD are supported by a combination of investment assets and credit-linked notes supported by a pool of highly rated unaffiliated third-party reinsurers. Brighthouse Life Insurance Company entered into reinsurance agreements with BRCD for risk and capital management purposes, as well as to satisfy statutory reserve requirements related to universal and term life insurance policies.</w:t>
      </w:r>
    </w:p>
    <w:p>
      <w:pPr>
        <w:spacing w:after="0" w:line="80" w:lineRule="exact"/>
        <w:rPr>
          <w:sz w:val="20"/>
          <w:szCs w:val="20"/>
          <w:color w:val="auto"/>
        </w:rPr>
      </w:pPr>
    </w:p>
    <w:p>
      <w:pPr>
        <w:jc w:val="both"/>
        <w:ind w:left="180" w:firstLine="324"/>
        <w:spacing w:after="0" w:line="253" w:lineRule="auto"/>
        <w:rPr>
          <w:sz w:val="20"/>
          <w:szCs w:val="20"/>
          <w:color w:val="auto"/>
        </w:rPr>
      </w:pPr>
      <w:r>
        <w:rPr>
          <w:rFonts w:ascii="Arial" w:cs="Arial" w:eastAsia="Arial" w:hAnsi="Arial"/>
          <w:sz w:val="18"/>
          <w:szCs w:val="18"/>
          <w:color w:val="auto"/>
        </w:rPr>
        <w:t>The NAIC continues to review insurance companies’ use of affiliated captive reinsurers and off-shore entities. The Department of Financial Services continues to have a moratorium on new reserve financing transactions involving captive insurers. We are not aware of any states other than New York and California implementing such a moratorium. While such a moratorium would not impact the existing reinsurance agreements with BRCD, a moratorium placed on the use of captives for new reserve financing transactions could impact our ability to write certain products and/or impact our RBC ratios and ability to deploy excess capital in the future. This could result in our need to increase prices, modify product features or limit the availability of those products to our customers. While this affects insurers across the industry, it could adversely impact our competitive position and our results of operations in the future. We continue to evaluate product modifications, pricing structure and alternative means of managing risks, capital and statutory reserves and we expect the discontinued use of captive reinsurance on new reserve financing transactions would not have a material impact on our future consolidated financial results.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have an integrated process for managing risk exposures, which is coordinated among our Risk Management, Treasury, Actuarial and Investment Departments. The process is designed to assess and manage exposures on a consolidated company-wide basis. Brighthouse Financial, Inc. has established a Balance Sheet and Financial Risk Committee (“BSFRC”). The BSFRC is responsible for periodically reviewing all material financial risks to us, and in the event risks exceed desired tolerances, informs the Finance and Risk Committee of the Brighthouse Financial Inc. Board of Directors, considers possible courses of action, and determines how best to resolve or mitigate such risks. In taking such actions, the BSFRC considers industry best practices and the current economic environment. The BSFRC also reviews and approves target investment portfolios in order to align them with our liability profile, and establishes guidelines and limits for various risk taking departments, such as the Investment Department. Our Treasury Department is responsible for coordinating our asset liability management (“ALM”) strategies throughout the enterprise. The membership of the BSFRC is comprised of the following members of Brighthouse’s senior management: Chief Executive Officer, Chief Risk Officer, Chief Financial Officer, Chief Operating Officer, Chief Strategy Officer and Chief Investment Officer.</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significant market risk management practices include, but are not limited to the following:</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Managing Interest Rate Risk</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To manage interest rate risk, we employ product design, pricing and ALM strategies to mitigate the potential effects of interest rate movements. Product design and pricing strategies include the use of surrender charges or restrictions on withdrawals in some products and the ability to reset crediting rates for certain products. Our ALM strategies include the use of derivatives and duration mismatch limits.</w:t>
      </w:r>
    </w:p>
    <w:p>
      <w:pPr>
        <w:spacing w:after="0" w:line="73"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We analyze interest rate risk using various models, including multi-scenario cash flow projection models that forecast cash flows of the liabilities and their supporting investments, including derivatives. These projections involve evaluating the potential gain or loss on most of our in-force business under various increasing and decreasing interest rate environments. State insurance department regulations require that we perform some of these analyses annually as part of our review of the sufficiency of our regulatory reserves. We measure relative sensitivities of the value of our assets and liabilities to changes in key assumptions using internal models. These models reflect specific product characteristics and include assumptions based on current and anticipated experience regarding lapse, mortality and interest crediting rates. In addition, these models include asset cash flow projections reflecting interest payments, sinking fund payments, principal payments, bond calls, prepayments and defaults.</w:t>
      </w:r>
    </w:p>
    <w:p>
      <w:pPr>
        <w:spacing w:after="0" w:line="70" w:lineRule="exact"/>
        <w:rPr>
          <w:sz w:val="20"/>
          <w:szCs w:val="20"/>
          <w:color w:val="auto"/>
        </w:rPr>
      </w:pPr>
    </w:p>
    <w:p>
      <w:pPr>
        <w:jc w:val="both"/>
        <w:ind w:left="180" w:firstLine="324"/>
        <w:spacing w:after="0" w:line="312" w:lineRule="auto"/>
        <w:rPr>
          <w:sz w:val="20"/>
          <w:szCs w:val="20"/>
          <w:color w:val="auto"/>
        </w:rPr>
      </w:pPr>
      <w:r>
        <w:rPr>
          <w:rFonts w:ascii="Arial" w:cs="Arial" w:eastAsia="Arial" w:hAnsi="Arial"/>
          <w:sz w:val="16"/>
          <w:szCs w:val="16"/>
          <w:color w:val="auto"/>
        </w:rPr>
        <w:t>We also use common industry metrics, such as duration and convexity, to measure the relative sensitivity of asset and liability values to changes in interest rates. In computing the duration of liabilities, we consider all policyholder guarantees and how indeterminate policy elements such as interest credits or dividends are set. Each asset portfolio has a duration target based on the liability duration and the investment objectives of that portfolio.</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2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Managing Equity Market and Foreign Currency Risks</w:t>
      </w:r>
    </w:p>
    <w:p>
      <w:pPr>
        <w:spacing w:after="0" w:line="117" w:lineRule="exact"/>
        <w:rPr>
          <w:sz w:val="20"/>
          <w:szCs w:val="20"/>
          <w:color w:val="auto"/>
        </w:rPr>
      </w:pPr>
    </w:p>
    <w:p>
      <w:pPr>
        <w:jc w:val="both"/>
        <w:ind w:left="180" w:firstLine="324"/>
        <w:spacing w:after="0" w:line="291" w:lineRule="auto"/>
        <w:rPr>
          <w:sz w:val="20"/>
          <w:szCs w:val="20"/>
          <w:color w:val="auto"/>
        </w:rPr>
      </w:pPr>
      <w:r>
        <w:rPr>
          <w:rFonts w:ascii="Arial" w:cs="Arial" w:eastAsia="Arial" w:hAnsi="Arial"/>
          <w:sz w:val="16"/>
          <w:szCs w:val="16"/>
          <w:color w:val="auto"/>
        </w:rPr>
        <w:t>We manage equity market risk in a coordinated process across our Investment and Treasury Departments primarily by holding sufficient capital to permit us to absorb modest losses, which may be temporary, from changes in equity markets and interest rates without adversely affecting our financial strength ratings and through the use of derivatives, such as equity index options contracts, exchange-traded equity futures, equity variance swaps and equity total return swaps. We may also employ reinsurance strategies to manage these exposures. Key management objectives include limiting losses, minimizing exposures to significant risks and providing additional capital capacity for future growth. The Investment and Treasury Departments are also responsible for managing the exposure to foreign currency denominated investments. We use foreign currency swaps and forwards to mitigate the exposure, risk of loss and financial statement volatility associated with foreign currency denominated fixed income investments.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 Fair Value Exposures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regularly analyze our market risk exposure to interest rate, equity market, credit spread and foreign currency exchange rate risks. As a result of that analysis, we have determined that the estimated fair values of certain assets and liabilities are significantly exposed to changes in interest rates, and to a lesser extent, to changes in equity markets and foreign currency exchange rates. We have exposure to market risk through our insurance and annuity operations and general account investment activities. For purposes of this discussion, “market risk” is defined as changes in fair value resulting from changes in interest rates, equity markets, credit spread and foreign currency exchange rates. We may have additional financial impacts other than changes in fair value, which are beyond the scope of this discussion. See “Risk Factors” for additional disclosure regarding our market risk and related sensitivities.</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Rates</w:t>
      </w:r>
    </w:p>
    <w:p>
      <w:pPr>
        <w:spacing w:after="0" w:line="117" w:lineRule="exact"/>
        <w:rPr>
          <w:sz w:val="20"/>
          <w:szCs w:val="20"/>
          <w:color w:val="auto"/>
        </w:rPr>
      </w:pPr>
    </w:p>
    <w:p>
      <w:pPr>
        <w:jc w:val="both"/>
        <w:ind w:left="180" w:firstLine="324"/>
        <w:spacing w:after="0" w:line="293" w:lineRule="auto"/>
        <w:rPr>
          <w:sz w:val="20"/>
          <w:szCs w:val="20"/>
          <w:color w:val="auto"/>
        </w:rPr>
      </w:pPr>
      <w:r>
        <w:rPr>
          <w:rFonts w:ascii="Arial" w:cs="Arial" w:eastAsia="Arial" w:hAnsi="Arial"/>
          <w:sz w:val="16"/>
          <w:szCs w:val="16"/>
          <w:color w:val="auto"/>
        </w:rPr>
        <w:t>Our fair value exposure to changes in interest rates arises most significantly from our interest rate sensitive liabilities and our holdings of fixed maturity securities, mortgage loans and derivatives that are used to support our policyholder liabilities. Our interest rate sensitive liabilities include long term debt, policyholder account balances related to certain investment type contracts, and embedded derivatives in variable annuity contracts with guaranteed minimum benefits. Our fixed maturity securities including U.S. and foreign government bonds, securities issued by government agencies, corporate bonds, mortgage-backed and other ABS and our commercial, agricultural and residential mortgage loans, are exposed to changes in interest rates. We also use derivatives including swaps, caps, floors and options to mitigate the exposure related to interest rate risks from our product liabilities.</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Equity Market</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Along with investments in equity securities, we have fair value exposure to equity market risk through certain liabilities that involve long-term guarantees on equity performance such as embedded derivatives in variable annuity contracts with guaranteed minimum benefits, as well as certain policyholder account balances. In addition, we have exposure to equity markets through derivatives including futures, options and swaps that we enter into to mitigate potential equity market exposure from our product liabilities.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Foreign Currency Exchange Rates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Our fair value exposure to fluctuations in foreign currency exchange rates against the U.S. dollar results from our holdings in non-U.S. dollar denominated fixed maturity and equity securities, mortgage loans and certain liabilities. The principal currencies that create foreign currency exchange rate risk in our investment portfolios and liabilities are the Euro and the British pound. We economically hedge substantially all of our foreign currency exposure.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2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Measurement: Sensitivity Analysis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the following discussion and analysis, we measure market risk related to our market sensitive assets and liabilities based on changes in interest rates, equity market prices and foreign currency exchange rates using sensitivity analysis. This analysis estimates the potential changes in estimated fair value based on a hypothetical 10% change (increase or decrease) in interest rates, equity market prices and foreign currency exchange rates. We believe that these changes in market rates and prices are reasonably possible in the near term. In performing the analysis summarized below, we used market rates as of December 31, 2017. We modeled the impact of changes in market rates and prices on the estimated fair values of our market sensitive assets and liabilities as follows:</w:t>
      </w:r>
    </w:p>
    <w:p>
      <w:pPr>
        <w:spacing w:after="0" w:line="5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net present values of our interest rate sensitive exposures resulting from a 10% change (increase or decrease) in interest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estimated fair value of our equity positions due to a 10% change (increase or decrease) in equity market prices; and</w:t>
      </w:r>
    </w:p>
    <w:p>
      <w:pPr>
        <w:spacing w:after="0" w:line="117" w:lineRule="exact"/>
        <w:rPr>
          <w:rFonts w:ascii="Arial" w:cs="Arial" w:eastAsia="Arial" w:hAnsi="Arial"/>
          <w:sz w:val="18"/>
          <w:szCs w:val="18"/>
          <w:color w:val="auto"/>
        </w:rPr>
      </w:pPr>
    </w:p>
    <w:p>
      <w:pPr>
        <w:jc w:val="both"/>
        <w:ind w:left="660" w:hanging="328"/>
        <w:spacing w:after="0" w:line="34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U.S. dollar equivalent of estimated fair values of our foreign currency exposures due to a 10% change (increase in the value of the U.S. dollar compared to the foreign currencies or decrease in the value of the U.S. dollar compared to the foreign currencies) in foreign currency exchange rates.</w:t>
      </w:r>
    </w:p>
    <w:p>
      <w:pPr>
        <w:spacing w:after="0" w:line="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sensitivity analysis is an estimate and should not be viewed as predictive of our future financial performance. Our actual losses in any particular period may vary from the amounts indicated in the table below. Limitations related to this sensitivity analysis include:</w:t>
      </w:r>
    </w:p>
    <w:p>
      <w:pPr>
        <w:spacing w:after="0" w:line="62" w:lineRule="exact"/>
        <w:rPr>
          <w:sz w:val="20"/>
          <w:szCs w:val="20"/>
          <w:color w:val="auto"/>
        </w:rPr>
      </w:pPr>
    </w:p>
    <w:p>
      <w:pPr>
        <w:jc w:val="both"/>
        <w:ind w:left="660" w:hanging="328"/>
        <w:spacing w:after="0" w:line="264" w:lineRule="auto"/>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interest sensitive liabilities do not include $38.4 billion of insurance contracts, which are accounted for on a book value basis. Management believes that the changes in the economic value of those contracts under changing interest rates would offset a significant portion of the fair value changes of interest sensitive assets;</w:t>
      </w:r>
    </w:p>
    <w:p>
      <w:pPr>
        <w:spacing w:after="0" w:line="73" w:lineRule="exact"/>
        <w:rPr>
          <w:rFonts w:ascii="Arial" w:cs="Arial" w:eastAsia="Arial" w:hAnsi="Arial"/>
          <w:sz w:val="18"/>
          <w:szCs w:val="18"/>
          <w:b w:val="1"/>
          <w:bCs w:val="1"/>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market risk information is limited by the assumptions and parameters established in creating the related sensitivity analysis, including the impact of prepayment rates on mortgage loans;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foreign currency exchange rate risk is not isolated for certain embedded derivatives within host asset and liability contracts, as the risk on these instruments is reflected as equity;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for derivatives that qualify for hedge accounting, the impact on reported earnings may be materially different from the change in market values;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analysis excludes limited partnership interests;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model assumes that the composition of assets and liabilities remains unchanged throughout the period.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Accordingly, we use such models as tools and not as substitutes for the experience and judgment of our management.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2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table below illustrates the potential loss in estimated fair value of our interest sensitive financial instruments due to a 10% increase in the yield curve by type of asset and liability as of:</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1"/>
              </w:rPr>
              <w:t>December 31, 2017</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3"/>
                <w:szCs w:val="13"/>
                <w:color w:val="auto"/>
              </w:rPr>
            </w:pPr>
          </w:p>
        </w:tc>
        <w:tc>
          <w:tcPr>
            <w:tcW w:w="1260" w:type="dxa"/>
            <w:vAlign w:val="bottom"/>
          </w:tcPr>
          <w:p>
            <w:pPr>
              <w:jc w:val="center"/>
              <w:ind w:right="121"/>
              <w:spacing w:after="0" w:line="153" w:lineRule="exact"/>
              <w:rPr>
                <w:sz w:val="20"/>
                <w:szCs w:val="20"/>
                <w:color w:val="auto"/>
              </w:rPr>
            </w:pPr>
            <w:r>
              <w:rPr>
                <w:rFonts w:ascii="Arial" w:cs="Arial" w:eastAsia="Arial" w:hAnsi="Arial"/>
                <w:sz w:val="14"/>
                <w:szCs w:val="14"/>
                <w:b w:val="1"/>
                <w:bCs w:val="1"/>
                <w:color w:val="auto"/>
                <w:w w:val="88"/>
              </w:rPr>
              <w:t>Assuming a</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vMerge w:val="restart"/>
          </w:tcPr>
          <w:p>
            <w:pPr>
              <w:jc w:val="right"/>
              <w:ind w:right="423"/>
              <w:spacing w:after="0"/>
              <w:rPr>
                <w:sz w:val="20"/>
                <w:szCs w:val="20"/>
                <w:color w:val="auto"/>
              </w:rPr>
            </w:pPr>
            <w:r>
              <w:rPr>
                <w:rFonts w:ascii="Arial" w:cs="Arial" w:eastAsia="Arial" w:hAnsi="Arial"/>
                <w:sz w:val="14"/>
                <w:szCs w:val="14"/>
                <w:b w:val="1"/>
                <w:bCs w:val="1"/>
                <w:color w:val="auto"/>
              </w:rPr>
              <w:t>Notional</w:t>
            </w:r>
          </w:p>
        </w:tc>
        <w:tc>
          <w:tcPr>
            <w:tcW w:w="2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4"/>
              </w:rPr>
              <w:t>10% Increase</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2"/>
                <w:szCs w:val="12"/>
                <w:color w:val="auto"/>
              </w:rPr>
            </w:pPr>
          </w:p>
        </w:tc>
        <w:tc>
          <w:tcPr>
            <w:tcW w:w="126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3"/>
              </w:rPr>
              <w:t>in the Yield</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2"/>
              </w:rPr>
              <w:t>Value (1)</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5"/>
              </w:rPr>
              <w:t>Curve</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center"/>
              <w:ind w:right="182"/>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Financial assets with interest rate risk</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Fixed maturity securities</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42"/>
              <w:spacing w:after="0"/>
              <w:rPr>
                <w:sz w:val="20"/>
                <w:szCs w:val="20"/>
                <w:color w:val="auto"/>
              </w:rPr>
            </w:pPr>
            <w:r>
              <w:rPr>
                <w:rFonts w:ascii="Arial" w:cs="Arial" w:eastAsia="Arial" w:hAnsi="Arial"/>
                <w:sz w:val="16"/>
                <w:szCs w:val="16"/>
                <w:color w:val="auto"/>
              </w:rPr>
              <w:t>63,333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(1,372)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Mortgage loans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10,768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Policy loans</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42"/>
              <w:spacing w:after="0"/>
              <w:rPr>
                <w:sz w:val="20"/>
                <w:szCs w:val="20"/>
                <w:color w:val="auto"/>
              </w:rPr>
            </w:pPr>
            <w:r>
              <w:rPr>
                <w:rFonts w:ascii="Arial" w:cs="Arial" w:eastAsia="Arial" w:hAnsi="Arial"/>
                <w:sz w:val="16"/>
                <w:szCs w:val="16"/>
                <w:color w:val="auto"/>
              </w:rPr>
              <w:t>1,185</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Premiums, reinsurance and other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1,909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Embedded derivatives within asset host contracts (2)</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42"/>
              <w:spacing w:after="0"/>
              <w:rPr>
                <w:sz w:val="20"/>
                <w:szCs w:val="20"/>
                <w:color w:val="auto"/>
              </w:rPr>
            </w:pPr>
            <w:r>
              <w:rPr>
                <w:rFonts w:ascii="Arial" w:cs="Arial" w:eastAsia="Arial" w:hAnsi="Arial"/>
                <w:sz w:val="16"/>
                <w:szCs w:val="16"/>
                <w:color w:val="auto"/>
              </w:rPr>
              <w:t>227</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b w:val="1"/>
                <w:bCs w:val="1"/>
                <w:color w:val="auto"/>
              </w:rPr>
              <w:t>Increase (decrease) in fair value of assets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0" w:type="dxa"/>
            <w:vAlign w:val="bottom"/>
          </w:tcPr>
          <w:p>
            <w:pPr>
              <w:spacing w:after="0"/>
              <w:rPr>
                <w:sz w:val="1"/>
                <w:szCs w:val="1"/>
                <w:color w:val="auto"/>
              </w:rPr>
            </w:pPr>
          </w:p>
        </w:tc>
      </w:tr>
      <w:tr>
        <w:trPr>
          <w:trHeight w:val="277"/>
        </w:trPr>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Financial liabilities with interest rate risk (3)</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Policyholder account balances</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42"/>
              <w:spacing w:after="0"/>
              <w:rPr>
                <w:sz w:val="20"/>
                <w:szCs w:val="20"/>
                <w:color w:val="auto"/>
              </w:rPr>
            </w:pPr>
            <w:r>
              <w:rPr>
                <w:rFonts w:ascii="Arial" w:cs="Arial" w:eastAsia="Arial" w:hAnsi="Arial"/>
                <w:sz w:val="16"/>
                <w:szCs w:val="16"/>
                <w:color w:val="auto"/>
              </w:rPr>
              <w:t>15,760</w:t>
            </w:r>
          </w:p>
        </w:tc>
        <w:tc>
          <w:tcPr>
            <w:tcW w:w="2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42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Other liabilities</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42"/>
              <w:spacing w:after="0"/>
              <w:rPr>
                <w:sz w:val="20"/>
                <w:szCs w:val="20"/>
                <w:color w:val="auto"/>
              </w:rPr>
            </w:pPr>
            <w:r>
              <w:rPr>
                <w:rFonts w:ascii="Arial" w:cs="Arial" w:eastAsia="Arial" w:hAnsi="Arial"/>
                <w:sz w:val="16"/>
                <w:szCs w:val="16"/>
                <w:color w:val="auto"/>
              </w:rPr>
              <w:t>461</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Embedded derivatives within liability host contracts (2)</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2,234</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17"/>
        </w:trPr>
        <w:tc>
          <w:tcPr>
            <w:tcW w:w="6740" w:type="dxa"/>
            <w:vAlign w:val="bottom"/>
          </w:tcPr>
          <w:p>
            <w:pPr>
              <w:ind w:left="300"/>
              <w:spacing w:after="0"/>
              <w:rPr>
                <w:sz w:val="20"/>
                <w:szCs w:val="20"/>
                <w:color w:val="auto"/>
              </w:rPr>
            </w:pPr>
            <w:r>
              <w:rPr>
                <w:rFonts w:ascii="Arial" w:cs="Arial" w:eastAsia="Arial" w:hAnsi="Arial"/>
                <w:sz w:val="16"/>
                <w:szCs w:val="16"/>
                <w:b w:val="1"/>
                <w:bCs w:val="1"/>
                <w:color w:val="auto"/>
              </w:rPr>
              <w:t>(Increase) decrease in fair value of liabilities</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Derivative instruments with interest rate risk</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rate contracts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47,968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275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Foreign currency contracts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63"/>
              <w:spacing w:after="0"/>
              <w:rPr>
                <w:sz w:val="20"/>
                <w:szCs w:val="20"/>
                <w:color w:val="auto"/>
              </w:rPr>
            </w:pPr>
            <w:r>
              <w:rPr>
                <w:rFonts w:ascii="Arial" w:cs="Arial" w:eastAsia="Arial" w:hAnsi="Arial"/>
                <w:sz w:val="16"/>
                <w:szCs w:val="16"/>
                <w:color w:val="auto"/>
              </w:rPr>
              <w:t>2,995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42"/>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Equity contracts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60,544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(1,236)</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7"/>
        </w:trPr>
        <w:tc>
          <w:tcPr>
            <w:tcW w:w="6740" w:type="dxa"/>
            <w:vAlign w:val="bottom"/>
          </w:tcPr>
          <w:p>
            <w:pPr>
              <w:ind w:left="300"/>
              <w:spacing w:after="0"/>
              <w:rPr>
                <w:sz w:val="20"/>
                <w:szCs w:val="20"/>
                <w:color w:val="auto"/>
              </w:rPr>
            </w:pPr>
            <w:r>
              <w:rPr>
                <w:rFonts w:ascii="Arial" w:cs="Arial" w:eastAsia="Arial" w:hAnsi="Arial"/>
                <w:sz w:val="16"/>
                <w:szCs w:val="16"/>
                <w:b w:val="1"/>
                <w:bCs w:val="1"/>
                <w:color w:val="auto"/>
              </w:rPr>
              <w:t>Increase (decrease) in fair value of derivative instruments</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change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141"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Separate account assets and liabilities, which are interest rate sensitive, are not included herein as any interest rate risk is borne by the contract holder.</w:t>
      </w:r>
    </w:p>
    <w:p>
      <w:pPr>
        <w:spacing w:after="0" w:line="140" w:lineRule="exact"/>
        <w:rPr>
          <w:rFonts w:ascii="Arial" w:cs="Arial" w:eastAsia="Arial" w:hAnsi="Arial"/>
          <w:sz w:val="16"/>
          <w:szCs w:val="16"/>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Embedded derivatives are recognized in the consolidated balance sheet in the same caption as the host contract.</w:t>
      </w:r>
    </w:p>
    <w:p>
      <w:pPr>
        <w:spacing w:after="0" w:line="117" w:lineRule="exact"/>
        <w:rPr>
          <w:rFonts w:ascii="Arial" w:cs="Arial" w:eastAsia="Arial" w:hAnsi="Arial"/>
          <w:sz w:val="18"/>
          <w:szCs w:val="18"/>
          <w:color w:val="auto"/>
        </w:rPr>
      </w:pPr>
    </w:p>
    <w:p>
      <w:pPr>
        <w:jc w:val="both"/>
        <w:ind w:left="500" w:right="20" w:hanging="492"/>
        <w:spacing w:after="0" w:line="264"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Excludes $38.4 billion of liabilities, at carrying value, pursuant to insurance contracts reported within future policy benefits and other policy-related balances. Management believes that the changes in the economic value of those contracts under changing interest rates would offset a significant portion of the fair value changes of interest sensitive assets.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Summary</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following paragraphs, the sensitivities to market risks presented as of December 31, 2017 have been recast to reflect the Contribution Transactions as described in Note 3 of the Notes to the Consolidated Financial Statements.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Sensitivity to rising interest rates decreased by $286 million, or 16%, to $1.6 billion as of December 31, 2017 from $1.8 billion as of December 31,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change was primarily driven by lower sensitivity of derivatives used by the Company as hedges against changes in interest rates.</w:t>
      </w:r>
    </w:p>
    <w:p>
      <w:pPr>
        <w:spacing w:after="0" w:line="10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Sensitivity to a 10% rise in equity prices decreased by $515 million, or 94%, to $35 million as of December 31, 2017 from $550 million at December 31, 2016. This change was primarily driven by lower sensitivity of derivatives used by the Company as hedges against changes in equity prices.</w:t>
      </w:r>
    </w:p>
    <w:p>
      <w:pPr>
        <w:spacing w:after="0" w:line="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Sensitivity to a 10% decrease in the U.S. dollar compared to all foreign currencies decreased by $27 million, or 32%, to $57 million as of December 31, 2017 from $84 million at December 31, 2016. This decrease was primarily driven by an increase in the sensitivity of foreign currency sensitive assets that was more closely offset by an increase in the sensitivity of our derivative hedges.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2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Index to Consolidated Financial Statements, Notes and Schedules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80" w:type="dxa"/>
            <w:vAlign w:val="bottom"/>
            <w:gridSpan w:val="7"/>
          </w:tcPr>
          <w:p>
            <w:pPr>
              <w:ind w:left="5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4220" w:type="dxa"/>
            <w:vAlign w:val="bottom"/>
            <w:gridSpan w:val="18"/>
            <w:vMerge w:val="restart"/>
          </w:tcPr>
          <w:p>
            <w:pPr>
              <w:spacing w:after="0"/>
              <w:rPr>
                <w:rFonts w:ascii="Arial" w:cs="Arial" w:eastAsia="Arial" w:hAnsi="Arial"/>
                <w:sz w:val="18"/>
                <w:szCs w:val="18"/>
                <w:color w:val="0000EE"/>
                <w:w w:val="91"/>
              </w:rPr>
            </w:pPr>
            <w:hyperlink w:anchor="page78">
              <w:r>
                <w:rPr>
                  <w:rFonts w:ascii="Arial" w:cs="Arial" w:eastAsia="Arial" w:hAnsi="Arial"/>
                  <w:sz w:val="18"/>
                  <w:szCs w:val="18"/>
                  <w:color w:val="0000EE"/>
                  <w:w w:val="91"/>
                </w:rPr>
                <w:t>Report of Independent Registered Public Accounting Firm</w:t>
              </w:r>
            </w:hyperlink>
          </w:p>
        </w:tc>
        <w:tc>
          <w:tcPr>
            <w:tcW w:w="5680" w:type="dxa"/>
            <w:vAlign w:val="bottom"/>
            <w:gridSpan w:val="8"/>
            <w:vMerge w:val="restart"/>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220" w:type="dxa"/>
            <w:vAlign w:val="bottom"/>
            <w:tcBorders>
              <w:bottom w:val="single" w:sz="8" w:color="0000EE"/>
            </w:tcBorders>
            <w:gridSpan w:val="18"/>
            <w:vMerge w:val="continue"/>
          </w:tcPr>
          <w:p>
            <w:pPr>
              <w:spacing w:after="0"/>
              <w:rPr>
                <w:sz w:val="17"/>
                <w:szCs w:val="17"/>
                <w:color w:val="auto"/>
              </w:rPr>
            </w:pPr>
          </w:p>
        </w:tc>
        <w:tc>
          <w:tcPr>
            <w:tcW w:w="5680" w:type="dxa"/>
            <w:vAlign w:val="bottom"/>
            <w:gridSpan w:val="8"/>
            <w:vMerge w:val="continue"/>
          </w:tcPr>
          <w:p>
            <w:pPr>
              <w:spacing w:after="0"/>
              <w:rPr>
                <w:sz w:val="17"/>
                <w:szCs w:val="17"/>
                <w:color w:val="auto"/>
              </w:rPr>
            </w:pPr>
          </w:p>
        </w:tc>
        <w:tc>
          <w:tcPr>
            <w:tcW w:w="840" w:type="dxa"/>
            <w:vAlign w:val="bottom"/>
            <w:gridSpan w:val="4"/>
          </w:tcPr>
          <w:p>
            <w:pPr>
              <w:jc w:val="center"/>
              <w:ind w:left="571"/>
              <w:spacing w:after="0" w:line="170"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77</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9900" w:type="dxa"/>
            <w:vAlign w:val="bottom"/>
            <w:gridSpan w:val="26"/>
          </w:tcPr>
          <w:p>
            <w:pPr>
              <w:spacing w:after="0"/>
              <w:rPr>
                <w:sz w:val="20"/>
                <w:szCs w:val="20"/>
                <w:color w:val="auto"/>
              </w:rPr>
            </w:pPr>
            <w:r>
              <w:rPr>
                <w:rFonts w:ascii="Arial" w:cs="Arial" w:eastAsia="Arial" w:hAnsi="Arial"/>
                <w:sz w:val="18"/>
                <w:szCs w:val="18"/>
                <w:color w:val="auto"/>
              </w:rPr>
              <w:t>Financial Statements at December 31, 2017 and 2016 and for the Years Ended December 31, 2017, 2016 and 2015:</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9740" w:type="dxa"/>
            <w:vAlign w:val="bottom"/>
            <w:gridSpan w:val="25"/>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Consolidated Balance Sheets</w:t>
              </w:r>
            </w:hyperlink>
          </w:p>
        </w:tc>
        <w:tc>
          <w:tcPr>
            <w:tcW w:w="840" w:type="dxa"/>
            <w:vAlign w:val="bottom"/>
            <w:gridSpan w:val="4"/>
          </w:tcPr>
          <w:p>
            <w:pPr>
              <w:jc w:val="center"/>
              <w:ind w:left="571"/>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78</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2820" w:type="dxa"/>
            <w:vAlign w:val="bottom"/>
            <w:gridSpan w:val="12"/>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Consolidated Statements of Operations</w:t>
              </w:r>
            </w:hyperlink>
          </w:p>
        </w:tc>
        <w:tc>
          <w:tcPr>
            <w:tcW w:w="6920" w:type="dxa"/>
            <w:vAlign w:val="bottom"/>
            <w:gridSpan w:val="13"/>
          </w:tcPr>
          <w:p>
            <w:pPr>
              <w:spacing w:after="0"/>
              <w:rPr>
                <w:sz w:val="21"/>
                <w:szCs w:val="21"/>
                <w:color w:val="auto"/>
              </w:rPr>
            </w:pPr>
          </w:p>
        </w:tc>
        <w:tc>
          <w:tcPr>
            <w:tcW w:w="840" w:type="dxa"/>
            <w:vAlign w:val="bottom"/>
            <w:gridSpan w:val="4"/>
          </w:tcPr>
          <w:p>
            <w:pPr>
              <w:jc w:val="center"/>
              <w:ind w:left="571"/>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79</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9740" w:type="dxa"/>
            <w:vAlign w:val="bottom"/>
            <w:gridSpan w:val="25"/>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Consolidated Statements of Comprehensive Income (Loss)</w:t>
              </w:r>
            </w:hyperlink>
          </w:p>
        </w:tc>
        <w:tc>
          <w:tcPr>
            <w:tcW w:w="840" w:type="dxa"/>
            <w:vAlign w:val="bottom"/>
            <w:gridSpan w:val="4"/>
          </w:tcPr>
          <w:p>
            <w:pPr>
              <w:jc w:val="center"/>
              <w:ind w:left="571"/>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80</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3520" w:type="dxa"/>
            <w:vAlign w:val="bottom"/>
            <w:gridSpan w:val="16"/>
          </w:tcPr>
          <w:p>
            <w:pPr>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Consolidated Statements of Stockholder's Equity</w:t>
              </w:r>
            </w:hyperlink>
          </w:p>
        </w:tc>
        <w:tc>
          <w:tcPr>
            <w:tcW w:w="720" w:type="dxa"/>
            <w:vAlign w:val="bottom"/>
            <w:gridSpan w:val="3"/>
          </w:tcPr>
          <w:p>
            <w:pPr>
              <w:spacing w:after="0"/>
              <w:rPr>
                <w:sz w:val="21"/>
                <w:szCs w:val="21"/>
                <w:color w:val="auto"/>
              </w:rPr>
            </w:pPr>
          </w:p>
        </w:tc>
        <w:tc>
          <w:tcPr>
            <w:tcW w:w="5500" w:type="dxa"/>
            <w:vAlign w:val="bottom"/>
            <w:gridSpan w:val="6"/>
          </w:tcPr>
          <w:p>
            <w:pPr>
              <w:spacing w:after="0"/>
              <w:rPr>
                <w:sz w:val="21"/>
                <w:szCs w:val="21"/>
                <w:color w:val="auto"/>
              </w:rPr>
            </w:pPr>
          </w:p>
        </w:tc>
        <w:tc>
          <w:tcPr>
            <w:tcW w:w="840" w:type="dxa"/>
            <w:vAlign w:val="bottom"/>
            <w:gridSpan w:val="4"/>
          </w:tcPr>
          <w:p>
            <w:pPr>
              <w:jc w:val="center"/>
              <w:ind w:left="571"/>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81</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3520" w:type="dxa"/>
            <w:vAlign w:val="bottom"/>
            <w:gridSpan w:val="16"/>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Consolidated Statements of Cash Flows</w:t>
              </w:r>
            </w:hyperlink>
          </w:p>
        </w:tc>
        <w:tc>
          <w:tcPr>
            <w:tcW w:w="6220" w:type="dxa"/>
            <w:vAlign w:val="bottom"/>
            <w:gridSpan w:val="9"/>
          </w:tcPr>
          <w:p>
            <w:pPr>
              <w:spacing w:after="0"/>
              <w:rPr>
                <w:sz w:val="21"/>
                <w:szCs w:val="21"/>
                <w:color w:val="auto"/>
              </w:rPr>
            </w:pPr>
          </w:p>
        </w:tc>
        <w:tc>
          <w:tcPr>
            <w:tcW w:w="840" w:type="dxa"/>
            <w:vAlign w:val="bottom"/>
            <w:gridSpan w:val="4"/>
          </w:tcPr>
          <w:p>
            <w:pPr>
              <w:jc w:val="center"/>
              <w:ind w:left="571"/>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82</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900" w:type="dxa"/>
            <w:vAlign w:val="bottom"/>
            <w:gridSpan w:val="26"/>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Notes to the Consolidated Financial Statements</w:t>
              </w:r>
            </w:hyperlink>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9740" w:type="dxa"/>
            <w:vAlign w:val="bottom"/>
            <w:gridSpan w:val="25"/>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Note 1 — Business, Basis of Presentation and Summary of Significant Accounting Policies</w:t>
              </w:r>
            </w:hyperlink>
          </w:p>
        </w:tc>
        <w:tc>
          <w:tcPr>
            <w:tcW w:w="840" w:type="dxa"/>
            <w:vAlign w:val="bottom"/>
            <w:gridSpan w:val="4"/>
          </w:tcPr>
          <w:p>
            <w:pPr>
              <w:jc w:val="center"/>
              <w:ind w:left="571"/>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84</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6580" w:type="dxa"/>
            <w:vAlign w:val="bottom"/>
            <w:gridSpan w:val="22"/>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Note 2 — Segment Information</w:t>
              </w:r>
            </w:hyperlink>
          </w:p>
        </w:tc>
        <w:tc>
          <w:tcPr>
            <w:tcW w:w="3160" w:type="dxa"/>
            <w:vAlign w:val="bottom"/>
            <w:gridSpan w:val="3"/>
          </w:tcPr>
          <w:p>
            <w:pPr>
              <w:spacing w:after="0"/>
              <w:rPr>
                <w:sz w:val="21"/>
                <w:szCs w:val="21"/>
                <w:color w:val="auto"/>
              </w:rPr>
            </w:pPr>
          </w:p>
        </w:tc>
        <w:tc>
          <w:tcPr>
            <w:tcW w:w="840" w:type="dxa"/>
            <w:vAlign w:val="bottom"/>
            <w:gridSpan w:val="4"/>
          </w:tcPr>
          <w:p>
            <w:pPr>
              <w:jc w:val="center"/>
              <w:ind w:left="571"/>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96</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9740" w:type="dxa"/>
            <w:vAlign w:val="bottom"/>
            <w:gridSpan w:val="25"/>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Note 3 — Organizational Changes</w:t>
              </w:r>
            </w:hyperlink>
          </w:p>
        </w:tc>
        <w:tc>
          <w:tcPr>
            <w:tcW w:w="1480" w:type="dxa"/>
            <w:vAlign w:val="bottom"/>
            <w:gridSpan w:val="7"/>
          </w:tcPr>
          <w:p>
            <w:pPr>
              <w:jc w:val="center"/>
              <w:spacing w:after="0"/>
              <w:rPr>
                <w:rFonts w:ascii="Arial" w:cs="Arial" w:eastAsia="Arial" w:hAnsi="Arial"/>
                <w:sz w:val="18"/>
                <w:szCs w:val="18"/>
                <w:color w:val="0000EE"/>
                <w:w w:val="93"/>
              </w:rPr>
            </w:pPr>
            <w:hyperlink w:anchor="page101">
              <w:r>
                <w:rPr>
                  <w:rFonts w:ascii="Arial" w:cs="Arial" w:eastAsia="Arial" w:hAnsi="Arial"/>
                  <w:sz w:val="18"/>
                  <w:szCs w:val="18"/>
                  <w:color w:val="0000EE"/>
                  <w:w w:val="93"/>
                </w:rPr>
                <w:t>100</w:t>
              </w:r>
            </w:hyperlink>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4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101">
              <w:r>
                <w:rPr>
                  <w:rFonts w:ascii="Arial" w:cs="Arial" w:eastAsia="Arial" w:hAnsi="Arial"/>
                  <w:sz w:val="18"/>
                  <w:szCs w:val="18"/>
                  <w:color w:val="0000EE"/>
                  <w:w w:val="89"/>
                </w:rPr>
                <w:t>Note 4 — Insurance</w:t>
              </w:r>
            </w:hyperlink>
          </w:p>
        </w:tc>
        <w:tc>
          <w:tcPr>
            <w:tcW w:w="1020" w:type="dxa"/>
            <w:vAlign w:val="bottom"/>
            <w:tcBorders>
              <w:top w:val="single" w:sz="8" w:color="0000EE"/>
            </w:tcBorders>
            <w:gridSpan w:val="7"/>
          </w:tcPr>
          <w:p>
            <w:pPr>
              <w:spacing w:after="0"/>
              <w:rPr>
                <w:sz w:val="21"/>
                <w:szCs w:val="21"/>
                <w:color w:val="auto"/>
              </w:rPr>
            </w:pPr>
          </w:p>
        </w:tc>
        <w:tc>
          <w:tcPr>
            <w:tcW w:w="7260" w:type="dxa"/>
            <w:vAlign w:val="bottom"/>
            <w:gridSpan w:val="15"/>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Borders>
              <w:top w:val="single" w:sz="8" w:color="0000EE"/>
              <w:bottom w:val="single" w:sz="8" w:color="0000EE"/>
            </w:tcBorders>
            <w:gridSpan w:val="5"/>
          </w:tcPr>
          <w:p>
            <w:pPr>
              <w:jc w:val="center"/>
              <w:ind w:right="20"/>
              <w:spacing w:after="0"/>
              <w:rPr>
                <w:rFonts w:ascii="Arial" w:cs="Arial" w:eastAsia="Arial" w:hAnsi="Arial"/>
                <w:sz w:val="18"/>
                <w:szCs w:val="18"/>
                <w:color w:val="0000EE"/>
                <w:w w:val="93"/>
              </w:rPr>
            </w:pPr>
            <w:hyperlink w:anchor="page101">
              <w:r>
                <w:rPr>
                  <w:rFonts w:ascii="Arial" w:cs="Arial" w:eastAsia="Arial" w:hAnsi="Arial"/>
                  <w:sz w:val="18"/>
                  <w:szCs w:val="18"/>
                  <w:color w:val="0000EE"/>
                  <w:w w:val="93"/>
                </w:rPr>
                <w:t>100</w:t>
              </w:r>
            </w:hyperlink>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9740" w:type="dxa"/>
            <w:vAlign w:val="bottom"/>
            <w:gridSpan w:val="25"/>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Note 5 — Deferred Policy Acquisition Costs, Value of Business Acquired and Other Intangibles</w:t>
              </w:r>
            </w:hyperlink>
          </w:p>
        </w:tc>
        <w:tc>
          <w:tcPr>
            <w:tcW w:w="1480" w:type="dxa"/>
            <w:vAlign w:val="bottom"/>
            <w:gridSpan w:val="7"/>
          </w:tcPr>
          <w:p>
            <w:pPr>
              <w:jc w:val="center"/>
              <w:spacing w:after="0"/>
              <w:rPr>
                <w:rFonts w:ascii="Arial" w:cs="Arial" w:eastAsia="Arial" w:hAnsi="Arial"/>
                <w:sz w:val="18"/>
                <w:szCs w:val="18"/>
                <w:color w:val="0000EE"/>
                <w:w w:val="93"/>
              </w:rPr>
            </w:pPr>
            <w:hyperlink w:anchor="page106">
              <w:r>
                <w:rPr>
                  <w:rFonts w:ascii="Arial" w:cs="Arial" w:eastAsia="Arial" w:hAnsi="Arial"/>
                  <w:sz w:val="18"/>
                  <w:szCs w:val="18"/>
                  <w:color w:val="0000EE"/>
                  <w:w w:val="93"/>
                </w:rPr>
                <w:t>105</w:t>
              </w:r>
            </w:hyperlink>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6920" w:type="dxa"/>
            <w:vAlign w:val="bottom"/>
            <w:tcBorders>
              <w:top w:val="single" w:sz="8" w:color="0000EE"/>
            </w:tcBorders>
            <w:gridSpan w:val="23"/>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Note 6 — Reinsurance</w:t>
              </w:r>
            </w:hyperlink>
          </w:p>
        </w:tc>
        <w:tc>
          <w:tcPr>
            <w:tcW w:w="282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Borders>
              <w:top w:val="single" w:sz="8" w:color="0000EE"/>
            </w:tcBorders>
            <w:gridSpan w:val="5"/>
          </w:tcPr>
          <w:p>
            <w:pPr>
              <w:jc w:val="center"/>
              <w:ind w:right="20"/>
              <w:spacing w:after="0"/>
              <w:rPr>
                <w:rFonts w:ascii="Arial" w:cs="Arial" w:eastAsia="Arial" w:hAnsi="Arial"/>
                <w:sz w:val="18"/>
                <w:szCs w:val="18"/>
                <w:color w:val="0000EE"/>
                <w:w w:val="93"/>
              </w:rPr>
            </w:pPr>
            <w:hyperlink w:anchor="page109">
              <w:r>
                <w:rPr>
                  <w:rFonts w:ascii="Arial" w:cs="Arial" w:eastAsia="Arial" w:hAnsi="Arial"/>
                  <w:sz w:val="18"/>
                  <w:szCs w:val="18"/>
                  <w:color w:val="0000EE"/>
                  <w:w w:val="93"/>
                </w:rPr>
                <w:t>108</w:t>
              </w:r>
            </w:hyperlink>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640" w:type="dxa"/>
            <w:vAlign w:val="bottom"/>
            <w:tcBorders>
              <w:top w:val="single" w:sz="8" w:color="0000EE"/>
            </w:tcBorders>
            <w:gridSpan w:val="6"/>
          </w:tcPr>
          <w:p>
            <w:pPr>
              <w:spacing w:after="0"/>
              <w:rPr>
                <w:rFonts w:ascii="Arial" w:cs="Arial" w:eastAsia="Arial" w:hAnsi="Arial"/>
                <w:sz w:val="18"/>
                <w:szCs w:val="18"/>
                <w:color w:val="0000EE"/>
                <w:w w:val="90"/>
              </w:rPr>
            </w:pPr>
            <w:hyperlink w:anchor="page114">
              <w:r>
                <w:rPr>
                  <w:rFonts w:ascii="Arial" w:cs="Arial" w:eastAsia="Arial" w:hAnsi="Arial"/>
                  <w:sz w:val="18"/>
                  <w:szCs w:val="18"/>
                  <w:color w:val="0000EE"/>
                  <w:w w:val="90"/>
                </w:rPr>
                <w:t>Note 7 — Investments</w:t>
              </w:r>
            </w:hyperlink>
          </w:p>
        </w:tc>
        <w:tc>
          <w:tcPr>
            <w:tcW w:w="8100" w:type="dxa"/>
            <w:vAlign w:val="bottom"/>
            <w:gridSpan w:val="19"/>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Borders>
              <w:top w:val="single" w:sz="8" w:color="0000EE"/>
            </w:tcBorders>
            <w:gridSpan w:val="5"/>
          </w:tcPr>
          <w:p>
            <w:pPr>
              <w:jc w:val="center"/>
              <w:spacing w:after="0"/>
              <w:rPr>
                <w:rFonts w:ascii="Arial" w:cs="Arial" w:eastAsia="Arial" w:hAnsi="Arial"/>
                <w:sz w:val="18"/>
                <w:szCs w:val="18"/>
                <w:color w:val="0000EE"/>
                <w:w w:val="86"/>
              </w:rPr>
            </w:pPr>
            <w:hyperlink w:anchor="page114">
              <w:r>
                <w:rPr>
                  <w:rFonts w:ascii="Arial" w:cs="Arial" w:eastAsia="Arial" w:hAnsi="Arial"/>
                  <w:sz w:val="18"/>
                  <w:szCs w:val="18"/>
                  <w:color w:val="0000EE"/>
                  <w:w w:val="86"/>
                </w:rPr>
                <w:t>113</w:t>
              </w:r>
            </w:hyperlink>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20" w:type="dxa"/>
            <w:vAlign w:val="bottom"/>
            <w:gridSpan w:val="5"/>
          </w:tcPr>
          <w:p>
            <w:pPr>
              <w:spacing w:after="0"/>
              <w:rPr>
                <w:rFonts w:ascii="Arial" w:cs="Arial" w:eastAsia="Arial" w:hAnsi="Arial"/>
                <w:sz w:val="18"/>
                <w:szCs w:val="18"/>
                <w:color w:val="0000EE"/>
                <w:w w:val="92"/>
              </w:rPr>
            </w:pPr>
            <w:hyperlink w:anchor="page129">
              <w:r>
                <w:rPr>
                  <w:rFonts w:ascii="Arial" w:cs="Arial" w:eastAsia="Arial" w:hAnsi="Arial"/>
                  <w:sz w:val="18"/>
                  <w:szCs w:val="18"/>
                  <w:color w:val="0000EE"/>
                  <w:w w:val="92"/>
                </w:rPr>
                <w:t>Note 8 — Derivatives</w:t>
              </w:r>
            </w:hyperlink>
          </w:p>
        </w:tc>
        <w:tc>
          <w:tcPr>
            <w:tcW w:w="8120" w:type="dxa"/>
            <w:vAlign w:val="bottom"/>
            <w:gridSpan w:val="20"/>
          </w:tcPr>
          <w:p>
            <w:pPr>
              <w:spacing w:after="0"/>
              <w:rPr>
                <w:sz w:val="21"/>
                <w:szCs w:val="21"/>
                <w:color w:val="auto"/>
              </w:rPr>
            </w:pPr>
          </w:p>
        </w:tc>
        <w:tc>
          <w:tcPr>
            <w:tcW w:w="1480" w:type="dxa"/>
            <w:vAlign w:val="bottom"/>
            <w:gridSpan w:val="7"/>
          </w:tcPr>
          <w:p>
            <w:pPr>
              <w:jc w:val="center"/>
              <w:spacing w:after="0"/>
              <w:rPr>
                <w:rFonts w:ascii="Arial" w:cs="Arial" w:eastAsia="Arial" w:hAnsi="Arial"/>
                <w:sz w:val="18"/>
                <w:szCs w:val="18"/>
                <w:color w:val="0000EE"/>
                <w:w w:val="93"/>
              </w:rPr>
            </w:pPr>
            <w:hyperlink w:anchor="page129">
              <w:r>
                <w:rPr>
                  <w:rFonts w:ascii="Arial" w:cs="Arial" w:eastAsia="Arial" w:hAnsi="Arial"/>
                  <w:sz w:val="18"/>
                  <w:szCs w:val="18"/>
                  <w:color w:val="0000EE"/>
                  <w:w w:val="93"/>
                </w:rPr>
                <w:t>128</w:t>
              </w:r>
            </w:hyperlink>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5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139">
              <w:r>
                <w:rPr>
                  <w:rFonts w:ascii="Arial" w:cs="Arial" w:eastAsia="Arial" w:hAnsi="Arial"/>
                  <w:sz w:val="18"/>
                  <w:szCs w:val="18"/>
                  <w:color w:val="0000EE"/>
                  <w:w w:val="90"/>
                </w:rPr>
                <w:t>Note 9 — Fair Value</w:t>
              </w:r>
            </w:hyperlink>
          </w:p>
        </w:tc>
        <w:tc>
          <w:tcPr>
            <w:tcW w:w="120" w:type="dxa"/>
            <w:vAlign w:val="bottom"/>
            <w:tcBorders>
              <w:top w:val="single" w:sz="8" w:color="0000EE"/>
            </w:tcBorders>
          </w:tcPr>
          <w:p>
            <w:pPr>
              <w:spacing w:after="0"/>
              <w:rPr>
                <w:sz w:val="21"/>
                <w:szCs w:val="21"/>
                <w:color w:val="auto"/>
              </w:rPr>
            </w:pPr>
          </w:p>
        </w:tc>
        <w:tc>
          <w:tcPr>
            <w:tcW w:w="8120" w:type="dxa"/>
            <w:vAlign w:val="bottom"/>
            <w:gridSpan w:val="20"/>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Borders>
              <w:top w:val="single" w:sz="8" w:color="0000EE"/>
              <w:bottom w:val="single" w:sz="8" w:color="0000EE"/>
            </w:tcBorders>
            <w:gridSpan w:val="5"/>
          </w:tcPr>
          <w:p>
            <w:pPr>
              <w:jc w:val="center"/>
              <w:ind w:right="20"/>
              <w:spacing w:after="0"/>
              <w:rPr>
                <w:rFonts w:ascii="Arial" w:cs="Arial" w:eastAsia="Arial" w:hAnsi="Arial"/>
                <w:sz w:val="18"/>
                <w:szCs w:val="18"/>
                <w:color w:val="0000EE"/>
                <w:w w:val="93"/>
              </w:rPr>
            </w:pPr>
            <w:hyperlink w:anchor="page139">
              <w:r>
                <w:rPr>
                  <w:rFonts w:ascii="Arial" w:cs="Arial" w:eastAsia="Arial" w:hAnsi="Arial"/>
                  <w:sz w:val="18"/>
                  <w:szCs w:val="18"/>
                  <w:color w:val="0000EE"/>
                  <w:w w:val="93"/>
                </w:rPr>
                <w:t>138</w:t>
              </w:r>
            </w:hyperlink>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9740" w:type="dxa"/>
            <w:vAlign w:val="bottom"/>
            <w:gridSpan w:val="25"/>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Note 10— Debt</w:t>
              </w:r>
            </w:hyperlink>
          </w:p>
        </w:tc>
        <w:tc>
          <w:tcPr>
            <w:tcW w:w="1480" w:type="dxa"/>
            <w:vAlign w:val="bottom"/>
            <w:gridSpan w:val="7"/>
          </w:tcPr>
          <w:p>
            <w:pPr>
              <w:jc w:val="center"/>
              <w:spacing w:after="0"/>
              <w:rPr>
                <w:rFonts w:ascii="Arial" w:cs="Arial" w:eastAsia="Arial" w:hAnsi="Arial"/>
                <w:sz w:val="18"/>
                <w:szCs w:val="18"/>
                <w:color w:val="0000EE"/>
                <w:w w:val="93"/>
              </w:rPr>
            </w:pPr>
            <w:hyperlink w:anchor="page153">
              <w:r>
                <w:rPr>
                  <w:rFonts w:ascii="Arial" w:cs="Arial" w:eastAsia="Arial" w:hAnsi="Arial"/>
                  <w:sz w:val="18"/>
                  <w:szCs w:val="18"/>
                  <w:color w:val="0000EE"/>
                  <w:w w:val="93"/>
                </w:rPr>
                <w:t>152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28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154">
              <w:r>
                <w:rPr>
                  <w:rFonts w:ascii="Arial" w:cs="Arial" w:eastAsia="Arial" w:hAnsi="Arial"/>
                  <w:sz w:val="18"/>
                  <w:szCs w:val="18"/>
                  <w:color w:val="0000EE"/>
                  <w:w w:val="92"/>
                </w:rPr>
                <w:t>Note 11— Equity</w:t>
              </w:r>
            </w:hyperlink>
          </w:p>
        </w:tc>
        <w:tc>
          <w:tcPr>
            <w:tcW w:w="8460" w:type="dxa"/>
            <w:vAlign w:val="bottom"/>
            <w:gridSpan w:val="23"/>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Borders>
              <w:bottom w:val="single" w:sz="8" w:color="0000EE"/>
            </w:tcBorders>
            <w:gridSpan w:val="5"/>
          </w:tcPr>
          <w:p>
            <w:pPr>
              <w:jc w:val="center"/>
              <w:ind w:right="20"/>
              <w:spacing w:after="0"/>
              <w:rPr>
                <w:rFonts w:ascii="Arial" w:cs="Arial" w:eastAsia="Arial" w:hAnsi="Arial"/>
                <w:sz w:val="18"/>
                <w:szCs w:val="18"/>
                <w:color w:val="0000EE"/>
                <w:w w:val="93"/>
              </w:rPr>
            </w:pPr>
            <w:hyperlink w:anchor="page154">
              <w:r>
                <w:rPr>
                  <w:rFonts w:ascii="Arial" w:cs="Arial" w:eastAsia="Arial" w:hAnsi="Arial"/>
                  <w:sz w:val="18"/>
                  <w:szCs w:val="18"/>
                  <w:color w:val="0000EE"/>
                  <w:w w:val="93"/>
                </w:rPr>
                <w:t>153</w:t>
              </w:r>
            </w:hyperlink>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9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59">
              <w:r>
                <w:rPr>
                  <w:rFonts w:ascii="Arial" w:cs="Arial" w:eastAsia="Arial" w:hAnsi="Arial"/>
                  <w:sz w:val="18"/>
                  <w:szCs w:val="18"/>
                  <w:color w:val="0000EE"/>
                  <w:w w:val="89"/>
                </w:rPr>
                <w:t>Note 12— Other Expenses</w:t>
              </w:r>
            </w:hyperlink>
          </w:p>
        </w:tc>
        <w:tc>
          <w:tcPr>
            <w:tcW w:w="7800" w:type="dxa"/>
            <w:vAlign w:val="bottom"/>
            <w:gridSpan w:val="18"/>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Borders>
              <w:bottom w:val="single" w:sz="8" w:color="0000EE"/>
            </w:tcBorders>
            <w:gridSpan w:val="5"/>
          </w:tcPr>
          <w:p>
            <w:pPr>
              <w:jc w:val="center"/>
              <w:ind w:right="20"/>
              <w:spacing w:after="0"/>
              <w:rPr>
                <w:rFonts w:ascii="Arial" w:cs="Arial" w:eastAsia="Arial" w:hAnsi="Arial"/>
                <w:sz w:val="18"/>
                <w:szCs w:val="18"/>
                <w:color w:val="0000EE"/>
                <w:w w:val="93"/>
              </w:rPr>
            </w:pPr>
            <w:hyperlink w:anchor="page159">
              <w:r>
                <w:rPr>
                  <w:rFonts w:ascii="Arial" w:cs="Arial" w:eastAsia="Arial" w:hAnsi="Arial"/>
                  <w:sz w:val="18"/>
                  <w:szCs w:val="18"/>
                  <w:color w:val="0000EE"/>
                  <w:w w:val="93"/>
                </w:rPr>
                <w:t>158</w:t>
              </w:r>
            </w:hyperlink>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9740" w:type="dxa"/>
            <w:vAlign w:val="bottom"/>
            <w:gridSpan w:val="25"/>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Note 13— Income Tax</w:t>
              </w:r>
            </w:hyperlink>
          </w:p>
        </w:tc>
        <w:tc>
          <w:tcPr>
            <w:tcW w:w="1480" w:type="dxa"/>
            <w:vAlign w:val="bottom"/>
            <w:gridSpan w:val="7"/>
          </w:tcPr>
          <w:p>
            <w:pPr>
              <w:jc w:val="center"/>
              <w:spacing w:after="0"/>
              <w:rPr>
                <w:rFonts w:ascii="Arial" w:cs="Arial" w:eastAsia="Arial" w:hAnsi="Arial"/>
                <w:sz w:val="18"/>
                <w:szCs w:val="18"/>
                <w:color w:val="0000EE"/>
                <w:w w:val="93"/>
              </w:rPr>
            </w:pPr>
            <w:hyperlink w:anchor="page159">
              <w:r>
                <w:rPr>
                  <w:rFonts w:ascii="Arial" w:cs="Arial" w:eastAsia="Arial" w:hAnsi="Arial"/>
                  <w:sz w:val="18"/>
                  <w:szCs w:val="18"/>
                  <w:color w:val="0000EE"/>
                  <w:w w:val="93"/>
                </w:rPr>
                <w:t>158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1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163">
              <w:r>
                <w:rPr>
                  <w:rFonts w:ascii="Arial" w:cs="Arial" w:eastAsia="Arial" w:hAnsi="Arial"/>
                  <w:sz w:val="18"/>
                  <w:szCs w:val="18"/>
                  <w:color w:val="0000EE"/>
                  <w:w w:val="89"/>
                </w:rPr>
                <w:t>Note 14— Contingencies, Commitments and Guarantees</w:t>
              </w:r>
            </w:hyperlink>
          </w:p>
        </w:tc>
        <w:tc>
          <w:tcPr>
            <w:tcW w:w="5640" w:type="dxa"/>
            <w:vAlign w:val="bottom"/>
            <w:gridSpan w:val="7"/>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Borders>
              <w:bottom w:val="single" w:sz="8" w:color="0000EE"/>
            </w:tcBorders>
            <w:gridSpan w:val="5"/>
          </w:tcPr>
          <w:p>
            <w:pPr>
              <w:jc w:val="center"/>
              <w:ind w:right="20"/>
              <w:spacing w:after="0"/>
              <w:rPr>
                <w:rFonts w:ascii="Arial" w:cs="Arial" w:eastAsia="Arial" w:hAnsi="Arial"/>
                <w:sz w:val="18"/>
                <w:szCs w:val="18"/>
                <w:color w:val="0000EE"/>
                <w:w w:val="93"/>
              </w:rPr>
            </w:pPr>
            <w:hyperlink w:anchor="page163">
              <w:r>
                <w:rPr>
                  <w:rFonts w:ascii="Arial" w:cs="Arial" w:eastAsia="Arial" w:hAnsi="Arial"/>
                  <w:sz w:val="18"/>
                  <w:szCs w:val="18"/>
                  <w:color w:val="0000EE"/>
                  <w:w w:val="93"/>
                </w:rPr>
                <w:t>162</w:t>
              </w:r>
            </w:hyperlink>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27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65">
              <w:r>
                <w:rPr>
                  <w:rFonts w:ascii="Arial" w:cs="Arial" w:eastAsia="Arial" w:hAnsi="Arial"/>
                  <w:sz w:val="18"/>
                  <w:szCs w:val="18"/>
                  <w:color w:val="0000EE"/>
                  <w:w w:val="89"/>
                </w:rPr>
                <w:t>Note 15— Related Party Transactions</w:t>
              </w:r>
            </w:hyperlink>
          </w:p>
        </w:tc>
        <w:tc>
          <w:tcPr>
            <w:tcW w:w="7000" w:type="dxa"/>
            <w:vAlign w:val="bottom"/>
            <w:gridSpan w:val="14"/>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Borders>
              <w:bottom w:val="single" w:sz="8" w:color="0000EE"/>
            </w:tcBorders>
            <w:gridSpan w:val="5"/>
          </w:tcPr>
          <w:p>
            <w:pPr>
              <w:jc w:val="center"/>
              <w:ind w:right="20"/>
              <w:spacing w:after="0"/>
              <w:rPr>
                <w:rFonts w:ascii="Arial" w:cs="Arial" w:eastAsia="Arial" w:hAnsi="Arial"/>
                <w:sz w:val="18"/>
                <w:szCs w:val="18"/>
                <w:color w:val="0000EE"/>
                <w:w w:val="93"/>
              </w:rPr>
            </w:pPr>
            <w:hyperlink w:anchor="page165">
              <w:r>
                <w:rPr>
                  <w:rFonts w:ascii="Arial" w:cs="Arial" w:eastAsia="Arial" w:hAnsi="Arial"/>
                  <w:sz w:val="18"/>
                  <w:szCs w:val="18"/>
                  <w:color w:val="0000EE"/>
                  <w:w w:val="93"/>
                </w:rPr>
                <w:t>164</w:t>
              </w:r>
            </w:hyperlink>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9900" w:type="dxa"/>
            <w:vAlign w:val="bottom"/>
            <w:gridSpan w:val="26"/>
          </w:tcPr>
          <w:p>
            <w:pPr>
              <w:spacing w:after="0"/>
              <w:rPr>
                <w:sz w:val="20"/>
                <w:szCs w:val="20"/>
                <w:color w:val="auto"/>
              </w:rPr>
            </w:pPr>
            <w:r>
              <w:rPr>
                <w:rFonts w:ascii="Arial" w:cs="Arial" w:eastAsia="Arial" w:hAnsi="Arial"/>
                <w:sz w:val="18"/>
                <w:szCs w:val="18"/>
                <w:color w:val="auto"/>
                <w:w w:val="97"/>
              </w:rPr>
              <w:t>Financial Statement Schedules at December 31, 2017 and 2016 and for the Years Ended December 31, 2017, 2016 and 2015:</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9740" w:type="dxa"/>
            <w:vAlign w:val="bottom"/>
            <w:gridSpan w:val="25"/>
          </w:tcPr>
          <w:p>
            <w:pPr>
              <w:spacing w:after="0"/>
              <w:rPr>
                <w:rFonts w:ascii="Arial" w:cs="Arial" w:eastAsia="Arial" w:hAnsi="Arial"/>
                <w:sz w:val="18"/>
                <w:szCs w:val="18"/>
                <w:color w:val="0000EE"/>
              </w:rPr>
            </w:pPr>
            <w:hyperlink w:anchor="page168">
              <w:r>
                <w:rPr>
                  <w:rFonts w:ascii="Arial" w:cs="Arial" w:eastAsia="Arial" w:hAnsi="Arial"/>
                  <w:sz w:val="18"/>
                  <w:szCs w:val="18"/>
                  <w:color w:val="0000EE"/>
                </w:rPr>
                <w:t>Schedule I — Consolidated Summary of Investments — Other Than Investments in Related Parties</w:t>
              </w:r>
            </w:hyperlink>
          </w:p>
        </w:tc>
        <w:tc>
          <w:tcPr>
            <w:tcW w:w="1480" w:type="dxa"/>
            <w:vAlign w:val="bottom"/>
            <w:gridSpan w:val="7"/>
          </w:tcPr>
          <w:p>
            <w:pPr>
              <w:jc w:val="center"/>
              <w:spacing w:after="0"/>
              <w:rPr>
                <w:rFonts w:ascii="Arial" w:cs="Arial" w:eastAsia="Arial" w:hAnsi="Arial"/>
                <w:sz w:val="18"/>
                <w:szCs w:val="18"/>
                <w:color w:val="0000EE"/>
                <w:w w:val="93"/>
              </w:rPr>
            </w:pPr>
            <w:hyperlink w:anchor="page168">
              <w:r>
                <w:rPr>
                  <w:rFonts w:ascii="Arial" w:cs="Arial" w:eastAsia="Arial" w:hAnsi="Arial"/>
                  <w:sz w:val="18"/>
                  <w:szCs w:val="18"/>
                  <w:color w:val="0000EE"/>
                  <w:w w:val="93"/>
                </w:rPr>
                <w:t>167</w:t>
              </w:r>
            </w:hyperlink>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7160" w:type="dxa"/>
            <w:vAlign w:val="bottom"/>
            <w:tcBorders>
              <w:top w:val="single" w:sz="8" w:color="0000EE"/>
            </w:tcBorders>
            <w:gridSpan w:val="24"/>
          </w:tcPr>
          <w:p>
            <w:pPr>
              <w:spacing w:after="0"/>
              <w:rPr>
                <w:rFonts w:ascii="Arial" w:cs="Arial" w:eastAsia="Arial" w:hAnsi="Arial"/>
                <w:sz w:val="18"/>
                <w:szCs w:val="18"/>
                <w:color w:val="0000EE"/>
              </w:rPr>
            </w:pPr>
            <w:hyperlink w:anchor="page169">
              <w:r>
                <w:rPr>
                  <w:rFonts w:ascii="Arial" w:cs="Arial" w:eastAsia="Arial" w:hAnsi="Arial"/>
                  <w:sz w:val="18"/>
                  <w:szCs w:val="18"/>
                  <w:color w:val="0000EE"/>
                </w:rPr>
                <w:t>Schedule II — Condensed Financial Information (Parent Company Only)</w:t>
              </w:r>
            </w:hyperlink>
          </w:p>
        </w:tc>
        <w:tc>
          <w:tcPr>
            <w:tcW w:w="2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Borders>
              <w:top w:val="single" w:sz="8" w:color="0000EE"/>
            </w:tcBorders>
            <w:gridSpan w:val="5"/>
          </w:tcPr>
          <w:p>
            <w:pPr>
              <w:jc w:val="center"/>
              <w:ind w:right="20"/>
              <w:spacing w:after="0"/>
              <w:rPr>
                <w:rFonts w:ascii="Arial" w:cs="Arial" w:eastAsia="Arial" w:hAnsi="Arial"/>
                <w:sz w:val="18"/>
                <w:szCs w:val="18"/>
                <w:color w:val="0000EE"/>
                <w:w w:val="93"/>
              </w:rPr>
            </w:pPr>
            <w:hyperlink w:anchor="page169">
              <w:r>
                <w:rPr>
                  <w:rFonts w:ascii="Arial" w:cs="Arial" w:eastAsia="Arial" w:hAnsi="Arial"/>
                  <w:sz w:val="18"/>
                  <w:szCs w:val="18"/>
                  <w:color w:val="0000EE"/>
                  <w:w w:val="93"/>
                </w:rPr>
                <w:t>168</w:t>
              </w:r>
            </w:hyperlink>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5280" w:type="dxa"/>
            <w:vAlign w:val="bottom"/>
            <w:tcBorders>
              <w:top w:val="single" w:sz="8" w:color="0000EE"/>
            </w:tcBorders>
            <w:gridSpan w:val="21"/>
          </w:tcPr>
          <w:p>
            <w:pPr>
              <w:spacing w:after="0"/>
              <w:rPr>
                <w:rFonts w:ascii="Arial" w:cs="Arial" w:eastAsia="Arial" w:hAnsi="Arial"/>
                <w:sz w:val="18"/>
                <w:szCs w:val="18"/>
                <w:color w:val="0000EE"/>
                <w:w w:val="98"/>
              </w:rPr>
            </w:pPr>
            <w:hyperlink w:anchor="page175">
              <w:r>
                <w:rPr>
                  <w:rFonts w:ascii="Arial" w:cs="Arial" w:eastAsia="Arial" w:hAnsi="Arial"/>
                  <w:sz w:val="18"/>
                  <w:szCs w:val="18"/>
                  <w:color w:val="0000EE"/>
                  <w:w w:val="98"/>
                </w:rPr>
                <w:t>Schedule III — Consolidated Supplementary Insurance Information</w:t>
              </w:r>
            </w:hyperlink>
          </w:p>
        </w:tc>
        <w:tc>
          <w:tcPr>
            <w:tcW w:w="4460" w:type="dxa"/>
            <w:vAlign w:val="bottom"/>
            <w:gridSpan w:val="4"/>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Borders>
              <w:top w:val="single" w:sz="8" w:color="0000EE"/>
            </w:tcBorders>
            <w:gridSpan w:val="5"/>
          </w:tcPr>
          <w:p>
            <w:pPr>
              <w:jc w:val="center"/>
              <w:ind w:right="20"/>
              <w:spacing w:after="0"/>
              <w:rPr>
                <w:rFonts w:ascii="Arial" w:cs="Arial" w:eastAsia="Arial" w:hAnsi="Arial"/>
                <w:sz w:val="18"/>
                <w:szCs w:val="18"/>
                <w:color w:val="0000EE"/>
                <w:w w:val="93"/>
              </w:rPr>
            </w:pPr>
            <w:hyperlink w:anchor="page175">
              <w:r>
                <w:rPr>
                  <w:rFonts w:ascii="Arial" w:cs="Arial" w:eastAsia="Arial" w:hAnsi="Arial"/>
                  <w:sz w:val="18"/>
                  <w:szCs w:val="18"/>
                  <w:color w:val="0000EE"/>
                  <w:w w:val="93"/>
                </w:rPr>
                <w:t>173</w:t>
              </w:r>
            </w:hyperlink>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4880" w:type="dxa"/>
            <w:vAlign w:val="bottom"/>
            <w:tcBorders>
              <w:top w:val="single" w:sz="8" w:color="0000EE"/>
            </w:tcBorders>
            <w:gridSpan w:val="20"/>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Schedule IV — Consolidated Reinsurance</w:t>
              </w:r>
            </w:hyperlink>
          </w:p>
        </w:tc>
        <w:tc>
          <w:tcPr>
            <w:tcW w:w="4860" w:type="dxa"/>
            <w:vAlign w:val="bottom"/>
            <w:gridSpan w:val="5"/>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Borders>
              <w:top w:val="single" w:sz="8" w:color="0000EE"/>
            </w:tcBorders>
            <w:gridSpan w:val="5"/>
          </w:tcPr>
          <w:p>
            <w:pPr>
              <w:jc w:val="center"/>
              <w:ind w:right="20"/>
              <w:spacing w:after="0"/>
              <w:rPr>
                <w:rFonts w:ascii="Arial" w:cs="Arial" w:eastAsia="Arial" w:hAnsi="Arial"/>
                <w:sz w:val="18"/>
                <w:szCs w:val="18"/>
                <w:color w:val="0000EE"/>
                <w:w w:val="93"/>
              </w:rPr>
            </w:pPr>
            <w:hyperlink w:anchor="page177">
              <w:r>
                <w:rPr>
                  <w:rFonts w:ascii="Arial" w:cs="Arial" w:eastAsia="Arial" w:hAnsi="Arial"/>
                  <w:sz w:val="18"/>
                  <w:szCs w:val="18"/>
                  <w:color w:val="0000EE"/>
                  <w:w w:val="93"/>
                </w:rPr>
                <w:t>175</w:t>
              </w:r>
            </w:hyperlink>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9"/>
        </w:trPr>
        <w:tc>
          <w:tcPr>
            <w:tcW w:w="160" w:type="dxa"/>
            <w:vAlign w:val="bottom"/>
          </w:tcPr>
          <w:p>
            <w:pPr>
              <w:spacing w:after="0"/>
              <w:rPr>
                <w:sz w:val="24"/>
                <w:szCs w:val="24"/>
                <w:color w:val="auto"/>
              </w:rPr>
            </w:pPr>
          </w:p>
        </w:tc>
        <w:tc>
          <w:tcPr>
            <w:tcW w:w="3040" w:type="dxa"/>
            <w:vAlign w:val="bottom"/>
            <w:tcBorders>
              <w:top w:val="single" w:sz="8" w:color="0000EE"/>
            </w:tcBorders>
            <w:gridSpan w:val="14"/>
          </w:tcPr>
          <w:p>
            <w:pPr>
              <w:spacing w:after="0"/>
              <w:rPr>
                <w:sz w:val="24"/>
                <w:szCs w:val="24"/>
                <w:color w:val="auto"/>
              </w:rPr>
            </w:pPr>
          </w:p>
        </w:tc>
        <w:tc>
          <w:tcPr>
            <w:tcW w:w="3540" w:type="dxa"/>
            <w:vAlign w:val="bottom"/>
            <w:gridSpan w:val="8"/>
          </w:tcPr>
          <w:p>
            <w:pPr>
              <w:jc w:val="right"/>
              <w:ind w:right="980"/>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Brighthouse Life Insurance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Brighthouse Life Insurance Company and subsidiaries (the “Company”) as of December 31, 2017 and 2016, and the related consolidated statements of operations, comprehensive income (loss), equity, and cash flows for each of the three years in the period ended December 31, 2017, and the related notes and the schedules listed in the Index to the Consolidated Financial Statements, Notes and Schedules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21, 2018</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2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December 31, 2017 and 2016</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77"/>
        </w:trPr>
        <w:tc>
          <w:tcPr>
            <w:tcW w:w="8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8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820" w:type="dxa"/>
            <w:vAlign w:val="bottom"/>
          </w:tcPr>
          <w:p>
            <w:pPr>
              <w:ind w:left="40"/>
              <w:spacing w:after="0"/>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Fixed maturity securities available-for-sale, at estimated fair value (amortized cost: $58,599 and $57,289, respectively,)</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63,333</w:t>
            </w:r>
          </w:p>
        </w:tc>
        <w:tc>
          <w:tcPr>
            <w:tcW w:w="12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59,899</w:t>
            </w:r>
          </w:p>
        </w:tc>
        <w:tc>
          <w:tcPr>
            <w:tcW w:w="0" w:type="dxa"/>
            <w:vAlign w:val="bottom"/>
          </w:tcPr>
          <w:p>
            <w:pPr>
              <w:spacing w:after="0"/>
              <w:rPr>
                <w:sz w:val="1"/>
                <w:szCs w:val="1"/>
                <w:color w:val="auto"/>
              </w:rPr>
            </w:pPr>
          </w:p>
        </w:tc>
      </w:tr>
      <w:tr>
        <w:trPr>
          <w:trHeight w:val="80"/>
        </w:trPr>
        <w:tc>
          <w:tcPr>
            <w:tcW w:w="882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820" w:type="dxa"/>
            <w:vAlign w:val="bottom"/>
          </w:tcPr>
          <w:p>
            <w:pPr>
              <w:ind w:left="40"/>
              <w:spacing w:after="0"/>
              <w:rPr>
                <w:sz w:val="20"/>
                <w:szCs w:val="20"/>
                <w:color w:val="auto"/>
              </w:rPr>
            </w:pPr>
            <w:r>
              <w:rPr>
                <w:rFonts w:ascii="Arial" w:cs="Arial" w:eastAsia="Arial" w:hAnsi="Arial"/>
                <w:sz w:val="14"/>
                <w:szCs w:val="14"/>
                <w:color w:val="auto"/>
              </w:rPr>
              <w:t>Equity securities available-for-sale, at estimated fair value (cost: $212 and $280, respectively)</w:t>
            </w: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74"/>
        </w:trPr>
        <w:tc>
          <w:tcPr>
            <w:tcW w:w="8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88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Mortgage loans (net of valuation allowances of $46 and $40, respectively; includes $115 and $136, respectively, at estimated fair value, relating to</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variable interest entities)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10,640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9,290</w:t>
            </w:r>
          </w:p>
        </w:tc>
        <w:tc>
          <w:tcPr>
            <w:tcW w:w="0" w:type="dxa"/>
            <w:vAlign w:val="bottom"/>
          </w:tcPr>
          <w:p>
            <w:pPr>
              <w:spacing w:after="0"/>
              <w:rPr>
                <w:sz w:val="1"/>
                <w:szCs w:val="1"/>
                <w:color w:val="auto"/>
              </w:rPr>
            </w:pPr>
          </w:p>
        </w:tc>
      </w:tr>
      <w:tr>
        <w:trPr>
          <w:trHeight w:val="191"/>
        </w:trPr>
        <w:tc>
          <w:tcPr>
            <w:tcW w:w="8820" w:type="dxa"/>
            <w:vAlign w:val="bottom"/>
          </w:tcPr>
          <w:p>
            <w:pPr>
              <w:ind w:left="40"/>
              <w:spacing w:after="0"/>
              <w:rPr>
                <w:sz w:val="20"/>
                <w:szCs w:val="20"/>
                <w:color w:val="auto"/>
              </w:rPr>
            </w:pPr>
            <w:r>
              <w:rPr>
                <w:rFonts w:ascii="Arial" w:cs="Arial" w:eastAsia="Arial" w:hAnsi="Arial"/>
                <w:sz w:val="14"/>
                <w:szCs w:val="14"/>
                <w:color w:val="auto"/>
              </w:rPr>
              <w:t>Policy loans</w:t>
            </w: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1,106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74"/>
        </w:trPr>
        <w:tc>
          <w:tcPr>
            <w:tcW w:w="8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Real estate joint ventures</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80"/>
        </w:trPr>
        <w:tc>
          <w:tcPr>
            <w:tcW w:w="88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820" w:type="dxa"/>
            <w:vAlign w:val="bottom"/>
          </w:tcPr>
          <w:p>
            <w:pPr>
              <w:ind w:left="40"/>
              <w:spacing w:after="0"/>
              <w:rPr>
                <w:sz w:val="20"/>
                <w:szCs w:val="20"/>
                <w:color w:val="auto"/>
              </w:rPr>
            </w:pPr>
            <w:r>
              <w:rPr>
                <w:rFonts w:ascii="Arial" w:cs="Arial" w:eastAsia="Arial" w:hAnsi="Arial"/>
                <w:sz w:val="14"/>
                <w:szCs w:val="14"/>
                <w:color w:val="auto"/>
              </w:rPr>
              <w:t>Other limited partnership interests</w:t>
            </w: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1,667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1,639</w:t>
            </w:r>
          </w:p>
        </w:tc>
        <w:tc>
          <w:tcPr>
            <w:tcW w:w="0" w:type="dxa"/>
            <w:vAlign w:val="bottom"/>
          </w:tcPr>
          <w:p>
            <w:pPr>
              <w:spacing w:after="0"/>
              <w:rPr>
                <w:sz w:val="1"/>
                <w:szCs w:val="1"/>
                <w:color w:val="auto"/>
              </w:rPr>
            </w:pPr>
          </w:p>
        </w:tc>
      </w:tr>
      <w:tr>
        <w:trPr>
          <w:trHeight w:val="74"/>
        </w:trPr>
        <w:tc>
          <w:tcPr>
            <w:tcW w:w="8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investments, principally at estimated fair value (includes $0 and $344, respectively, relating to variable interest entities)</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1,272</w:t>
            </w:r>
          </w:p>
        </w:tc>
        <w:tc>
          <w:tcPr>
            <w:tcW w:w="0" w:type="dxa"/>
            <w:vAlign w:val="bottom"/>
          </w:tcPr>
          <w:p>
            <w:pPr>
              <w:spacing w:after="0"/>
              <w:rPr>
                <w:sz w:val="1"/>
                <w:szCs w:val="1"/>
                <w:color w:val="auto"/>
              </w:rPr>
            </w:pPr>
          </w:p>
        </w:tc>
      </w:tr>
      <w:tr>
        <w:trPr>
          <w:trHeight w:val="80"/>
        </w:trPr>
        <w:tc>
          <w:tcPr>
            <w:tcW w:w="88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820" w:type="dxa"/>
            <w:vAlign w:val="bottom"/>
          </w:tcPr>
          <w:p>
            <w:pPr>
              <w:ind w:left="40"/>
              <w:spacing w:after="0"/>
              <w:rPr>
                <w:sz w:val="20"/>
                <w:szCs w:val="20"/>
                <w:color w:val="auto"/>
              </w:rPr>
            </w:pPr>
            <w:r>
              <w:rPr>
                <w:rFonts w:ascii="Arial" w:cs="Arial" w:eastAsia="Arial" w:hAnsi="Arial"/>
                <w:sz w:val="14"/>
                <w:szCs w:val="14"/>
                <w:color w:val="auto"/>
              </w:rPr>
              <w:t>Other invested assets, principally at estimated fair value</w:t>
            </w: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2,448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5,029</w:t>
            </w:r>
          </w:p>
        </w:tc>
        <w:tc>
          <w:tcPr>
            <w:tcW w:w="0" w:type="dxa"/>
            <w:vAlign w:val="bottom"/>
          </w:tcPr>
          <w:p>
            <w:pPr>
              <w:spacing w:after="0"/>
              <w:rPr>
                <w:sz w:val="1"/>
                <w:szCs w:val="1"/>
                <w:color w:val="auto"/>
              </w:rPr>
            </w:pPr>
          </w:p>
        </w:tc>
      </w:tr>
      <w:tr>
        <w:trPr>
          <w:trHeight w:val="74"/>
        </w:trPr>
        <w:tc>
          <w:tcPr>
            <w:tcW w:w="88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investments</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80,128</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78,737</w:t>
            </w:r>
          </w:p>
        </w:tc>
        <w:tc>
          <w:tcPr>
            <w:tcW w:w="0" w:type="dxa"/>
            <w:vAlign w:val="bottom"/>
          </w:tcPr>
          <w:p>
            <w:pPr>
              <w:spacing w:after="0"/>
              <w:rPr>
                <w:sz w:val="1"/>
                <w:szCs w:val="1"/>
                <w:color w:val="auto"/>
              </w:rPr>
            </w:pPr>
          </w:p>
        </w:tc>
      </w:tr>
      <w:tr>
        <w:trPr>
          <w:trHeight w:val="80"/>
        </w:trPr>
        <w:tc>
          <w:tcPr>
            <w:tcW w:w="88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820" w:type="dxa"/>
            <w:vAlign w:val="bottom"/>
          </w:tcPr>
          <w:p>
            <w:pPr>
              <w:ind w:left="40"/>
              <w:spacing w:after="0"/>
              <w:rPr>
                <w:sz w:val="20"/>
                <w:szCs w:val="20"/>
                <w:color w:val="auto"/>
              </w:rPr>
            </w:pPr>
            <w:r>
              <w:rPr>
                <w:rFonts w:ascii="Arial" w:cs="Arial" w:eastAsia="Arial" w:hAnsi="Arial"/>
                <w:sz w:val="14"/>
                <w:szCs w:val="14"/>
                <w:color w:val="auto"/>
              </w:rPr>
              <w:t>Cash and cash equivalents, principally at estimated fair value(includes $0 and $3,078, respectively, relating to variable interest entities)</w:t>
            </w: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1,363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5,057</w:t>
            </w:r>
          </w:p>
        </w:tc>
        <w:tc>
          <w:tcPr>
            <w:tcW w:w="0" w:type="dxa"/>
            <w:vAlign w:val="bottom"/>
          </w:tcPr>
          <w:p>
            <w:pPr>
              <w:spacing w:after="0"/>
              <w:rPr>
                <w:sz w:val="1"/>
                <w:szCs w:val="1"/>
                <w:color w:val="auto"/>
              </w:rPr>
            </w:pPr>
          </w:p>
        </w:tc>
      </w:tr>
      <w:tr>
        <w:trPr>
          <w:trHeight w:val="74"/>
        </w:trPr>
        <w:tc>
          <w:tcPr>
            <w:tcW w:w="8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investment income (includes $1 and $1, respectively, relating to variable interest entities)</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80"/>
        </w:trPr>
        <w:tc>
          <w:tcPr>
            <w:tcW w:w="88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820" w:type="dxa"/>
            <w:vAlign w:val="bottom"/>
          </w:tcPr>
          <w:p>
            <w:pPr>
              <w:ind w:left="40"/>
              <w:spacing w:after="0"/>
              <w:rPr>
                <w:sz w:val="20"/>
                <w:szCs w:val="20"/>
                <w:color w:val="auto"/>
              </w:rPr>
            </w:pPr>
            <w:r>
              <w:rPr>
                <w:rFonts w:ascii="Arial" w:cs="Arial" w:eastAsia="Arial" w:hAnsi="Arial"/>
                <w:sz w:val="14"/>
                <w:szCs w:val="14"/>
                <w:color w:val="auto"/>
              </w:rPr>
              <w:t>Premiums, reinsurance and other receivables</w:t>
            </w: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12,918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13,853</w:t>
            </w:r>
          </w:p>
        </w:tc>
        <w:tc>
          <w:tcPr>
            <w:tcW w:w="0" w:type="dxa"/>
            <w:vAlign w:val="bottom"/>
          </w:tcPr>
          <w:p>
            <w:pPr>
              <w:spacing w:after="0"/>
              <w:rPr>
                <w:sz w:val="1"/>
                <w:szCs w:val="1"/>
                <w:color w:val="auto"/>
              </w:rPr>
            </w:pPr>
          </w:p>
        </w:tc>
      </w:tr>
      <w:tr>
        <w:trPr>
          <w:trHeight w:val="74"/>
        </w:trPr>
        <w:tc>
          <w:tcPr>
            <w:tcW w:w="8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policy acquisition costs and value of business acquired</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5,623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6,339</w:t>
            </w:r>
          </w:p>
        </w:tc>
        <w:tc>
          <w:tcPr>
            <w:tcW w:w="0" w:type="dxa"/>
            <w:vAlign w:val="bottom"/>
          </w:tcPr>
          <w:p>
            <w:pPr>
              <w:spacing w:after="0"/>
              <w:rPr>
                <w:sz w:val="1"/>
                <w:szCs w:val="1"/>
                <w:color w:val="auto"/>
              </w:rPr>
            </w:pPr>
          </w:p>
        </w:tc>
      </w:tr>
      <w:tr>
        <w:trPr>
          <w:trHeight w:val="80"/>
        </w:trPr>
        <w:tc>
          <w:tcPr>
            <w:tcW w:w="88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820" w:type="dxa"/>
            <w:vAlign w:val="bottom"/>
          </w:tcPr>
          <w:p>
            <w:pPr>
              <w:ind w:left="40"/>
              <w:spacing w:after="0"/>
              <w:rPr>
                <w:sz w:val="20"/>
                <w:szCs w:val="20"/>
                <w:color w:val="auto"/>
              </w:rPr>
            </w:pPr>
            <w:r>
              <w:rPr>
                <w:rFonts w:ascii="Arial" w:cs="Arial" w:eastAsia="Arial" w:hAnsi="Arial"/>
                <w:sz w:val="14"/>
                <w:szCs w:val="14"/>
                <w:color w:val="auto"/>
              </w:rPr>
              <w:t>Current income tax recoverable</w:t>
            </w: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735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736</w:t>
            </w:r>
          </w:p>
        </w:tc>
        <w:tc>
          <w:tcPr>
            <w:tcW w:w="0" w:type="dxa"/>
            <w:vAlign w:val="bottom"/>
          </w:tcPr>
          <w:p>
            <w:pPr>
              <w:spacing w:after="0"/>
              <w:rPr>
                <w:sz w:val="1"/>
                <w:szCs w:val="1"/>
                <w:color w:val="auto"/>
              </w:rPr>
            </w:pPr>
          </w:p>
        </w:tc>
      </w:tr>
      <w:tr>
        <w:trPr>
          <w:trHeight w:val="74"/>
        </w:trPr>
        <w:tc>
          <w:tcPr>
            <w:tcW w:w="8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80"/>
        </w:trPr>
        <w:tc>
          <w:tcPr>
            <w:tcW w:w="88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820" w:type="dxa"/>
            <w:vAlign w:val="bottom"/>
          </w:tcPr>
          <w:p>
            <w:pPr>
              <w:ind w:left="40"/>
              <w:spacing w:after="0"/>
              <w:rPr>
                <w:sz w:val="20"/>
                <w:szCs w:val="20"/>
                <w:color w:val="auto"/>
              </w:rPr>
            </w:pPr>
            <w:r>
              <w:rPr>
                <w:rFonts w:ascii="Arial" w:cs="Arial" w:eastAsia="Arial" w:hAnsi="Arial"/>
                <w:sz w:val="14"/>
                <w:szCs w:val="14"/>
                <w:color w:val="auto"/>
              </w:rPr>
              <w:t>Separate account assets</w:t>
            </w: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110,156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105,346</w:t>
            </w:r>
          </w:p>
        </w:tc>
        <w:tc>
          <w:tcPr>
            <w:tcW w:w="0" w:type="dxa"/>
            <w:vAlign w:val="bottom"/>
          </w:tcPr>
          <w:p>
            <w:pPr>
              <w:spacing w:after="0"/>
              <w:rPr>
                <w:sz w:val="1"/>
                <w:szCs w:val="1"/>
                <w:color w:val="auto"/>
              </w:rPr>
            </w:pPr>
          </w:p>
        </w:tc>
      </w:tr>
      <w:tr>
        <w:trPr>
          <w:trHeight w:val="74"/>
        </w:trPr>
        <w:tc>
          <w:tcPr>
            <w:tcW w:w="88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8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212,045</w:t>
            </w:r>
          </w:p>
        </w:tc>
        <w:tc>
          <w:tcPr>
            <w:tcW w:w="1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211,425</w:t>
            </w:r>
          </w:p>
        </w:tc>
        <w:tc>
          <w:tcPr>
            <w:tcW w:w="0" w:type="dxa"/>
            <w:vAlign w:val="bottom"/>
          </w:tcPr>
          <w:p>
            <w:pPr>
              <w:spacing w:after="0"/>
              <w:rPr>
                <w:sz w:val="1"/>
                <w:szCs w:val="1"/>
                <w:color w:val="auto"/>
              </w:rPr>
            </w:pPr>
          </w:p>
        </w:tc>
      </w:tr>
      <w:tr>
        <w:trPr>
          <w:trHeight w:val="60"/>
        </w:trPr>
        <w:tc>
          <w:tcPr>
            <w:tcW w:w="882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-95885</wp:posOffset>
            </wp:positionV>
            <wp:extent cx="16554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Liabilities</w:t>
      </w:r>
    </w:p>
    <w:p>
      <w:pPr>
        <w:sectPr>
          <w:pgSz w:w="11900" w:h="16838" w:orient="portrait"/>
          <w:cols w:equalWidth="0" w:num="1">
            <w:col w:w="11420"/>
          </w:cols>
          <w:pgMar w:left="240" w:top="229" w:right="239" w:bottom="1440" w:gutter="0" w:footer="0" w:header="0"/>
        </w:sectPr>
      </w:pP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Future policy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Policyholder account balances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policy-related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Payables for collateral under securities loaned and other transactions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Long-term debt (includes $11 and $23, respectively, at estimated fair value, relating to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income tax liability</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liabilities (includes $0 and $1, respectively, relating to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Separate account liabilities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Contingencies, Commitments and Guarantees (Note 14)</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tabs>
          <w:tab w:leader="none" w:pos="700" w:val="left"/>
          <w:tab w:leader="none" w:pos="1340" w:val="left"/>
          <w:tab w:leader="none" w:pos="20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35,715</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32,752</w:t>
      </w:r>
    </w:p>
    <w:p>
      <w:pPr>
        <w:spacing w:after="0" w:line="109" w:lineRule="exact"/>
        <w:rPr>
          <w:sz w:val="20"/>
          <w:szCs w:val="20"/>
          <w:color w:val="auto"/>
        </w:rPr>
      </w:pPr>
    </w:p>
    <w:p>
      <w:pPr>
        <w:jc w:val="both"/>
        <w:ind w:left="720"/>
        <w:spacing w:after="0"/>
        <w:tabs>
          <w:tab w:leader="none" w:pos="2060" w:val="left"/>
        </w:tabs>
        <w:rPr>
          <w:sz w:val="20"/>
          <w:szCs w:val="20"/>
          <w:color w:val="auto"/>
        </w:rPr>
      </w:pPr>
      <w:r>
        <w:rPr>
          <w:rFonts w:ascii="Arial" w:cs="Arial" w:eastAsia="Arial" w:hAnsi="Arial"/>
          <w:sz w:val="14"/>
          <w:szCs w:val="14"/>
          <w:color w:val="auto"/>
        </w:rPr>
        <w:t>37,069</w:t>
      </w:r>
      <w:r>
        <w:rPr>
          <w:sz w:val="20"/>
          <w:szCs w:val="20"/>
          <w:color w:val="auto"/>
        </w:rPr>
        <w:tab/>
      </w:r>
      <w:r>
        <w:rPr>
          <w:rFonts w:ascii="Arial" w:cs="Arial" w:eastAsia="Arial" w:hAnsi="Arial"/>
          <w:sz w:val="14"/>
          <w:szCs w:val="14"/>
          <w:color w:val="auto"/>
        </w:rPr>
        <w:t>36,579</w:t>
      </w:r>
    </w:p>
    <w:p>
      <w:pPr>
        <w:spacing w:after="0" w:line="109" w:lineRule="exact"/>
        <w:rPr>
          <w:sz w:val="20"/>
          <w:szCs w:val="20"/>
          <w:color w:val="auto"/>
        </w:rPr>
      </w:pPr>
    </w:p>
    <w:p>
      <w:pPr>
        <w:jc w:val="both"/>
        <w:ind w:left="800"/>
        <w:spacing w:after="0"/>
        <w:tabs>
          <w:tab w:leader="none" w:pos="2120" w:val="left"/>
        </w:tabs>
        <w:rPr>
          <w:sz w:val="20"/>
          <w:szCs w:val="20"/>
          <w:color w:val="auto"/>
        </w:rPr>
      </w:pPr>
      <w:r>
        <w:rPr>
          <w:rFonts w:ascii="Arial" w:cs="Arial" w:eastAsia="Arial" w:hAnsi="Arial"/>
          <w:sz w:val="14"/>
          <w:szCs w:val="14"/>
          <w:color w:val="auto"/>
        </w:rPr>
        <w:t>2,720</w:t>
      </w:r>
      <w:r>
        <w:rPr>
          <w:sz w:val="20"/>
          <w:szCs w:val="20"/>
          <w:color w:val="auto"/>
        </w:rPr>
        <w:tab/>
      </w:r>
      <w:r>
        <w:rPr>
          <w:rFonts w:ascii="Arial" w:cs="Arial" w:eastAsia="Arial" w:hAnsi="Arial"/>
          <w:sz w:val="14"/>
          <w:szCs w:val="14"/>
          <w:color w:val="auto"/>
        </w:rPr>
        <w:t>2,712</w:t>
      </w:r>
    </w:p>
    <w:p>
      <w:pPr>
        <w:spacing w:after="0" w:line="109" w:lineRule="exact"/>
        <w:rPr>
          <w:sz w:val="20"/>
          <w:szCs w:val="20"/>
          <w:color w:val="auto"/>
        </w:rPr>
      </w:pPr>
    </w:p>
    <w:p>
      <w:pPr>
        <w:jc w:val="both"/>
        <w:ind w:left="800"/>
        <w:spacing w:after="0"/>
        <w:tabs>
          <w:tab w:leader="none" w:pos="2120" w:val="left"/>
        </w:tabs>
        <w:rPr>
          <w:sz w:val="20"/>
          <w:szCs w:val="20"/>
          <w:color w:val="auto"/>
        </w:rPr>
      </w:pPr>
      <w:r>
        <w:rPr>
          <w:rFonts w:ascii="Arial" w:cs="Arial" w:eastAsia="Arial" w:hAnsi="Arial"/>
          <w:sz w:val="14"/>
          <w:szCs w:val="14"/>
          <w:color w:val="auto"/>
        </w:rPr>
        <w:t>4,158</w:t>
      </w:r>
      <w:r>
        <w:rPr>
          <w:sz w:val="20"/>
          <w:szCs w:val="20"/>
          <w:color w:val="auto"/>
        </w:rPr>
        <w:tab/>
      </w:r>
      <w:r>
        <w:rPr>
          <w:rFonts w:ascii="Arial" w:cs="Arial" w:eastAsia="Arial" w:hAnsi="Arial"/>
          <w:sz w:val="14"/>
          <w:szCs w:val="14"/>
          <w:color w:val="auto"/>
        </w:rPr>
        <w:t>7,371</w:t>
      </w:r>
    </w:p>
    <w:p>
      <w:pPr>
        <w:spacing w:after="0" w:line="109" w:lineRule="exact"/>
        <w:rPr>
          <w:sz w:val="20"/>
          <w:szCs w:val="20"/>
          <w:color w:val="auto"/>
        </w:rPr>
      </w:pPr>
    </w:p>
    <w:p>
      <w:pPr>
        <w:jc w:val="both"/>
        <w:ind w:left="980"/>
        <w:spacing w:after="0"/>
        <w:tabs>
          <w:tab w:leader="none" w:pos="212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1,904</w:t>
      </w:r>
    </w:p>
    <w:p>
      <w:pPr>
        <w:spacing w:after="0" w:line="109" w:lineRule="exact"/>
        <w:rPr>
          <w:sz w:val="20"/>
          <w:szCs w:val="20"/>
          <w:color w:val="auto"/>
        </w:rPr>
      </w:pPr>
    </w:p>
    <w:p>
      <w:pPr>
        <w:jc w:val="both"/>
        <w:ind w:left="900"/>
        <w:spacing w:after="0"/>
        <w:tabs>
          <w:tab w:leader="none" w:pos="2120" w:val="left"/>
        </w:tabs>
        <w:rPr>
          <w:sz w:val="20"/>
          <w:szCs w:val="20"/>
          <w:color w:val="auto"/>
        </w:rPr>
      </w:pPr>
      <w:r>
        <w:rPr>
          <w:rFonts w:ascii="Arial" w:cs="Arial" w:eastAsia="Arial" w:hAnsi="Arial"/>
          <w:sz w:val="14"/>
          <w:szCs w:val="14"/>
          <w:color w:val="auto"/>
        </w:rPr>
        <w:t>894</w:t>
      </w:r>
      <w:r>
        <w:rPr>
          <w:sz w:val="20"/>
          <w:szCs w:val="20"/>
          <w:color w:val="auto"/>
        </w:rPr>
        <w:tab/>
      </w:r>
      <w:r>
        <w:rPr>
          <w:rFonts w:ascii="Arial" w:cs="Arial" w:eastAsia="Arial" w:hAnsi="Arial"/>
          <w:sz w:val="14"/>
          <w:szCs w:val="14"/>
          <w:color w:val="auto"/>
        </w:rPr>
        <w:t>2,451</w:t>
      </w:r>
    </w:p>
    <w:p>
      <w:pPr>
        <w:spacing w:after="0" w:line="109" w:lineRule="exact"/>
        <w:rPr>
          <w:sz w:val="20"/>
          <w:szCs w:val="20"/>
          <w:color w:val="auto"/>
        </w:rPr>
      </w:pPr>
    </w:p>
    <w:p>
      <w:pPr>
        <w:jc w:val="both"/>
        <w:ind w:left="800"/>
        <w:spacing w:after="0"/>
        <w:tabs>
          <w:tab w:leader="none" w:pos="2120" w:val="left"/>
        </w:tabs>
        <w:rPr>
          <w:sz w:val="20"/>
          <w:szCs w:val="20"/>
          <w:color w:val="auto"/>
        </w:rPr>
      </w:pPr>
      <w:r>
        <w:rPr>
          <w:rFonts w:ascii="Arial" w:cs="Arial" w:eastAsia="Arial" w:hAnsi="Arial"/>
          <w:sz w:val="14"/>
          <w:szCs w:val="14"/>
          <w:color w:val="auto"/>
        </w:rPr>
        <w:t>4,419</w:t>
      </w:r>
      <w:r>
        <w:rPr>
          <w:sz w:val="20"/>
          <w:szCs w:val="20"/>
          <w:color w:val="auto"/>
        </w:rPr>
        <w:tab/>
      </w:r>
      <w:r>
        <w:rPr>
          <w:rFonts w:ascii="Arial" w:cs="Arial" w:eastAsia="Arial" w:hAnsi="Arial"/>
          <w:sz w:val="14"/>
          <w:szCs w:val="14"/>
          <w:color w:val="auto"/>
        </w:rPr>
        <w:t>5,445</w:t>
      </w:r>
    </w:p>
    <w:p>
      <w:pPr>
        <w:spacing w:after="0" w:line="109" w:lineRule="exact"/>
        <w:rPr>
          <w:sz w:val="20"/>
          <w:szCs w:val="20"/>
          <w:color w:val="auto"/>
        </w:rPr>
      </w:pPr>
    </w:p>
    <w:p>
      <w:pPr>
        <w:jc w:val="both"/>
        <w:ind w:left="660"/>
        <w:spacing w:after="0"/>
        <w:tabs>
          <w:tab w:leader="none" w:pos="1980" w:val="left"/>
        </w:tabs>
        <w:rPr>
          <w:sz w:val="20"/>
          <w:szCs w:val="20"/>
          <w:color w:val="auto"/>
        </w:rPr>
      </w:pPr>
      <w:r>
        <w:rPr>
          <w:rFonts w:ascii="Arial" w:cs="Arial" w:eastAsia="Arial" w:hAnsi="Arial"/>
          <w:sz w:val="14"/>
          <w:szCs w:val="14"/>
          <w:color w:val="auto"/>
        </w:rPr>
        <w:t>110,156</w:t>
      </w:r>
      <w:r>
        <w:rPr>
          <w:sz w:val="20"/>
          <w:szCs w:val="20"/>
          <w:color w:val="auto"/>
        </w:rPr>
        <w:tab/>
      </w:r>
      <w:r>
        <w:rPr>
          <w:rFonts w:ascii="Arial" w:cs="Arial" w:eastAsia="Arial" w:hAnsi="Arial"/>
          <w:sz w:val="14"/>
          <w:szCs w:val="14"/>
          <w:color w:val="auto"/>
        </w:rPr>
        <w:t>105,346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20955</wp:posOffset>
            </wp:positionV>
            <wp:extent cx="16554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9" w:lineRule="exact"/>
        <w:rPr>
          <w:sz w:val="20"/>
          <w:szCs w:val="20"/>
          <w:color w:val="auto"/>
        </w:rPr>
      </w:pPr>
    </w:p>
    <w:p>
      <w:pPr>
        <w:jc w:val="both"/>
        <w:ind w:left="660"/>
        <w:spacing w:after="0"/>
        <w:tabs>
          <w:tab w:leader="none" w:pos="1980" w:val="left"/>
        </w:tabs>
        <w:rPr>
          <w:sz w:val="20"/>
          <w:szCs w:val="20"/>
          <w:color w:val="auto"/>
        </w:rPr>
      </w:pPr>
      <w:r>
        <w:rPr>
          <w:rFonts w:ascii="Arial" w:cs="Arial" w:eastAsia="Arial" w:hAnsi="Arial"/>
          <w:sz w:val="14"/>
          <w:szCs w:val="14"/>
          <w:color w:val="auto"/>
        </w:rPr>
        <w:t>195,177</w:t>
      </w:r>
      <w:r>
        <w:rPr>
          <w:sz w:val="20"/>
          <w:szCs w:val="20"/>
          <w:color w:val="auto"/>
        </w:rPr>
        <w:tab/>
      </w:r>
      <w:r>
        <w:rPr>
          <w:rFonts w:ascii="Arial" w:cs="Arial" w:eastAsia="Arial" w:hAnsi="Arial"/>
          <w:sz w:val="14"/>
          <w:szCs w:val="14"/>
          <w:color w:val="auto"/>
        </w:rPr>
        <w:t>194,560</w:t>
      </w:r>
    </w:p>
    <w:p>
      <w:pPr>
        <w:spacing w:after="0" w:line="581" w:lineRule="exact"/>
        <w:rPr>
          <w:sz w:val="20"/>
          <w:szCs w:val="20"/>
          <w:color w:val="auto"/>
        </w:rPr>
      </w:pPr>
    </w:p>
    <w:p>
      <w:pPr>
        <w:sectPr>
          <w:pgSz w:w="11900" w:h="16838" w:orient="portrait"/>
          <w:cols w:equalWidth="0" w:num="2">
            <w:col w:w="8120" w:space="720"/>
            <w:col w:w="2580"/>
          </w:cols>
          <w:pgMar w:left="240" w:top="229"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Brighthouse Life Insurance Company’s stockholder’s equity:</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Common stock, par value $25,000 per share; 4,000 shares authorized; 3,000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Additional paid-in capital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Retained earnings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Accumulated other comprehensive income (loss)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Brighthouse Life Insurance Company's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Noncontrolling interests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liabilities and equity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980"/>
        <w:spacing w:after="0"/>
        <w:tabs>
          <w:tab w:leader="none" w:pos="2300" w:val="left"/>
        </w:tabs>
        <w:rPr>
          <w:sz w:val="20"/>
          <w:szCs w:val="20"/>
          <w:color w:val="auto"/>
        </w:rPr>
      </w:pPr>
      <w:r>
        <w:rPr>
          <w:rFonts w:ascii="Arial" w:cs="Arial" w:eastAsia="Arial" w:hAnsi="Arial"/>
          <w:sz w:val="14"/>
          <w:szCs w:val="14"/>
          <w:color w:val="auto"/>
        </w:rPr>
        <w:t>75</w:t>
      </w:r>
      <w:r>
        <w:rPr>
          <w:sz w:val="20"/>
          <w:szCs w:val="20"/>
          <w:color w:val="auto"/>
        </w:rPr>
        <w:tab/>
      </w:r>
      <w:r>
        <w:rPr>
          <w:rFonts w:ascii="Arial" w:cs="Arial" w:eastAsia="Arial" w:hAnsi="Arial"/>
          <w:sz w:val="14"/>
          <w:szCs w:val="14"/>
          <w:color w:val="auto"/>
        </w:rPr>
        <w:t>75</w:t>
      </w:r>
    </w:p>
    <w:p>
      <w:pPr>
        <w:spacing w:after="0" w:line="109" w:lineRule="exact"/>
        <w:rPr>
          <w:sz w:val="20"/>
          <w:szCs w:val="20"/>
          <w:color w:val="auto"/>
        </w:rPr>
      </w:pPr>
    </w:p>
    <w:p>
      <w:pPr>
        <w:ind w:left="720"/>
        <w:spacing w:after="0"/>
        <w:tabs>
          <w:tab w:leader="none" w:pos="2060" w:val="left"/>
        </w:tabs>
        <w:rPr>
          <w:sz w:val="20"/>
          <w:szCs w:val="20"/>
          <w:color w:val="auto"/>
        </w:rPr>
      </w:pPr>
      <w:r>
        <w:rPr>
          <w:rFonts w:ascii="Arial" w:cs="Arial" w:eastAsia="Arial" w:hAnsi="Arial"/>
          <w:sz w:val="14"/>
          <w:szCs w:val="14"/>
          <w:color w:val="auto"/>
        </w:rPr>
        <w:t>19,073</w:t>
      </w:r>
      <w:r>
        <w:rPr>
          <w:sz w:val="20"/>
          <w:szCs w:val="20"/>
          <w:color w:val="auto"/>
        </w:rPr>
        <w:tab/>
      </w:r>
      <w:r>
        <w:rPr>
          <w:rFonts w:ascii="Arial" w:cs="Arial" w:eastAsia="Arial" w:hAnsi="Arial"/>
          <w:sz w:val="14"/>
          <w:szCs w:val="14"/>
          <w:color w:val="auto"/>
        </w:rPr>
        <w:t>18,461</w:t>
      </w:r>
    </w:p>
    <w:p>
      <w:pPr>
        <w:spacing w:after="0" w:line="109" w:lineRule="exact"/>
        <w:rPr>
          <w:sz w:val="20"/>
          <w:szCs w:val="20"/>
          <w:color w:val="auto"/>
        </w:rPr>
      </w:pPr>
    </w:p>
    <w:p>
      <w:pPr>
        <w:jc w:val="both"/>
        <w:ind w:left="740"/>
        <w:spacing w:after="0"/>
        <w:tabs>
          <w:tab w:leader="none" w:pos="2080" w:val="left"/>
        </w:tabs>
        <w:rPr>
          <w:sz w:val="20"/>
          <w:szCs w:val="20"/>
          <w:color w:val="auto"/>
        </w:rPr>
      </w:pPr>
      <w:r>
        <w:rPr>
          <w:rFonts w:ascii="Arial" w:cs="Arial" w:eastAsia="Arial" w:hAnsi="Arial"/>
          <w:sz w:val="14"/>
          <w:szCs w:val="14"/>
          <w:color w:val="auto"/>
        </w:rPr>
        <w:t>(4,132)</w:t>
      </w:r>
      <w:r>
        <w:rPr>
          <w:sz w:val="20"/>
          <w:szCs w:val="20"/>
          <w:color w:val="auto"/>
        </w:rPr>
        <w:tab/>
      </w:r>
      <w:r>
        <w:rPr>
          <w:rFonts w:ascii="Arial" w:cs="Arial" w:eastAsia="Arial" w:hAnsi="Arial"/>
          <w:sz w:val="14"/>
          <w:szCs w:val="14"/>
          <w:color w:val="auto"/>
        </w:rPr>
        <w:t>(2,919)</w:t>
      </w:r>
    </w:p>
    <w:p>
      <w:pPr>
        <w:spacing w:after="0" w:line="109" w:lineRule="exact"/>
        <w:rPr>
          <w:sz w:val="20"/>
          <w:szCs w:val="20"/>
          <w:color w:val="auto"/>
        </w:rPr>
      </w:pPr>
    </w:p>
    <w:p>
      <w:pPr>
        <w:ind w:left="800"/>
        <w:spacing w:after="0"/>
        <w:tabs>
          <w:tab w:leader="none" w:pos="2120" w:val="left"/>
        </w:tabs>
        <w:rPr>
          <w:sz w:val="20"/>
          <w:szCs w:val="20"/>
          <w:color w:val="auto"/>
        </w:rPr>
      </w:pPr>
      <w:r>
        <w:rPr>
          <w:rFonts w:ascii="Arial" w:cs="Arial" w:eastAsia="Arial" w:hAnsi="Arial"/>
          <w:sz w:val="14"/>
          <w:szCs w:val="14"/>
          <w:color w:val="auto"/>
        </w:rPr>
        <w:t>1,837</w:t>
      </w:r>
      <w:r>
        <w:rPr>
          <w:sz w:val="20"/>
          <w:szCs w:val="20"/>
          <w:color w:val="auto"/>
        </w:rPr>
        <w:tab/>
      </w:r>
      <w:r>
        <w:rPr>
          <w:rFonts w:ascii="Arial" w:cs="Arial" w:eastAsia="Arial" w:hAnsi="Arial"/>
          <w:sz w:val="14"/>
          <w:szCs w:val="14"/>
          <w:color w:val="auto"/>
        </w:rPr>
        <w:t>1,248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20955</wp:posOffset>
            </wp:positionV>
            <wp:extent cx="16554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9" w:lineRule="exact"/>
        <w:rPr>
          <w:sz w:val="20"/>
          <w:szCs w:val="20"/>
          <w:color w:val="auto"/>
        </w:rPr>
      </w:pPr>
    </w:p>
    <w:p>
      <w:pPr>
        <w:ind w:left="720"/>
        <w:spacing w:after="0"/>
        <w:tabs>
          <w:tab w:leader="none" w:pos="2060" w:val="left"/>
        </w:tabs>
        <w:rPr>
          <w:sz w:val="20"/>
          <w:szCs w:val="20"/>
          <w:color w:val="auto"/>
        </w:rPr>
      </w:pPr>
      <w:r>
        <w:rPr>
          <w:rFonts w:ascii="Arial" w:cs="Arial" w:eastAsia="Arial" w:hAnsi="Arial"/>
          <w:sz w:val="14"/>
          <w:szCs w:val="14"/>
          <w:color w:val="auto"/>
        </w:rPr>
        <w:t>16,853</w:t>
      </w:r>
      <w:r>
        <w:rPr>
          <w:sz w:val="20"/>
          <w:szCs w:val="20"/>
          <w:color w:val="auto"/>
        </w:rPr>
        <w:tab/>
      </w:r>
      <w:r>
        <w:rPr>
          <w:rFonts w:ascii="Arial" w:cs="Arial" w:eastAsia="Arial" w:hAnsi="Arial"/>
          <w:sz w:val="14"/>
          <w:szCs w:val="14"/>
          <w:color w:val="auto"/>
        </w:rPr>
        <w:t>16,865</w:t>
      </w:r>
    </w:p>
    <w:p>
      <w:pPr>
        <w:spacing w:after="0" w:line="109" w:lineRule="exact"/>
        <w:rPr>
          <w:sz w:val="20"/>
          <w:szCs w:val="20"/>
          <w:color w:val="auto"/>
        </w:rPr>
      </w:pPr>
    </w:p>
    <w:p>
      <w:pPr>
        <w:ind w:left="980"/>
        <w:spacing w:after="0"/>
        <w:tabs>
          <w:tab w:leader="none" w:pos="230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20955</wp:posOffset>
            </wp:positionV>
            <wp:extent cx="16554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9" w:lineRule="exact"/>
        <w:rPr>
          <w:sz w:val="20"/>
          <w:szCs w:val="20"/>
          <w:color w:val="auto"/>
        </w:rPr>
      </w:pPr>
    </w:p>
    <w:p>
      <w:pPr>
        <w:ind w:left="720"/>
        <w:spacing w:after="0"/>
        <w:tabs>
          <w:tab w:leader="none" w:pos="2060" w:val="left"/>
        </w:tabs>
        <w:rPr>
          <w:sz w:val="20"/>
          <w:szCs w:val="20"/>
          <w:color w:val="auto"/>
        </w:rPr>
      </w:pPr>
      <w:r>
        <w:rPr>
          <w:rFonts w:ascii="Arial" w:cs="Arial" w:eastAsia="Arial" w:hAnsi="Arial"/>
          <w:sz w:val="14"/>
          <w:szCs w:val="14"/>
          <w:color w:val="auto"/>
        </w:rPr>
        <w:t>16,868</w:t>
      </w:r>
      <w:r>
        <w:rPr>
          <w:sz w:val="20"/>
          <w:szCs w:val="20"/>
          <w:color w:val="auto"/>
        </w:rPr>
        <w:tab/>
      </w:r>
      <w:r>
        <w:rPr>
          <w:rFonts w:ascii="Arial" w:cs="Arial" w:eastAsia="Arial" w:hAnsi="Arial"/>
          <w:sz w:val="14"/>
          <w:szCs w:val="14"/>
          <w:color w:val="auto"/>
        </w:rPr>
        <w:t>16,865</w:t>
      </w:r>
    </w:p>
    <w:p>
      <w:pPr>
        <w:spacing w:after="0" w:line="96" w:lineRule="exact"/>
        <w:rPr>
          <w:sz w:val="20"/>
          <w:szCs w:val="20"/>
          <w:color w:val="auto"/>
        </w:rPr>
      </w:pPr>
    </w:p>
    <w:p>
      <w:pPr>
        <w:spacing w:after="0"/>
        <w:tabs>
          <w:tab w:leader="none" w:pos="640" w:val="left"/>
          <w:tab w:leader="none" w:pos="1340" w:val="left"/>
          <w:tab w:leader="none" w:pos="19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212,045</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211,425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38100</wp:posOffset>
            </wp:positionV>
            <wp:extent cx="16554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8120" w:space="720"/>
            <w:col w:w="2580"/>
          </w:cols>
          <w:pgMar w:left="240" w:top="229" w:right="239" w:bottom="1440" w:gutter="0" w:footer="0" w:header="0"/>
          <w:type w:val="continuous"/>
        </w:sectPr>
      </w:pPr>
    </w:p>
    <w:p>
      <w:pPr>
        <w:jc w:val="center"/>
        <w:ind w:left="340"/>
        <w:spacing w:after="0"/>
        <w:rPr>
          <w:sz w:val="20"/>
          <w:szCs w:val="20"/>
          <w:color w:val="auto"/>
        </w:rPr>
      </w:pPr>
      <w:r>
        <w:rPr>
          <w:rFonts w:ascii="Arial" w:cs="Arial" w:eastAsia="Arial" w:hAnsi="Arial"/>
          <w:sz w:val="15"/>
          <w:szCs w:val="15"/>
          <w:b w:val="1"/>
          <w:bCs w:val="1"/>
          <w:color w:val="auto"/>
        </w:rPr>
        <w:t>See accompanying notes to the consolidated financial statements.</w:t>
      </w:r>
    </w:p>
    <w:p>
      <w:pPr>
        <w:sectPr>
          <w:pgSz w:w="11900" w:h="16838" w:orient="portrait"/>
          <w:cols w:equalWidth="0" w:num="1">
            <w:col w:w="11420"/>
          </w:cols>
          <w:pgMar w:left="240" w:top="229" w:right="23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229" w:right="23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4"/>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60"/>
        </w:trPr>
        <w:tc>
          <w:tcPr>
            <w:tcW w:w="77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Premiums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828</w:t>
            </w:r>
          </w:p>
        </w:tc>
        <w:tc>
          <w:tcPr>
            <w:tcW w:w="14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1,180</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1,637</w:t>
            </w: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Universal life and investment-type product policy fees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3,293</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Net investment income</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2,973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3,111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3,001</w:t>
            </w: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w:t>
            </w: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Net investment gains (losses):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7"/>
        </w:trPr>
        <w:tc>
          <w:tcPr>
            <w:tcW w:w="7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Other-than-temporary impairments on fixed maturity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37"/>
        </w:trPr>
        <w:tc>
          <w:tcPr>
            <w:tcW w:w="7780" w:type="dxa"/>
            <w:vAlign w:val="bottom"/>
          </w:tcPr>
          <w:p>
            <w:pPr>
              <w:ind w:left="200"/>
              <w:spacing w:after="0"/>
              <w:rPr>
                <w:sz w:val="20"/>
                <w:szCs w:val="20"/>
                <w:color w:val="auto"/>
              </w:rPr>
            </w:pPr>
            <w:r>
              <w:rPr>
                <w:rFonts w:ascii="Arial" w:cs="Arial" w:eastAsia="Arial" w:hAnsi="Arial"/>
                <w:sz w:val="16"/>
                <w:szCs w:val="16"/>
                <w:color w:val="auto"/>
                <w:w w:val="95"/>
              </w:rPr>
              <w:t>Other-than-temporary impairments on fixed maturity securities transferred to other comprehensive income (loss)</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net investment gains (losses)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r>
      <w:tr>
        <w:trPr>
          <w:trHeight w:val="217"/>
        </w:trPr>
        <w:tc>
          <w:tcPr>
            <w:tcW w:w="7780" w:type="dxa"/>
            <w:vAlign w:val="bottom"/>
          </w:tcPr>
          <w:p>
            <w:pPr>
              <w:ind w:left="360"/>
              <w:spacing w:after="0"/>
              <w:rPr>
                <w:sz w:val="20"/>
                <w:szCs w:val="20"/>
                <w:color w:val="auto"/>
              </w:rPr>
            </w:pPr>
            <w:r>
              <w:rPr>
                <w:rFonts w:ascii="Arial" w:cs="Arial" w:eastAsia="Arial" w:hAnsi="Arial"/>
                <w:sz w:val="16"/>
                <w:szCs w:val="16"/>
                <w:color w:val="auto"/>
              </w:rPr>
              <w:t>Total net investment gains (losses)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derivative gains (losses)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(1,468)</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w:t>
            </w:r>
          </w:p>
        </w:tc>
      </w:tr>
      <w:tr>
        <w:trPr>
          <w:trHeight w:val="217"/>
        </w:trPr>
        <w:tc>
          <w:tcPr>
            <w:tcW w:w="7780" w:type="dxa"/>
            <w:vAlign w:val="bottom"/>
          </w:tcPr>
          <w:p>
            <w:pPr>
              <w:ind w:left="520"/>
              <w:spacing w:after="0"/>
              <w:rPr>
                <w:sz w:val="20"/>
                <w:szCs w:val="20"/>
                <w:color w:val="auto"/>
              </w:rPr>
            </w:pPr>
            <w:r>
              <w:rPr>
                <w:rFonts w:ascii="Arial" w:cs="Arial" w:eastAsia="Arial" w:hAnsi="Arial"/>
                <w:sz w:val="16"/>
                <w:szCs w:val="16"/>
                <w:color w:val="auto"/>
              </w:rPr>
              <w:t>Total revenues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5,798</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2,260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7,872</w:t>
            </w: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4"/>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60"/>
        </w:trPr>
        <w:tc>
          <w:tcPr>
            <w:tcW w:w="77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Policyholder benefits and claims</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3,594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3,738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3,087</w:t>
            </w: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credited to policyholder account balances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1,224</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Amortization of deferred policy acquisition costs and value of business acquired</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916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673</w:t>
            </w: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1,833</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1,723</w:t>
            </w:r>
          </w:p>
        </w:tc>
      </w:tr>
      <w:tr>
        <w:trPr>
          <w:trHeight w:val="217"/>
        </w:trPr>
        <w:tc>
          <w:tcPr>
            <w:tcW w:w="7780" w:type="dxa"/>
            <w:vAlign w:val="bottom"/>
          </w:tcPr>
          <w:p>
            <w:pPr>
              <w:ind w:left="520"/>
              <w:spacing w:after="0"/>
              <w:rPr>
                <w:sz w:val="20"/>
                <w:szCs w:val="20"/>
                <w:color w:val="auto"/>
              </w:rPr>
            </w:pPr>
            <w:r>
              <w:rPr>
                <w:rFonts w:ascii="Arial" w:cs="Arial" w:eastAsia="Arial" w:hAnsi="Arial"/>
                <w:sz w:val="16"/>
                <w:szCs w:val="16"/>
                <w:color w:val="auto"/>
              </w:rPr>
              <w:t>Total expenses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7,419</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6,725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6,707</w:t>
            </w: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provision for income tax</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(1,621)</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1,165</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247</w:t>
            </w: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2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r>
      <w:tr>
        <w:trPr>
          <w:trHeight w:val="33"/>
        </w:trPr>
        <w:tc>
          <w:tcPr>
            <w:tcW w:w="77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(883)</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918</w:t>
            </w: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7"/>
        </w:trPr>
        <w:tc>
          <w:tcPr>
            <w:tcW w:w="7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Unrealized investment gains (losses), net of related offsets</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590</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(1,681)</w:t>
            </w:r>
          </w:p>
        </w:tc>
      </w:tr>
      <w:tr>
        <w:trPr>
          <w:trHeight w:val="237"/>
        </w:trPr>
        <w:tc>
          <w:tcPr>
            <w:tcW w:w="7780" w:type="dxa"/>
            <w:vAlign w:val="bottom"/>
          </w:tcPr>
          <w:p>
            <w:pPr>
              <w:ind w:left="200"/>
              <w:spacing w:after="0"/>
              <w:rPr>
                <w:sz w:val="20"/>
                <w:szCs w:val="20"/>
                <w:color w:val="auto"/>
              </w:rPr>
            </w:pPr>
            <w:r>
              <w:rPr>
                <w:rFonts w:ascii="Arial" w:cs="Arial" w:eastAsia="Arial" w:hAnsi="Arial"/>
                <w:sz w:val="16"/>
                <w:szCs w:val="16"/>
                <w:color w:val="auto"/>
              </w:rPr>
              <w:t>Unrealized gains (losses) on derivatives</w:t>
            </w: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0"/>
              </w:rPr>
              <w:t>(166)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89</w:t>
            </w:r>
          </w:p>
        </w:tc>
      </w:tr>
      <w:tr>
        <w:trPr>
          <w:trHeight w:val="33"/>
        </w:trPr>
        <w:tc>
          <w:tcPr>
            <w:tcW w:w="7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adjustments</w:t>
            </w:r>
          </w:p>
        </w:tc>
        <w:tc>
          <w:tcPr>
            <w:tcW w:w="7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Other comprehensive income (loss), before income tax</w:t>
            </w: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433</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(1,621)</w:t>
            </w:r>
          </w:p>
        </w:tc>
      </w:tr>
      <w:tr>
        <w:trPr>
          <w:trHeight w:val="33"/>
        </w:trPr>
        <w:tc>
          <w:tcPr>
            <w:tcW w:w="7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 related to items of other comprehensive income (loss)</w:t>
            </w:r>
          </w:p>
        </w:tc>
        <w:tc>
          <w:tcPr>
            <w:tcW w:w="7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Other comprehensive income (loss), net of income tax</w:t>
            </w: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589</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(1,028)</w:t>
            </w:r>
          </w:p>
        </w:tc>
      </w:tr>
      <w:tr>
        <w:trPr>
          <w:trHeight w:val="33"/>
        </w:trPr>
        <w:tc>
          <w:tcPr>
            <w:tcW w:w="77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(294)</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2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millions)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35"/>
        </w:trPr>
        <w:tc>
          <w:tcPr>
            <w:tcW w:w="3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6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Retained</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Brighthouse Life</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3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Common</w:t>
            </w: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Earnings</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3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6"/>
              </w:rPr>
              <w:t>Insurance Company’s</w:t>
            </w:r>
          </w:p>
        </w:tc>
        <w:tc>
          <w:tcPr>
            <w:tcW w:w="14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Noncontrolling</w:t>
            </w:r>
          </w:p>
        </w:tc>
        <w:tc>
          <w:tcPr>
            <w:tcW w:w="160" w:type="dxa"/>
            <w:vAlign w:val="bottom"/>
          </w:tcPr>
          <w:p>
            <w:pPr>
              <w:spacing w:after="0"/>
              <w:rPr>
                <w:sz w:val="11"/>
                <w:szCs w:val="11"/>
                <w:color w:val="auto"/>
              </w:rPr>
            </w:pPr>
          </w:p>
        </w:tc>
        <w:tc>
          <w:tcPr>
            <w:tcW w:w="620" w:type="dxa"/>
            <w:vAlign w:val="bottom"/>
          </w:tcPr>
          <w:p>
            <w:pPr>
              <w:jc w:val="right"/>
              <w:ind w:right="189"/>
              <w:spacing w:after="0" w:line="135" w:lineRule="exact"/>
              <w:rPr>
                <w:sz w:val="20"/>
                <w:szCs w:val="20"/>
                <w:color w:val="auto"/>
              </w:rPr>
            </w:pPr>
            <w:r>
              <w:rPr>
                <w:rFonts w:ascii="Arial" w:cs="Arial" w:eastAsia="Arial" w:hAnsi="Arial"/>
                <w:sz w:val="13"/>
                <w:szCs w:val="13"/>
                <w:b w:val="1"/>
                <w:bCs w:val="1"/>
                <w:color w:val="auto"/>
              </w:rPr>
              <w:t>Total</w:t>
            </w:r>
          </w:p>
        </w:tc>
      </w:tr>
      <w:tr>
        <w:trPr>
          <w:trHeight w:val="174"/>
        </w:trPr>
        <w:tc>
          <w:tcPr>
            <w:tcW w:w="36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Stockholder’s Equity</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Interests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Equity</w:t>
            </w:r>
          </w:p>
        </w:tc>
      </w:tr>
      <w:tr>
        <w:trPr>
          <w:trHeight w:val="257"/>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16,698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2,622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19,094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19,094</w:t>
            </w:r>
          </w:p>
        </w:tc>
      </w:tr>
      <w:tr>
        <w:trPr>
          <w:trHeight w:val="264"/>
        </w:trPr>
        <w:tc>
          <w:tcPr>
            <w:tcW w:w="3660" w:type="dxa"/>
            <w:vAlign w:val="bottom"/>
          </w:tcPr>
          <w:p>
            <w:pPr>
              <w:ind w:left="40"/>
              <w:spacing w:after="0"/>
              <w:rPr>
                <w:sz w:val="20"/>
                <w:szCs w:val="20"/>
                <w:color w:val="auto"/>
              </w:rPr>
            </w:pPr>
            <w:r>
              <w:rPr>
                <w:rFonts w:ascii="Arial" w:cs="Arial" w:eastAsia="Arial" w:hAnsi="Arial"/>
                <w:sz w:val="14"/>
                <w:szCs w:val="14"/>
                <w:color w:val="auto"/>
              </w:rPr>
              <w:t>Capital contributions from MetLife, Inc.</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FFFFFF"/>
              </w:rPr>
              <w:t>—</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202</w:t>
            </w:r>
          </w:p>
        </w:tc>
      </w:tr>
      <w:tr>
        <w:trPr>
          <w:trHeight w:val="276"/>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paid to MetLife, Inc.</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CCEEFF"/>
              </w:rPr>
              <w: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r>
      <w:tr>
        <w:trPr>
          <w:trHeight w:val="264"/>
        </w:trPr>
        <w:tc>
          <w:tcPr>
            <w:tcW w:w="3660" w:type="dxa"/>
            <w:vAlign w:val="bottom"/>
          </w:tcPr>
          <w:p>
            <w:pPr>
              <w:ind w:left="40"/>
              <w:spacing w:after="0"/>
              <w:rPr>
                <w:sz w:val="20"/>
                <w:szCs w:val="20"/>
                <w:color w:val="auto"/>
              </w:rPr>
            </w:pPr>
            <w:r>
              <w:rPr>
                <w:rFonts w:ascii="Arial" w:cs="Arial" w:eastAsia="Arial" w:hAnsi="Arial"/>
                <w:sz w:val="14"/>
                <w:szCs w:val="14"/>
                <w:color w:val="auto"/>
              </w:rPr>
              <w:t>Returns of capital</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76"/>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CCEEFF"/>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918</w:t>
            </w:r>
          </w:p>
        </w:tc>
      </w:tr>
      <w:tr>
        <w:trPr>
          <w:trHeight w:val="264"/>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comprehensive income (loss), net of income tax</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w:t>
            </w:r>
          </w:p>
        </w:tc>
      </w:tr>
      <w:tr>
        <w:trPr>
          <w:trHeight w:val="256"/>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2015</w:t>
            </w: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16,850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1,594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18,636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18,636</w:t>
            </w:r>
          </w:p>
        </w:tc>
      </w:tr>
      <w:tr>
        <w:trPr>
          <w:trHeight w:val="264"/>
        </w:trPr>
        <w:tc>
          <w:tcPr>
            <w:tcW w:w="3660" w:type="dxa"/>
            <w:vAlign w:val="bottom"/>
          </w:tcPr>
          <w:p>
            <w:pPr>
              <w:ind w:left="40"/>
              <w:spacing w:after="0"/>
              <w:rPr>
                <w:sz w:val="20"/>
                <w:szCs w:val="20"/>
                <w:color w:val="auto"/>
              </w:rPr>
            </w:pPr>
            <w:r>
              <w:rPr>
                <w:rFonts w:ascii="Arial" w:cs="Arial" w:eastAsia="Arial" w:hAnsi="Arial"/>
                <w:sz w:val="14"/>
                <w:szCs w:val="14"/>
                <w:color w:val="auto"/>
              </w:rPr>
              <w:t>Capital contributions from MetLife, Inc.</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1,637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1,637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1,637</w:t>
            </w:r>
          </w:p>
        </w:tc>
      </w:tr>
      <w:tr>
        <w:trPr>
          <w:trHeight w:val="276"/>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paid to MetLife, Inc.</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r>
      <w:tr>
        <w:trPr>
          <w:trHeight w:val="264"/>
        </w:trPr>
        <w:tc>
          <w:tcPr>
            <w:tcW w:w="3660" w:type="dxa"/>
            <w:vAlign w:val="bottom"/>
          </w:tcPr>
          <w:p>
            <w:pPr>
              <w:ind w:left="40"/>
              <w:spacing w:after="0"/>
              <w:rPr>
                <w:sz w:val="20"/>
                <w:szCs w:val="20"/>
                <w:color w:val="auto"/>
              </w:rPr>
            </w:pPr>
            <w:r>
              <w:rPr>
                <w:rFonts w:ascii="Arial" w:cs="Arial" w:eastAsia="Arial" w:hAnsi="Arial"/>
                <w:sz w:val="14"/>
                <w:szCs w:val="14"/>
                <w:color w:val="auto"/>
              </w:rPr>
              <w:t>Returns of capital</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76"/>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(2,775)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(2,775)</w:t>
            </w:r>
          </w:p>
        </w:tc>
      </w:tr>
      <w:tr>
        <w:trPr>
          <w:trHeight w:val="264"/>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comprehensive income (loss), net of income tax</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w:t>
            </w:r>
          </w:p>
        </w:tc>
      </w:tr>
      <w:tr>
        <w:trPr>
          <w:trHeight w:val="256"/>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2016</w:t>
            </w: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18,461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(2,919)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1,248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16,865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16,865</w:t>
            </w:r>
          </w:p>
        </w:tc>
      </w:tr>
      <w:tr>
        <w:trPr>
          <w:trHeight w:val="264"/>
        </w:trPr>
        <w:tc>
          <w:tcPr>
            <w:tcW w:w="3660" w:type="dxa"/>
            <w:vAlign w:val="bottom"/>
          </w:tcPr>
          <w:p>
            <w:pPr>
              <w:ind w:left="40"/>
              <w:spacing w:after="0"/>
              <w:rPr>
                <w:sz w:val="20"/>
                <w:szCs w:val="20"/>
                <w:color w:val="auto"/>
              </w:rPr>
            </w:pPr>
            <w:r>
              <w:rPr>
                <w:rFonts w:ascii="Arial" w:cs="Arial" w:eastAsia="Arial" w:hAnsi="Arial"/>
                <w:sz w:val="14"/>
                <w:szCs w:val="14"/>
                <w:color w:val="auto"/>
              </w:rPr>
              <w:t>Sale of operating joint venture interest to a former affiliate</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202</w:t>
            </w:r>
          </w:p>
        </w:tc>
      </w:tr>
      <w:tr>
        <w:trPr>
          <w:trHeight w:val="276"/>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Returns of capital (Note 3)</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(2,737)</w:t>
            </w:r>
          </w:p>
        </w:tc>
      </w:tr>
      <w:tr>
        <w:trPr>
          <w:trHeight w:val="264"/>
        </w:trPr>
        <w:tc>
          <w:tcPr>
            <w:tcW w:w="3660" w:type="dxa"/>
            <w:vAlign w:val="bottom"/>
          </w:tcPr>
          <w:p>
            <w:pPr>
              <w:ind w:left="40"/>
              <w:spacing w:after="0"/>
              <w:rPr>
                <w:sz w:val="20"/>
                <w:szCs w:val="20"/>
                <w:color w:val="auto"/>
              </w:rPr>
            </w:pPr>
            <w:r>
              <w:rPr>
                <w:rFonts w:ascii="Arial" w:cs="Arial" w:eastAsia="Arial" w:hAnsi="Arial"/>
                <w:sz w:val="14"/>
                <w:szCs w:val="14"/>
                <w:color w:val="auto"/>
              </w:rPr>
              <w:t>Capital contributions</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3,147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3,147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3,147</w:t>
            </w:r>
          </w:p>
        </w:tc>
      </w:tr>
      <w:tr>
        <w:trPr>
          <w:trHeight w:val="276"/>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 in equity of noncontrolling interests</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ind w:left="74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w:t>
            </w:r>
          </w:p>
        </w:tc>
      </w:tr>
      <w:tr>
        <w:trPr>
          <w:trHeight w:val="264"/>
        </w:trPr>
        <w:tc>
          <w:tcPr>
            <w:tcW w:w="366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(883)</w:t>
            </w:r>
          </w:p>
        </w:tc>
      </w:tr>
      <w:tr>
        <w:trPr>
          <w:trHeight w:val="276"/>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change in accounting principle (Note 1)</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comprehensive income (loss), net of income tax</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259</w:t>
            </w:r>
          </w:p>
        </w:tc>
      </w:tr>
      <w:tr>
        <w:trPr>
          <w:trHeight w:val="243"/>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31,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19,073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(4,132)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1,837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16,853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16,868</w:t>
            </w: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2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(883)</w:t>
            </w:r>
          </w:p>
        </w:tc>
        <w:tc>
          <w:tcPr>
            <w:tcW w:w="2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(2,775)</w:t>
            </w:r>
          </w:p>
        </w:tc>
        <w:tc>
          <w:tcPr>
            <w:tcW w:w="2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918</w:t>
            </w:r>
          </w:p>
        </w:tc>
        <w:tc>
          <w:tcPr>
            <w:tcW w:w="0" w:type="dxa"/>
            <w:vAlign w:val="bottom"/>
          </w:tcPr>
          <w:p>
            <w:pPr>
              <w:spacing w:after="0"/>
              <w:rPr>
                <w:sz w:val="1"/>
                <w:szCs w:val="1"/>
                <w:color w:val="auto"/>
              </w:rPr>
            </w:pPr>
          </w:p>
        </w:tc>
      </w:tr>
      <w:tr>
        <w:trPr>
          <w:trHeight w:val="202"/>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180"/>
              <w:spacing w:after="0"/>
              <w:rPr>
                <w:sz w:val="20"/>
                <w:szCs w:val="20"/>
                <w:color w:val="auto"/>
              </w:rPr>
            </w:pPr>
            <w:r>
              <w:rPr>
                <w:rFonts w:ascii="Arial" w:cs="Arial" w:eastAsia="Arial" w:hAnsi="Arial"/>
                <w:sz w:val="14"/>
                <w:szCs w:val="14"/>
                <w:color w:val="auto"/>
              </w:rPr>
              <w:t>Depreciation and amortization expenses</w:t>
            </w:r>
          </w:p>
        </w:tc>
        <w:tc>
          <w:tcPr>
            <w:tcW w:w="2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9"/>
        </w:trPr>
        <w:tc>
          <w:tcPr>
            <w:tcW w:w="7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premiums and accretion of discounts associated with investments, net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10"/>
        </w:trPr>
        <w:tc>
          <w:tcPr>
            <w:tcW w:w="7720" w:type="dxa"/>
            <w:vAlign w:val="bottom"/>
          </w:tcPr>
          <w:p>
            <w:pPr>
              <w:ind w:left="180"/>
              <w:spacing w:after="0"/>
              <w:rPr>
                <w:sz w:val="20"/>
                <w:szCs w:val="20"/>
                <w:color w:val="auto"/>
              </w:rPr>
            </w:pPr>
            <w:r>
              <w:rPr>
                <w:rFonts w:ascii="Arial" w:cs="Arial" w:eastAsia="Arial" w:hAnsi="Arial"/>
                <w:sz w:val="14"/>
                <w:szCs w:val="14"/>
                <w:color w:val="auto"/>
              </w:rPr>
              <w:t>(Gains) losses on investments, net</w:t>
            </w:r>
          </w:p>
        </w:tc>
        <w:tc>
          <w:tcPr>
            <w:tcW w:w="2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7"/>
        </w:trPr>
        <w:tc>
          <w:tcPr>
            <w:tcW w:w="7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(Gains) losses on derivatives, net</w:t>
            </w:r>
          </w:p>
        </w:tc>
        <w:tc>
          <w:tcPr>
            <w:tcW w:w="2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3,084</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6,998</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1,321</w:t>
            </w:r>
          </w:p>
        </w:tc>
        <w:tc>
          <w:tcPr>
            <w:tcW w:w="0" w:type="dxa"/>
            <w:vAlign w:val="bottom"/>
          </w:tcPr>
          <w:p>
            <w:pPr>
              <w:spacing w:after="0"/>
              <w:rPr>
                <w:sz w:val="1"/>
                <w:szCs w:val="1"/>
                <w:color w:val="auto"/>
              </w:rPr>
            </w:pPr>
          </w:p>
        </w:tc>
      </w:tr>
      <w:tr>
        <w:trPr>
          <w:trHeight w:val="80"/>
        </w:trPr>
        <w:tc>
          <w:tcPr>
            <w:tcW w:w="77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180"/>
              <w:spacing w:after="0"/>
              <w:rPr>
                <w:sz w:val="20"/>
                <w:szCs w:val="20"/>
                <w:color w:val="auto"/>
              </w:rPr>
            </w:pPr>
            <w:r>
              <w:rPr>
                <w:rFonts w:ascii="Arial" w:cs="Arial" w:eastAsia="Arial" w:hAnsi="Arial"/>
                <w:sz w:val="14"/>
                <w:szCs w:val="14"/>
                <w:color w:val="auto"/>
              </w:rPr>
              <w:t>(Income) loss from equity method investments, net of dividends and distributions</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22"/>
        </w:trPr>
        <w:tc>
          <w:tcPr>
            <w:tcW w:w="7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credited to policyholder account balances</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1,076</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197"/>
        </w:trPr>
        <w:tc>
          <w:tcPr>
            <w:tcW w:w="7720" w:type="dxa"/>
            <w:vAlign w:val="bottom"/>
          </w:tcPr>
          <w:p>
            <w:pPr>
              <w:ind w:left="180"/>
              <w:spacing w:after="0"/>
              <w:rPr>
                <w:sz w:val="20"/>
                <w:szCs w:val="20"/>
                <w:color w:val="auto"/>
              </w:rPr>
            </w:pPr>
            <w:r>
              <w:rPr>
                <w:rFonts w:ascii="Arial" w:cs="Arial" w:eastAsia="Arial" w:hAnsi="Arial"/>
                <w:sz w:val="14"/>
                <w:szCs w:val="14"/>
                <w:color w:val="auto"/>
              </w:rPr>
              <w:t>Universal life and investment-type product policy fees</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(3,156)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(3,097)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(3,293)</w:t>
            </w:r>
          </w:p>
        </w:tc>
        <w:tc>
          <w:tcPr>
            <w:tcW w:w="0" w:type="dxa"/>
            <w:vAlign w:val="bottom"/>
          </w:tcPr>
          <w:p>
            <w:pPr>
              <w:spacing w:after="0"/>
              <w:rPr>
                <w:sz w:val="1"/>
                <w:szCs w:val="1"/>
                <w:color w:val="auto"/>
              </w:rPr>
            </w:pPr>
          </w:p>
        </w:tc>
      </w:tr>
      <w:tr>
        <w:trPr>
          <w:trHeight w:val="222"/>
        </w:trPr>
        <w:tc>
          <w:tcPr>
            <w:tcW w:w="7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Goodwill impairment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720" w:type="dxa"/>
            <w:vAlign w:val="bottom"/>
          </w:tcPr>
          <w:p>
            <w:pPr>
              <w:ind w:left="180"/>
              <w:spacing w:after="0"/>
              <w:rPr>
                <w:sz w:val="20"/>
                <w:szCs w:val="20"/>
                <w:color w:val="auto"/>
              </w:rPr>
            </w:pPr>
            <w:r>
              <w:rPr>
                <w:rFonts w:ascii="Arial" w:cs="Arial" w:eastAsia="Arial" w:hAnsi="Arial"/>
                <w:sz w:val="14"/>
                <w:szCs w:val="14"/>
                <w:color w:val="auto"/>
              </w:rPr>
              <w:t>Change in accrued investment income</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2"/>
        </w:trPr>
        <w:tc>
          <w:tcPr>
            <w:tcW w:w="7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premiums, reinsurance and other receivables</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210"/>
        </w:trPr>
        <w:tc>
          <w:tcPr>
            <w:tcW w:w="7720" w:type="dxa"/>
            <w:vAlign w:val="bottom"/>
          </w:tcPr>
          <w:p>
            <w:pPr>
              <w:ind w:left="180"/>
              <w:spacing w:after="0"/>
              <w:rPr>
                <w:sz w:val="20"/>
                <w:szCs w:val="20"/>
                <w:color w:val="auto"/>
              </w:rPr>
            </w:pPr>
            <w:r>
              <w:rPr>
                <w:rFonts w:ascii="Arial" w:cs="Arial" w:eastAsia="Arial" w:hAnsi="Arial"/>
                <w:sz w:val="14"/>
                <w:szCs w:val="14"/>
                <w:color w:val="auto"/>
              </w:rPr>
              <w:t>Change in deferred policy acquisition costs and value of business acquired, net</w:t>
            </w:r>
          </w:p>
        </w:tc>
        <w:tc>
          <w:tcPr>
            <w:tcW w:w="2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660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222"/>
        </w:trPr>
        <w:tc>
          <w:tcPr>
            <w:tcW w:w="7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income tax</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(1,830)</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210"/>
        </w:trPr>
        <w:tc>
          <w:tcPr>
            <w:tcW w:w="7720" w:type="dxa"/>
            <w:vAlign w:val="bottom"/>
          </w:tcPr>
          <w:p>
            <w:pPr>
              <w:ind w:left="180"/>
              <w:spacing w:after="0"/>
              <w:rPr>
                <w:sz w:val="20"/>
                <w:szCs w:val="20"/>
                <w:color w:val="auto"/>
              </w:rPr>
            </w:pPr>
            <w:r>
              <w:rPr>
                <w:rFonts w:ascii="Arial" w:cs="Arial" w:eastAsia="Arial" w:hAnsi="Arial"/>
                <w:sz w:val="14"/>
                <w:szCs w:val="14"/>
                <w:color w:val="auto"/>
              </w:rPr>
              <w:t>Change in other assets</w:t>
            </w:r>
          </w:p>
        </w:tc>
        <w:tc>
          <w:tcPr>
            <w:tcW w:w="2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2,176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2,152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2,231</w:t>
            </w:r>
          </w:p>
        </w:tc>
        <w:tc>
          <w:tcPr>
            <w:tcW w:w="0" w:type="dxa"/>
            <w:vAlign w:val="bottom"/>
          </w:tcPr>
          <w:p>
            <w:pPr>
              <w:spacing w:after="0"/>
              <w:rPr>
                <w:sz w:val="1"/>
                <w:szCs w:val="1"/>
                <w:color w:val="auto"/>
              </w:rPr>
            </w:pPr>
          </w:p>
        </w:tc>
      </w:tr>
      <w:tr>
        <w:trPr>
          <w:trHeight w:val="222"/>
        </w:trPr>
        <w:tc>
          <w:tcPr>
            <w:tcW w:w="7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future policy benefits and other policy-related balances</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1,522</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2,404</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2,283</w:t>
            </w:r>
          </w:p>
        </w:tc>
        <w:tc>
          <w:tcPr>
            <w:tcW w:w="0" w:type="dxa"/>
            <w:vAlign w:val="bottom"/>
          </w:tcPr>
          <w:p>
            <w:pPr>
              <w:spacing w:after="0"/>
              <w:rPr>
                <w:sz w:val="1"/>
                <w:szCs w:val="1"/>
                <w:color w:val="auto"/>
              </w:rPr>
            </w:pPr>
          </w:p>
        </w:tc>
      </w:tr>
      <w:tr>
        <w:trPr>
          <w:trHeight w:val="197"/>
        </w:trPr>
        <w:tc>
          <w:tcPr>
            <w:tcW w:w="7720" w:type="dxa"/>
            <w:vAlign w:val="bottom"/>
          </w:tcPr>
          <w:p>
            <w:pPr>
              <w:ind w:left="180"/>
              <w:spacing w:after="0"/>
              <w:rPr>
                <w:sz w:val="20"/>
                <w:szCs w:val="20"/>
                <w:color w:val="auto"/>
              </w:rPr>
            </w:pPr>
            <w:r>
              <w:rPr>
                <w:rFonts w:ascii="Arial" w:cs="Arial" w:eastAsia="Arial" w:hAnsi="Arial"/>
                <w:sz w:val="14"/>
                <w:szCs w:val="14"/>
                <w:color w:val="auto"/>
              </w:rPr>
              <w:t>Change in other liabilities</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22"/>
        </w:trPr>
        <w:tc>
          <w:tcPr>
            <w:tcW w:w="7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4"/>
        </w:trPr>
        <w:tc>
          <w:tcPr>
            <w:tcW w:w="7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(used in) operating activities</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3,946</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4,131</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4,992</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720" w:type="dxa"/>
            <w:vAlign w:val="bottom"/>
          </w:tcPr>
          <w:p>
            <w:pPr>
              <w:ind w:left="40"/>
              <w:spacing w:after="0"/>
              <w:rPr>
                <w:sz w:val="20"/>
                <w:szCs w:val="20"/>
                <w:color w:val="auto"/>
              </w:rPr>
            </w:pPr>
            <w:r>
              <w:rPr>
                <w:rFonts w:ascii="Arial" w:cs="Arial" w:eastAsia="Arial" w:hAnsi="Arial"/>
                <w:sz w:val="14"/>
                <w:szCs w:val="14"/>
                <w:color w:val="auto"/>
              </w:rPr>
              <w:t>Sales, maturities and repayments of:</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maturity securities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16,409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45,460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38,341</w:t>
            </w:r>
          </w:p>
        </w:tc>
        <w:tc>
          <w:tcPr>
            <w:tcW w:w="0" w:type="dxa"/>
            <w:vAlign w:val="bottom"/>
          </w:tcPr>
          <w:p>
            <w:pPr>
              <w:spacing w:after="0"/>
              <w:rPr>
                <w:sz w:val="1"/>
                <w:szCs w:val="1"/>
                <w:color w:val="auto"/>
              </w:rPr>
            </w:pPr>
          </w:p>
        </w:tc>
      </w:tr>
      <w:tr>
        <w:trPr>
          <w:trHeight w:val="210"/>
        </w:trPr>
        <w:tc>
          <w:tcPr>
            <w:tcW w:w="7720" w:type="dxa"/>
            <w:vAlign w:val="bottom"/>
          </w:tcPr>
          <w:p>
            <w:pPr>
              <w:ind w:left="180"/>
              <w:spacing w:after="0"/>
              <w:rPr>
                <w:sz w:val="20"/>
                <w:szCs w:val="20"/>
                <w:color w:val="auto"/>
              </w:rPr>
            </w:pPr>
            <w:r>
              <w:rPr>
                <w:rFonts w:ascii="Arial" w:cs="Arial" w:eastAsia="Arial" w:hAnsi="Arial"/>
                <w:sz w:val="14"/>
                <w:szCs w:val="14"/>
                <w:color w:val="auto"/>
              </w:rPr>
              <w:t>Equity securities</w:t>
            </w:r>
          </w:p>
        </w:tc>
        <w:tc>
          <w:tcPr>
            <w:tcW w:w="2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222"/>
        </w:trPr>
        <w:tc>
          <w:tcPr>
            <w:tcW w:w="7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Mortgage loans</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1,560</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1,083</w:t>
            </w:r>
          </w:p>
        </w:tc>
        <w:tc>
          <w:tcPr>
            <w:tcW w:w="0" w:type="dxa"/>
            <w:vAlign w:val="bottom"/>
          </w:tcPr>
          <w:p>
            <w:pPr>
              <w:spacing w:after="0"/>
              <w:rPr>
                <w:sz w:val="1"/>
                <w:szCs w:val="1"/>
                <w:color w:val="auto"/>
              </w:rPr>
            </w:pPr>
          </w:p>
        </w:tc>
      </w:tr>
      <w:tr>
        <w:trPr>
          <w:trHeight w:val="210"/>
        </w:trPr>
        <w:tc>
          <w:tcPr>
            <w:tcW w:w="7720" w:type="dxa"/>
            <w:vAlign w:val="bottom"/>
          </w:tcPr>
          <w:p>
            <w:pPr>
              <w:ind w:left="180"/>
              <w:spacing w:after="0"/>
              <w:rPr>
                <w:sz w:val="20"/>
                <w:szCs w:val="20"/>
                <w:color w:val="auto"/>
              </w:rPr>
            </w:pPr>
            <w:r>
              <w:rPr>
                <w:rFonts w:ascii="Arial" w:cs="Arial" w:eastAsia="Arial" w:hAnsi="Arial"/>
                <w:sz w:val="14"/>
                <w:szCs w:val="14"/>
                <w:color w:val="auto"/>
              </w:rPr>
              <w:t>Real estate and real estate joint ventures</w:t>
            </w:r>
          </w:p>
        </w:tc>
        <w:tc>
          <w:tcPr>
            <w:tcW w:w="2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446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222"/>
        </w:trPr>
        <w:tc>
          <w:tcPr>
            <w:tcW w:w="7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limited partnership interests</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417</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91"/>
        </w:trPr>
        <w:tc>
          <w:tcPr>
            <w:tcW w:w="7720" w:type="dxa"/>
            <w:vAlign w:val="bottom"/>
          </w:tcPr>
          <w:p>
            <w:pPr>
              <w:ind w:left="40"/>
              <w:spacing w:after="0"/>
              <w:rPr>
                <w:sz w:val="20"/>
                <w:szCs w:val="20"/>
                <w:color w:val="auto"/>
              </w:rPr>
            </w:pPr>
            <w:r>
              <w:rPr>
                <w:rFonts w:ascii="Arial" w:cs="Arial" w:eastAsia="Arial" w:hAnsi="Arial"/>
                <w:sz w:val="14"/>
                <w:szCs w:val="14"/>
                <w:color w:val="auto"/>
              </w:rPr>
              <w:t>Purchases of:</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maturity securities</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(17,811)</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(39,097)</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(43,502)</w:t>
            </w:r>
          </w:p>
        </w:tc>
        <w:tc>
          <w:tcPr>
            <w:tcW w:w="0" w:type="dxa"/>
            <w:vAlign w:val="bottom"/>
          </w:tcPr>
          <w:p>
            <w:pPr>
              <w:spacing w:after="0"/>
              <w:rPr>
                <w:sz w:val="1"/>
                <w:szCs w:val="1"/>
                <w:color w:val="auto"/>
              </w:rPr>
            </w:pPr>
          </w:p>
        </w:tc>
      </w:tr>
      <w:tr>
        <w:trPr>
          <w:trHeight w:val="197"/>
        </w:trPr>
        <w:tc>
          <w:tcPr>
            <w:tcW w:w="7720" w:type="dxa"/>
            <w:vAlign w:val="bottom"/>
          </w:tcPr>
          <w:p>
            <w:pPr>
              <w:ind w:left="180"/>
              <w:spacing w:after="0"/>
              <w:rPr>
                <w:sz w:val="20"/>
                <w:szCs w:val="20"/>
                <w:color w:val="auto"/>
              </w:rPr>
            </w:pPr>
            <w:r>
              <w:rPr>
                <w:rFonts w:ascii="Arial" w:cs="Arial" w:eastAsia="Arial" w:hAnsi="Arial"/>
                <w:sz w:val="14"/>
                <w:szCs w:val="14"/>
                <w:color w:val="auto"/>
              </w:rPr>
              <w:t>Equity securities</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209"/>
        </w:trPr>
        <w:tc>
          <w:tcPr>
            <w:tcW w:w="7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Mortgage loans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w:t>
            </w:r>
          </w:p>
        </w:tc>
        <w:tc>
          <w:tcPr>
            <w:tcW w:w="0" w:type="dxa"/>
            <w:vAlign w:val="bottom"/>
          </w:tcPr>
          <w:p>
            <w:pPr>
              <w:spacing w:after="0"/>
              <w:rPr>
                <w:sz w:val="1"/>
                <w:szCs w:val="1"/>
                <w:color w:val="auto"/>
              </w:rPr>
            </w:pPr>
          </w:p>
        </w:tc>
      </w:tr>
      <w:tr>
        <w:trPr>
          <w:trHeight w:val="197"/>
        </w:trPr>
        <w:tc>
          <w:tcPr>
            <w:tcW w:w="7720" w:type="dxa"/>
            <w:vAlign w:val="bottom"/>
          </w:tcPr>
          <w:p>
            <w:pPr>
              <w:ind w:left="180"/>
              <w:spacing w:after="0"/>
              <w:rPr>
                <w:sz w:val="20"/>
                <w:szCs w:val="20"/>
                <w:color w:val="auto"/>
              </w:rPr>
            </w:pPr>
            <w:r>
              <w:rPr>
                <w:rFonts w:ascii="Arial" w:cs="Arial" w:eastAsia="Arial" w:hAnsi="Arial"/>
                <w:sz w:val="14"/>
                <w:szCs w:val="14"/>
                <w:color w:val="auto"/>
              </w:rPr>
              <w:t>Real estate and real estate joint ventures</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09"/>
        </w:trPr>
        <w:tc>
          <w:tcPr>
            <w:tcW w:w="7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limited partnership interests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10"/>
        </w:trPr>
        <w:tc>
          <w:tcPr>
            <w:tcW w:w="7720" w:type="dxa"/>
            <w:vAlign w:val="bottom"/>
          </w:tcPr>
          <w:p>
            <w:pPr>
              <w:ind w:left="40"/>
              <w:spacing w:after="0"/>
              <w:rPr>
                <w:sz w:val="20"/>
                <w:szCs w:val="20"/>
                <w:color w:val="auto"/>
              </w:rPr>
            </w:pPr>
            <w:r>
              <w:rPr>
                <w:rFonts w:ascii="Arial" w:cs="Arial" w:eastAsia="Arial" w:hAnsi="Arial"/>
                <w:sz w:val="14"/>
                <w:szCs w:val="14"/>
                <w:color w:val="auto"/>
              </w:rPr>
              <w:t>Cash received in connection with freestanding derivatives</w:t>
            </w:r>
          </w:p>
        </w:tc>
        <w:tc>
          <w:tcPr>
            <w:tcW w:w="2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1,859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707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09"/>
        </w:trPr>
        <w:tc>
          <w:tcPr>
            <w:tcW w:w="7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in connection with freestanding derivatives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w:t>
            </w:r>
          </w:p>
        </w:tc>
        <w:tc>
          <w:tcPr>
            <w:tcW w:w="0" w:type="dxa"/>
            <w:vAlign w:val="bottom"/>
          </w:tcPr>
          <w:p>
            <w:pPr>
              <w:spacing w:after="0"/>
              <w:rPr>
                <w:sz w:val="1"/>
                <w:szCs w:val="1"/>
                <w:color w:val="auto"/>
              </w:rPr>
            </w:pPr>
          </w:p>
        </w:tc>
      </w:tr>
      <w:tr>
        <w:trPr>
          <w:trHeight w:val="191"/>
        </w:trPr>
        <w:tc>
          <w:tcPr>
            <w:tcW w:w="7720" w:type="dxa"/>
            <w:vAlign w:val="bottom"/>
          </w:tcPr>
          <w:p>
            <w:pPr>
              <w:ind w:left="40"/>
              <w:spacing w:after="0"/>
              <w:rPr>
                <w:sz w:val="20"/>
                <w:szCs w:val="20"/>
                <w:color w:val="auto"/>
              </w:rPr>
            </w:pPr>
            <w:r>
              <w:rPr>
                <w:rFonts w:ascii="Arial" w:cs="Arial" w:eastAsia="Arial" w:hAnsi="Arial"/>
                <w:sz w:val="14"/>
                <w:szCs w:val="14"/>
                <w:color w:val="auto"/>
              </w:rPr>
              <w:t>Cash received under repurchase agreements</w:t>
            </w:r>
          </w:p>
        </w:tc>
        <w:tc>
          <w:tcPr>
            <w:tcW w:w="280" w:type="dxa"/>
            <w:vAlign w:val="bottom"/>
          </w:tcPr>
          <w:p>
            <w:pPr>
              <w:spacing w:after="0"/>
              <w:rPr>
                <w:sz w:val="16"/>
                <w:szCs w:val="16"/>
                <w:color w:val="auto"/>
              </w:rPr>
            </w:pP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74"/>
        </w:trPr>
        <w:tc>
          <w:tcPr>
            <w:tcW w:w="7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under repurchase agreements</w:t>
            </w:r>
          </w:p>
        </w:tc>
        <w:tc>
          <w:tcPr>
            <w:tcW w:w="2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80"/>
        </w:trPr>
        <w:tc>
          <w:tcPr>
            <w:tcW w:w="77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20" w:type="dxa"/>
            <w:vAlign w:val="bottom"/>
          </w:tcPr>
          <w:p>
            <w:pPr>
              <w:ind w:left="40"/>
              <w:spacing w:after="0"/>
              <w:rPr>
                <w:sz w:val="20"/>
                <w:szCs w:val="20"/>
                <w:color w:val="auto"/>
              </w:rPr>
            </w:pPr>
            <w:r>
              <w:rPr>
                <w:rFonts w:ascii="Arial" w:cs="Arial" w:eastAsia="Arial" w:hAnsi="Arial"/>
                <w:sz w:val="14"/>
                <w:szCs w:val="14"/>
                <w:color w:val="auto"/>
              </w:rPr>
              <w:t>Cash received under reverse repurchase agreements</w:t>
            </w:r>
          </w:p>
        </w:tc>
        <w:tc>
          <w:tcPr>
            <w:tcW w:w="280" w:type="dxa"/>
            <w:vAlign w:val="bottom"/>
          </w:tcPr>
          <w:p>
            <w:pPr>
              <w:spacing w:after="0"/>
              <w:rPr>
                <w:sz w:val="16"/>
                <w:szCs w:val="16"/>
                <w:color w:val="auto"/>
              </w:rPr>
            </w:pP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74"/>
        </w:trPr>
        <w:tc>
          <w:tcPr>
            <w:tcW w:w="7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under reverse repurchase agreements</w:t>
            </w:r>
          </w:p>
        </w:tc>
        <w:tc>
          <w:tcPr>
            <w:tcW w:w="2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80"/>
        </w:trPr>
        <w:tc>
          <w:tcPr>
            <w:tcW w:w="77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20" w:type="dxa"/>
            <w:vAlign w:val="bottom"/>
          </w:tcPr>
          <w:p>
            <w:pPr>
              <w:ind w:left="40"/>
              <w:spacing w:after="0"/>
              <w:rPr>
                <w:sz w:val="20"/>
                <w:szCs w:val="20"/>
                <w:color w:val="auto"/>
              </w:rPr>
            </w:pPr>
            <w:r>
              <w:rPr>
                <w:rFonts w:ascii="Arial" w:cs="Arial" w:eastAsia="Arial" w:hAnsi="Arial"/>
                <w:sz w:val="14"/>
                <w:szCs w:val="14"/>
                <w:color w:val="auto"/>
              </w:rPr>
              <w:t>Sale of operating joint venture interest to a former affiliate</w:t>
            </w:r>
          </w:p>
        </w:tc>
        <w:tc>
          <w:tcPr>
            <w:tcW w:w="28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42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7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 of loans to a former affiliate</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1"/>
        </w:trPr>
        <w:tc>
          <w:tcPr>
            <w:tcW w:w="7720" w:type="dxa"/>
            <w:vAlign w:val="bottom"/>
          </w:tcPr>
          <w:p>
            <w:pPr>
              <w:ind w:left="40"/>
              <w:spacing w:after="0"/>
              <w:rPr>
                <w:sz w:val="20"/>
                <w:szCs w:val="20"/>
                <w:color w:val="auto"/>
              </w:rPr>
            </w:pPr>
            <w:r>
              <w:rPr>
                <w:rFonts w:ascii="Arial" w:cs="Arial" w:eastAsia="Arial" w:hAnsi="Arial"/>
                <w:sz w:val="14"/>
                <w:szCs w:val="14"/>
                <w:color w:val="auto"/>
              </w:rPr>
              <w:t>Receipts on loans to a former affiliate</w:t>
            </w:r>
          </w:p>
        </w:tc>
        <w:tc>
          <w:tcPr>
            <w:tcW w:w="280" w:type="dxa"/>
            <w:vAlign w:val="bottom"/>
          </w:tcPr>
          <w:p>
            <w:pPr>
              <w:spacing w:after="0"/>
              <w:rPr>
                <w:sz w:val="16"/>
                <w:szCs w:val="16"/>
                <w:color w:val="auto"/>
              </w:rPr>
            </w:pP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50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7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policy loans</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10"/>
        </w:trPr>
        <w:tc>
          <w:tcPr>
            <w:tcW w:w="7720" w:type="dxa"/>
            <w:vAlign w:val="bottom"/>
          </w:tcPr>
          <w:p>
            <w:pPr>
              <w:ind w:left="40"/>
              <w:spacing w:after="0"/>
              <w:rPr>
                <w:sz w:val="20"/>
                <w:szCs w:val="20"/>
                <w:color w:val="auto"/>
              </w:rPr>
            </w:pPr>
            <w:r>
              <w:rPr>
                <w:rFonts w:ascii="Arial" w:cs="Arial" w:eastAsia="Arial" w:hAnsi="Arial"/>
                <w:sz w:val="14"/>
                <w:szCs w:val="14"/>
                <w:color w:val="auto"/>
              </w:rPr>
              <w:t>Net change in short-term investments</w:t>
            </w:r>
          </w:p>
        </w:tc>
        <w:tc>
          <w:tcPr>
            <w:tcW w:w="2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1,057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596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222"/>
        </w:trPr>
        <w:tc>
          <w:tcPr>
            <w:tcW w:w="7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other invested assets</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4"/>
        </w:trPr>
        <w:tc>
          <w:tcPr>
            <w:tcW w:w="7720" w:type="dxa"/>
            <w:vAlign w:val="bottom"/>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(3,683)</w:t>
            </w:r>
          </w:p>
        </w:tc>
        <w:tc>
          <w:tcPr>
            <w:tcW w:w="2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4,532</w:t>
            </w:r>
          </w:p>
        </w:tc>
        <w:tc>
          <w:tcPr>
            <w:tcW w:w="2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(7,097)</w:t>
            </w:r>
          </w:p>
        </w:tc>
        <w:tc>
          <w:tcPr>
            <w:tcW w:w="0" w:type="dxa"/>
            <w:vAlign w:val="bottom"/>
          </w:tcPr>
          <w:p>
            <w:pPr>
              <w:spacing w:after="0"/>
              <w:rPr>
                <w:sz w:val="1"/>
                <w:szCs w:val="1"/>
                <w:color w:val="auto"/>
              </w:rPr>
            </w:pPr>
          </w:p>
        </w:tc>
      </w:tr>
    </w:tbl>
    <w:p>
      <w:pPr>
        <w:spacing w:after="0" w:line="36"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229" w:right="2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15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7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40"/>
              <w:spacing w:after="0"/>
              <w:rPr>
                <w:sz w:val="20"/>
                <w:szCs w:val="20"/>
                <w:color w:val="auto"/>
              </w:rPr>
            </w:pPr>
            <w:r>
              <w:rPr>
                <w:rFonts w:ascii="Arial" w:cs="Arial" w:eastAsia="Arial" w:hAnsi="Arial"/>
                <w:sz w:val="14"/>
                <w:szCs w:val="14"/>
                <w:color w:val="auto"/>
              </w:rPr>
              <w:t>Policyholder account balances:</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Deposits</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4,381</w:t>
            </w:r>
          </w:p>
        </w:tc>
        <w:tc>
          <w:tcPr>
            <w:tcW w:w="14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10,040</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20,269</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180"/>
              <w:spacing w:after="0"/>
              <w:rPr>
                <w:sz w:val="20"/>
                <w:szCs w:val="20"/>
                <w:color w:val="auto"/>
              </w:rPr>
            </w:pPr>
            <w:r>
              <w:rPr>
                <w:rFonts w:ascii="Arial" w:cs="Arial" w:eastAsia="Arial" w:hAnsi="Arial"/>
                <w:sz w:val="14"/>
                <w:szCs w:val="14"/>
                <w:color w:val="auto"/>
              </w:rPr>
              <w:t>Withdrawals</w:t>
            </w:r>
          </w:p>
        </w:tc>
        <w:tc>
          <w:tcPr>
            <w:tcW w:w="3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(3,114)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(12,292)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(21,078)</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payables for collateral under securities loaned and other transactions</w:t>
            </w:r>
          </w:p>
        </w:tc>
        <w:tc>
          <w:tcPr>
            <w:tcW w:w="3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(3,139)</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3,121</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40"/>
              <w:spacing w:after="0"/>
              <w:rPr>
                <w:sz w:val="20"/>
                <w:szCs w:val="20"/>
                <w:color w:val="auto"/>
              </w:rPr>
            </w:pPr>
            <w:r>
              <w:rPr>
                <w:rFonts w:ascii="Arial" w:cs="Arial" w:eastAsia="Arial" w:hAnsi="Arial"/>
                <w:sz w:val="14"/>
                <w:szCs w:val="14"/>
                <w:color w:val="auto"/>
              </w:rPr>
              <w:t>Long-term debt issued</w:t>
            </w:r>
          </w:p>
        </w:tc>
        <w:tc>
          <w:tcPr>
            <w:tcW w:w="300" w:type="dxa"/>
            <w:vAlign w:val="bottom"/>
          </w:tcPr>
          <w:p>
            <w:pPr>
              <w:spacing w:after="0"/>
              <w:rPr>
                <w:sz w:val="16"/>
                <w:szCs w:val="16"/>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repaid</w:t>
            </w:r>
          </w:p>
        </w:tc>
        <w:tc>
          <w:tcPr>
            <w:tcW w:w="3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40"/>
              <w:spacing w:after="0"/>
              <w:rPr>
                <w:sz w:val="20"/>
                <w:szCs w:val="20"/>
                <w:color w:val="auto"/>
              </w:rPr>
            </w:pPr>
            <w:r>
              <w:rPr>
                <w:rFonts w:ascii="Arial" w:cs="Arial" w:eastAsia="Arial" w:hAnsi="Arial"/>
                <w:sz w:val="14"/>
                <w:szCs w:val="14"/>
                <w:color w:val="auto"/>
              </w:rPr>
              <w:t>Returns of capital (Note 3)</w:t>
            </w:r>
          </w:p>
        </w:tc>
        <w:tc>
          <w:tcPr>
            <w:tcW w:w="3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(3,425)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contributions</w:t>
            </w:r>
          </w:p>
        </w:tc>
        <w:tc>
          <w:tcPr>
            <w:tcW w:w="3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1,300</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1,688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40"/>
              <w:spacing w:after="0"/>
              <w:rPr>
                <w:sz w:val="20"/>
                <w:szCs w:val="20"/>
                <w:color w:val="auto"/>
              </w:rPr>
            </w:pPr>
            <w:r>
              <w:rPr>
                <w:rFonts w:ascii="Arial" w:cs="Arial" w:eastAsia="Arial" w:hAnsi="Arial"/>
                <w:sz w:val="14"/>
                <w:szCs w:val="14"/>
                <w:color w:val="auto"/>
              </w:rPr>
              <w:t>Capital contribution associated with the sale of operating joint venture interest to a former affiliate</w:t>
            </w:r>
          </w:p>
        </w:tc>
        <w:tc>
          <w:tcPr>
            <w:tcW w:w="30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202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paid to MetLife, Inc.</w:t>
            </w:r>
          </w:p>
        </w:tc>
        <w:tc>
          <w:tcPr>
            <w:tcW w:w="3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40"/>
              <w:spacing w:after="0"/>
              <w:rPr>
                <w:sz w:val="20"/>
                <w:szCs w:val="20"/>
                <w:color w:val="auto"/>
              </w:rPr>
            </w:pPr>
            <w:r>
              <w:rPr>
                <w:rFonts w:ascii="Arial" w:cs="Arial" w:eastAsia="Arial" w:hAnsi="Arial"/>
                <w:sz w:val="14"/>
                <w:szCs w:val="14"/>
                <w:color w:val="auto"/>
              </w:rPr>
              <w:t>Financing element on certain derivative instruments and other derivative related transactions, net</w:t>
            </w:r>
          </w:p>
        </w:tc>
        <w:tc>
          <w:tcPr>
            <w:tcW w:w="3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(149)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74"/>
        </w:trPr>
        <w:tc>
          <w:tcPr>
            <w:tcW w:w="77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3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(3,957)</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(5,113)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2,061</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780" w:type="dxa"/>
            <w:vAlign w:val="bottom"/>
          </w:tcPr>
          <w:p>
            <w:pPr>
              <w:ind w:left="40"/>
              <w:spacing w:after="0"/>
              <w:rPr>
                <w:sz w:val="20"/>
                <w:szCs w:val="20"/>
                <w:color w:val="auto"/>
              </w:rPr>
            </w:pPr>
            <w:r>
              <w:rPr>
                <w:rFonts w:ascii="Arial" w:cs="Arial" w:eastAsia="Arial" w:hAnsi="Arial"/>
                <w:sz w:val="14"/>
                <w:szCs w:val="14"/>
                <w:color w:val="auto"/>
              </w:rPr>
              <w:t>Effect of change in foreign currency exchange rates on cash and cash equivalents balances</w:t>
            </w:r>
          </w:p>
        </w:tc>
        <w:tc>
          <w:tcPr>
            <w:tcW w:w="300" w:type="dxa"/>
            <w:vAlign w:val="bottom"/>
          </w:tcPr>
          <w:p>
            <w:pPr>
              <w:spacing w:after="0"/>
              <w:rPr>
                <w:sz w:val="14"/>
                <w:szCs w:val="14"/>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Change in cash and cash equivalents</w:t>
            </w:r>
          </w:p>
        </w:tc>
        <w:tc>
          <w:tcPr>
            <w:tcW w:w="3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(3,694)</w:t>
            </w: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3,550</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40"/>
              <w:spacing w:after="0"/>
              <w:rPr>
                <w:sz w:val="20"/>
                <w:szCs w:val="20"/>
                <w:color w:val="auto"/>
              </w:rPr>
            </w:pPr>
            <w:r>
              <w:rPr>
                <w:rFonts w:ascii="Arial" w:cs="Arial" w:eastAsia="Arial" w:hAnsi="Arial"/>
                <w:sz w:val="14"/>
                <w:szCs w:val="14"/>
                <w:color w:val="auto"/>
              </w:rPr>
              <w:t>Cash and cash equivalents, beginning of year</w:t>
            </w:r>
          </w:p>
        </w:tc>
        <w:tc>
          <w:tcPr>
            <w:tcW w:w="30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5,057</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1,507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1,553</w:t>
            </w:r>
          </w:p>
        </w:tc>
        <w:tc>
          <w:tcPr>
            <w:tcW w:w="0" w:type="dxa"/>
            <w:vAlign w:val="bottom"/>
          </w:tcPr>
          <w:p>
            <w:pPr>
              <w:spacing w:after="0"/>
              <w:rPr>
                <w:sz w:val="1"/>
                <w:szCs w:val="1"/>
                <w:color w:val="auto"/>
              </w:rPr>
            </w:pPr>
          </w:p>
        </w:tc>
      </w:tr>
      <w:tr>
        <w:trPr>
          <w:trHeight w:val="74"/>
        </w:trPr>
        <w:tc>
          <w:tcPr>
            <w:tcW w:w="77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end of year</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1,363</w:t>
            </w:r>
          </w:p>
        </w:tc>
        <w:tc>
          <w:tcPr>
            <w:tcW w:w="14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5,057</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1,507</w:t>
            </w:r>
          </w:p>
        </w:tc>
        <w:tc>
          <w:tcPr>
            <w:tcW w:w="0" w:type="dxa"/>
            <w:vAlign w:val="bottom"/>
          </w:tcPr>
          <w:p>
            <w:pPr>
              <w:spacing w:after="0"/>
              <w:rPr>
                <w:sz w:val="1"/>
                <w:szCs w:val="1"/>
                <w:color w:val="auto"/>
              </w:rPr>
            </w:pPr>
          </w:p>
        </w:tc>
      </w:tr>
      <w:tr>
        <w:trPr>
          <w:trHeight w:val="60"/>
        </w:trPr>
        <w:tc>
          <w:tcPr>
            <w:tcW w:w="778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7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paid (received) for:</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180"/>
              <w:spacing w:after="0"/>
              <w:rPr>
                <w:sz w:val="20"/>
                <w:szCs w:val="20"/>
                <w:color w:val="auto"/>
              </w:rPr>
            </w:pPr>
            <w:r>
              <w:rPr>
                <w:rFonts w:ascii="Arial" w:cs="Arial" w:eastAsia="Arial" w:hAnsi="Arial"/>
                <w:sz w:val="14"/>
                <w:szCs w:val="14"/>
                <w:color w:val="auto"/>
              </w:rPr>
              <w:t>Interest</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81</w:t>
            </w:r>
          </w:p>
        </w:tc>
        <w:tc>
          <w:tcPr>
            <w:tcW w:w="140" w:type="dxa"/>
            <w:vAlign w:val="bottom"/>
          </w:tcPr>
          <w:p>
            <w:pPr>
              <w:spacing w:after="0"/>
              <w:rPr>
                <w:sz w:val="16"/>
                <w:szCs w:val="16"/>
                <w:color w:val="auto"/>
              </w:rPr>
            </w:pPr>
          </w:p>
        </w:tc>
        <w:tc>
          <w:tcPr>
            <w:tcW w:w="280" w:type="dxa"/>
            <w:vAlign w:val="bottom"/>
            <w:vMerge w:val="restart"/>
          </w:tcPr>
          <w:p>
            <w:pPr>
              <w:jc w:val="right"/>
              <w:ind w:right="128"/>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6"/>
                <w:szCs w:val="16"/>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00"/>
        </w:trPr>
        <w:tc>
          <w:tcPr>
            <w:tcW w:w="778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7780" w:type="dxa"/>
            <w:vAlign w:val="bottom"/>
            <w:shd w:val="clear" w:color="auto" w:fill="CCEEFF"/>
          </w:tcPr>
          <w:p>
            <w:pPr>
              <w:ind w:left="180"/>
              <w:spacing w:after="0" w:line="150" w:lineRule="exact"/>
              <w:rPr>
                <w:sz w:val="20"/>
                <w:szCs w:val="20"/>
                <w:color w:val="auto"/>
              </w:rPr>
            </w:pPr>
            <w:r>
              <w:rPr>
                <w:rFonts w:ascii="Arial" w:cs="Arial" w:eastAsia="Arial" w:hAnsi="Arial"/>
                <w:sz w:val="14"/>
                <w:szCs w:val="14"/>
                <w:color w:val="auto"/>
              </w:rPr>
              <w:t>Income tax</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14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60"/>
        </w:trPr>
        <w:tc>
          <w:tcPr>
            <w:tcW w:w="778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Non-cash transactions:</w:t>
            </w: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7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Transfer of fixed maturity securities from former affiliates</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4,030</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778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rPr>
              <w:t>Transfer of mortgage loans from former affiliates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780" w:type="dxa"/>
            <w:vAlign w:val="bottom"/>
            <w:vMerge w:val="continue"/>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3"/>
                <w:szCs w:val="13"/>
                <w:color w:val="auto"/>
              </w:rPr>
            </w:pPr>
          </w:p>
        </w:tc>
        <w:tc>
          <w:tcPr>
            <w:tcW w:w="280" w:type="dxa"/>
            <w:vAlign w:val="bottom"/>
            <w:vMerge w:val="restart"/>
          </w:tcPr>
          <w:p>
            <w:pPr>
              <w:jc w:val="right"/>
              <w:ind w:right="128"/>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662</w:t>
            </w:r>
          </w:p>
        </w:tc>
        <w:tc>
          <w:tcPr>
            <w:tcW w:w="100" w:type="dxa"/>
            <w:vAlign w:val="bottom"/>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0"/>
        </w:trPr>
        <w:tc>
          <w:tcPr>
            <w:tcW w:w="778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CEEFF"/>
            </w:tcBorders>
            <w:vMerge w:val="continue"/>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7780" w:type="dxa"/>
            <w:vAlign w:val="bottom"/>
            <w:shd w:val="clear" w:color="auto" w:fill="CCEEFF"/>
          </w:tcPr>
          <w:p>
            <w:pPr>
              <w:ind w:left="180"/>
              <w:spacing w:after="0" w:line="150" w:lineRule="exact"/>
              <w:rPr>
                <w:sz w:val="20"/>
                <w:szCs w:val="20"/>
                <w:color w:val="auto"/>
              </w:rPr>
            </w:pPr>
            <w:r>
              <w:rPr>
                <w:rFonts w:ascii="Arial" w:cs="Arial" w:eastAsia="Arial" w:hAnsi="Arial"/>
                <w:sz w:val="14"/>
                <w:szCs w:val="14"/>
                <w:color w:val="auto"/>
              </w:rPr>
              <w:t>Transfer of short-term investments from former affiliates</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778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rPr>
              <w:t>Transfer of fixed maturity securities to former affiliates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780" w:type="dxa"/>
            <w:vAlign w:val="bottom"/>
            <w:vMerge w:val="continue"/>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293</w:t>
            </w:r>
          </w:p>
        </w:tc>
        <w:tc>
          <w:tcPr>
            <w:tcW w:w="140" w:type="dxa"/>
            <w:vAlign w:val="bottom"/>
          </w:tcPr>
          <w:p>
            <w:pPr>
              <w:spacing w:after="0"/>
              <w:rPr>
                <w:sz w:val="13"/>
                <w:szCs w:val="13"/>
                <w:color w:val="auto"/>
              </w:rPr>
            </w:pPr>
          </w:p>
        </w:tc>
        <w:tc>
          <w:tcPr>
            <w:tcW w:w="280" w:type="dxa"/>
            <w:vAlign w:val="bottom"/>
            <w:vMerge w:val="restart"/>
          </w:tcPr>
          <w:p>
            <w:pPr>
              <w:jc w:val="right"/>
              <w:ind w:right="128"/>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0"/>
        </w:trPr>
        <w:tc>
          <w:tcPr>
            <w:tcW w:w="778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7780" w:type="dxa"/>
            <w:vAlign w:val="bottom"/>
            <w:shd w:val="clear" w:color="auto" w:fill="CCEEFF"/>
          </w:tcPr>
          <w:p>
            <w:pPr>
              <w:ind w:left="180"/>
              <w:spacing w:after="0" w:line="150" w:lineRule="exact"/>
              <w:rPr>
                <w:sz w:val="20"/>
                <w:szCs w:val="20"/>
                <w:color w:val="auto"/>
              </w:rPr>
            </w:pPr>
            <w:r>
              <w:rPr>
                <w:rFonts w:ascii="Arial" w:cs="Arial" w:eastAsia="Arial" w:hAnsi="Arial"/>
                <w:sz w:val="14"/>
                <w:szCs w:val="14"/>
                <w:color w:val="auto"/>
              </w:rPr>
              <w:t>Reduction of other invested assets in connection with affiliated reinsurance transactions</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778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rPr>
              <w:t>Reduction of policyholder account balances in connection with reinsurance transactions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780" w:type="dxa"/>
            <w:vAlign w:val="bottom"/>
            <w:vMerge w:val="continue"/>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293</w:t>
            </w:r>
          </w:p>
        </w:tc>
        <w:tc>
          <w:tcPr>
            <w:tcW w:w="140" w:type="dxa"/>
            <w:vAlign w:val="bottom"/>
          </w:tcPr>
          <w:p>
            <w:pPr>
              <w:spacing w:after="0"/>
              <w:rPr>
                <w:sz w:val="13"/>
                <w:szCs w:val="13"/>
                <w:color w:val="auto"/>
              </w:rPr>
            </w:pPr>
          </w:p>
        </w:tc>
        <w:tc>
          <w:tcPr>
            <w:tcW w:w="280" w:type="dxa"/>
            <w:vAlign w:val="bottom"/>
            <w:vMerge w:val="restart"/>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2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60" w:lineRule="exact"/>
        <w:rPr>
          <w:sz w:val="20"/>
          <w:szCs w:val="20"/>
          <w:color w:val="auto"/>
        </w:rPr>
      </w:pPr>
    </w:p>
    <w:p>
      <w:pPr>
        <w:ind w:right="5120"/>
        <w:spacing w:after="0" w:line="378" w:lineRule="auto"/>
        <w:rPr>
          <w:sz w:val="20"/>
          <w:szCs w:val="20"/>
          <w:color w:val="auto"/>
        </w:rPr>
      </w:pPr>
      <w:r>
        <w:rPr>
          <w:rFonts w:ascii="Arial" w:cs="Arial" w:eastAsia="Arial" w:hAnsi="Arial"/>
          <w:sz w:val="18"/>
          <w:szCs w:val="18"/>
          <w:b w:val="1"/>
          <w:bCs w:val="1"/>
          <w:color w:val="auto"/>
        </w:rPr>
        <w:t xml:space="preserve">1. Business, Basis of Presentation and Summary of Significant Accounting Policies </w:t>
      </w:r>
      <w:r>
        <w:rPr>
          <w:rFonts w:ascii="Arial" w:cs="Arial" w:eastAsia="Arial" w:hAnsi="Arial"/>
          <w:sz w:val="18"/>
          <w:szCs w:val="18"/>
          <w:b w:val="1"/>
          <w:bCs w:val="1"/>
          <w:i w:val="1"/>
          <w:iCs w:val="1"/>
          <w:color w:val="auto"/>
        </w:rPr>
        <w:t>Business</w:t>
      </w:r>
    </w:p>
    <w:p>
      <w:pPr>
        <w:jc w:val="both"/>
        <w:ind w:firstLine="324"/>
        <w:spacing w:after="0" w:line="264" w:lineRule="auto"/>
        <w:rPr>
          <w:sz w:val="20"/>
          <w:szCs w:val="20"/>
          <w:color w:val="auto"/>
        </w:rPr>
      </w:pPr>
      <w:r>
        <w:rPr>
          <w:rFonts w:ascii="Arial" w:cs="Arial" w:eastAsia="Arial" w:hAnsi="Arial"/>
          <w:sz w:val="18"/>
          <w:szCs w:val="18"/>
          <w:color w:val="auto"/>
        </w:rPr>
        <w:t>“BLIC” and the “Company” refer to Brighthouse Life Insurance Company, a Delaware corporation originally incorporated in Connecticut in 1863, and its subsidiaries. Brighthouse Life Insurance Company is a wholly-owned subsidiary of Brighthouse Holdings, LLC, which until July 28, 2017 was a direct wholly-owned subsidiary of MetLife, Inc. (MetLife, Inc., together with its subsidiaries and affiliates, “MetLife”).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offers a range of individual annuities and individual life insurance products. The Company reports results through three segments: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Annuities, Life and Run-off. In addition, the Company reports certain of its results in Corporate &amp; Other.</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12, 2016, MetLife, Inc. announced its plan to pursue the separation of a substantial portion of its former U.S. retail business (the “Separation”). Additionally, on July 21, 2016, MetLife, Inc. announced that the separated business would be rebranded as “Brighthouse Financial.” Effective March 6, 2017, and in connection with the Separation, the Company changed its name from MetLife Insurance Company USA to Brighthouse Life Insurance Company.</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October 5, 2016, Brighthouse Financial, Inc. (together with its subsidiaries and affiliates, “Brighthouse”), which until the completion of the Separation on August 4, 2017, was a wholly-owned subsidiary of MetLife, Inc., filed a registration statement on Form 10 (as amended, the “Form 10”) with the U.S. Securities and Exchange Commission (“SEC”) that was declared effective by the SEC on July 6, 2017. The Form 10 disclosed MetLife, Inc.’s plans to undertake several actions, including an internal reorganization involving its U.S. retail business (the “Restructuring”) and include Brighthouse Life Insurance Company and certain affiliates in the planned separated business and distribute at least 80.1% of the shares of Brighthouse Financial, Inc.’s common stock on a pro rata basis to the holders of MetLife, Inc. common stock. In connection with the Restructuring, effective April 2017, following receipt of applicable regulatory approvals, MetLife, Inc. contributed certain affiliated reinsurance companies and Brighthouse Life Insurance Company of NY (“BHNY”) to Brighthouse Life Insurance Company (the “Contribution Transactions”). The affiliated reinsurance companies were then merged into Brighthouse Reinsurance Company of Delaware (“BRCD”), a licensed reinsurance subsidiary of Brighthouse Life Insurance Company. See Note 3 for further information on this change, which was applied retrospectively. On July 28, 2017, MetLife, Inc. contributed Brighthouse Holdings, LLC to Brighthouse Financial, Inc., resulting in Brighthouse Life Insurance Company becoming an indirect wholly-owned subsidiary of Brighthouse Financial, Inc. On August 4, 2017, MetLife, Inc. completed the Separation through a distribution of 96,776,670 of the 119,773,106 shares of the common stock of Brighthouse Financial, Inc., representing 80.8% of MetLife Inc.’s interest in Brighthouse Financial, Inc., to holders of MetLife, Inc. common stock.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Consolidation</w:t>
      </w:r>
    </w:p>
    <w:p>
      <w:pPr>
        <w:spacing w:after="0" w:line="117" w:lineRule="exact"/>
        <w:rPr>
          <w:sz w:val="20"/>
          <w:szCs w:val="20"/>
          <w:color w:val="auto"/>
        </w:rPr>
      </w:pPr>
    </w:p>
    <w:p>
      <w:pPr>
        <w:jc w:val="both"/>
        <w:ind w:left="180" w:right="20" w:firstLine="324"/>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Brighthouse Life Insurance Company and its subsidiaries, as well as partnerships and joint ventures in which the Company has control, and variable interest entities (“VIEs”) for which the Company is the primary beneficiary. Intercompany accounts and transactions have been eliminated.</w:t>
      </w:r>
    </w:p>
    <w:p>
      <w:pPr>
        <w:spacing w:after="0" w:line="73"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The Company uses the equity method of accounting for equity securities when it has significant influence or at least 20% interest and for real estate joint ventures and other limited partnership interests (“investee”)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The Company uses the cost method of accounting for investments in which it has virtually no influence over the investee’s operations.</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Since the Company is a member of a controlled group of affiliated companies, its results may not be indicative of those of a stand-alone entity.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2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Reclassifications</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Certain amounts in the prior years’ consolidated financial statements and related footnotes thereto have been reclassified to conform with the current year presentation as discussed throughout the Notes to the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are the Company’s significant accounting policies with references to notes providing additional information on such policies and critical accounting estimates relating to such policies.</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99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Accounting Policy</w:t>
            </w:r>
          </w:p>
        </w:tc>
        <w:tc>
          <w:tcPr>
            <w:tcW w:w="148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6"/>
                <w:szCs w:val="16"/>
                <w:b w:val="1"/>
                <w:bCs w:val="1"/>
                <w:color w:val="auto"/>
              </w:rPr>
              <w:t>Note</w:t>
            </w:r>
          </w:p>
        </w:tc>
      </w:tr>
      <w:tr>
        <w:trPr>
          <w:trHeight w:val="33"/>
        </w:trPr>
        <w:tc>
          <w:tcPr>
            <w:tcW w:w="996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17"/>
        </w:trPr>
        <w:tc>
          <w:tcPr>
            <w:tcW w:w="9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Insurance</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4</w:t>
            </w:r>
          </w:p>
        </w:tc>
      </w:tr>
      <w:tr>
        <w:trPr>
          <w:trHeight w:val="33"/>
        </w:trPr>
        <w:tc>
          <w:tcPr>
            <w:tcW w:w="996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17"/>
        </w:trPr>
        <w:tc>
          <w:tcPr>
            <w:tcW w:w="9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Deferred Policy Acquisition Costs, Value of Business Acquired and Other Intangibles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w:t>
            </w:r>
          </w:p>
        </w:tc>
      </w:tr>
      <w:tr>
        <w:trPr>
          <w:trHeight w:val="33"/>
        </w:trPr>
        <w:tc>
          <w:tcPr>
            <w:tcW w:w="996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17"/>
        </w:trPr>
        <w:tc>
          <w:tcPr>
            <w:tcW w:w="9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Reinsurance</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6</w:t>
            </w:r>
          </w:p>
        </w:tc>
      </w:tr>
      <w:tr>
        <w:trPr>
          <w:trHeight w:val="33"/>
        </w:trPr>
        <w:tc>
          <w:tcPr>
            <w:tcW w:w="996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17"/>
        </w:trPr>
        <w:tc>
          <w:tcPr>
            <w:tcW w:w="9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Investments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7</w:t>
            </w:r>
          </w:p>
        </w:tc>
      </w:tr>
      <w:tr>
        <w:trPr>
          <w:trHeight w:val="33"/>
        </w:trPr>
        <w:tc>
          <w:tcPr>
            <w:tcW w:w="996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17"/>
        </w:trPr>
        <w:tc>
          <w:tcPr>
            <w:tcW w:w="9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Derivatives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8</w:t>
            </w:r>
          </w:p>
        </w:tc>
      </w:tr>
      <w:tr>
        <w:trPr>
          <w:trHeight w:val="33"/>
        </w:trPr>
        <w:tc>
          <w:tcPr>
            <w:tcW w:w="996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17"/>
        </w:trPr>
        <w:tc>
          <w:tcPr>
            <w:tcW w:w="9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Fair Value</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9</w:t>
            </w:r>
          </w:p>
        </w:tc>
      </w:tr>
      <w:tr>
        <w:trPr>
          <w:trHeight w:val="33"/>
        </w:trPr>
        <w:tc>
          <w:tcPr>
            <w:tcW w:w="996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17"/>
        </w:trPr>
        <w:tc>
          <w:tcPr>
            <w:tcW w:w="9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Income Tax</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13</w:t>
            </w:r>
          </w:p>
        </w:tc>
      </w:tr>
      <w:tr>
        <w:trPr>
          <w:trHeight w:val="33"/>
        </w:trPr>
        <w:tc>
          <w:tcPr>
            <w:tcW w:w="996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17"/>
        </w:trPr>
        <w:tc>
          <w:tcPr>
            <w:tcW w:w="9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Litigation Contingencies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14</w:t>
            </w:r>
          </w:p>
        </w:tc>
      </w:tr>
      <w:tr>
        <w:trPr>
          <w:trHeight w:val="33"/>
        </w:trPr>
        <w:tc>
          <w:tcPr>
            <w:tcW w:w="996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Insurance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Future Policy Benefit Liabilities and Policyholder Account Balances</w:t>
      </w:r>
    </w:p>
    <w:p>
      <w:pPr>
        <w:spacing w:after="0" w:line="117" w:lineRule="exact"/>
        <w:rPr>
          <w:sz w:val="20"/>
          <w:szCs w:val="20"/>
          <w:color w:val="auto"/>
        </w:rPr>
      </w:pPr>
    </w:p>
    <w:p>
      <w:pPr>
        <w:jc w:val="both"/>
        <w:ind w:left="340" w:right="20" w:firstLine="324"/>
        <w:spacing w:after="0" w:line="297" w:lineRule="auto"/>
        <w:rPr>
          <w:sz w:val="20"/>
          <w:szCs w:val="20"/>
          <w:color w:val="auto"/>
        </w:rPr>
      </w:pPr>
      <w:r>
        <w:rPr>
          <w:rFonts w:ascii="Arial" w:cs="Arial" w:eastAsia="Arial" w:hAnsi="Arial"/>
          <w:sz w:val="16"/>
          <w:szCs w:val="16"/>
          <w:color w:val="auto"/>
        </w:rPr>
        <w:t>The Company establishes liabilities for future amounts payable under insurance policies. Insurance liabilities are generally calculated as the present value of future expected benefits to be paid, reduced by the present value of future expected premiums. Such liabilities are established based on methods and underlying assumptions that are in accordance with GAAP and applicable actuarial standards. The principal assumptions used in the establishment of liabilities for future policy benefits are mortality, morbidity, benefit utilization and withdrawals, policy lapse, retirement, disability incidence, disability terminations, investment returns, inflation, expenses and other contingent events as appropriate to the respective product type.</w:t>
      </w:r>
    </w:p>
    <w:p>
      <w:pPr>
        <w:spacing w:after="0" w:line="50" w:lineRule="exact"/>
        <w:rPr>
          <w:sz w:val="20"/>
          <w:szCs w:val="20"/>
          <w:color w:val="auto"/>
        </w:rPr>
      </w:pPr>
    </w:p>
    <w:p>
      <w:pPr>
        <w:jc w:val="both"/>
        <w:ind w:left="340" w:right="20" w:firstLine="324"/>
        <w:spacing w:after="0" w:line="273" w:lineRule="auto"/>
        <w:rPr>
          <w:sz w:val="20"/>
          <w:szCs w:val="20"/>
          <w:color w:val="auto"/>
        </w:rPr>
      </w:pPr>
      <w:r>
        <w:rPr>
          <w:rFonts w:ascii="Arial" w:cs="Arial" w:eastAsia="Arial" w:hAnsi="Arial"/>
          <w:sz w:val="17"/>
          <w:szCs w:val="17"/>
          <w:color w:val="auto"/>
        </w:rPr>
        <w:t>For traditional long duration insurance contracts (term and whole-life insurance and immediate annuities), assumptions are determined at issuance of the policy and remain “locked-in” unless a premium deficiency exists. A premium deficiency exists when the liability for future policy benefits plus the present value of expected future gross premiums are less than expected future benefits and expenses (based on current assumptions). When a premium deficiency exists, the Company will reduce any deferred acquisition costs and may also establish an additional liability to eliminate the deficiency. To assess whether a premium deficiency exists, the Company groups insurance contracts based on the manner acquired, serviced and the measurement of profitability. In applying the profitability criteria, groupings are limited by segment.</w:t>
      </w:r>
    </w:p>
    <w:p>
      <w:pPr>
        <w:spacing w:after="0" w:line="70" w:lineRule="exact"/>
        <w:rPr>
          <w:sz w:val="20"/>
          <w:szCs w:val="20"/>
          <w:color w:val="auto"/>
        </w:rPr>
      </w:pPr>
    </w:p>
    <w:p>
      <w:pPr>
        <w:jc w:val="both"/>
        <w:ind w:left="340" w:right="20" w:firstLine="324"/>
        <w:spacing w:after="0" w:line="273" w:lineRule="auto"/>
        <w:rPr>
          <w:sz w:val="20"/>
          <w:szCs w:val="20"/>
          <w:color w:val="auto"/>
        </w:rPr>
      </w:pPr>
      <w:r>
        <w:rPr>
          <w:rFonts w:ascii="Arial" w:cs="Arial" w:eastAsia="Arial" w:hAnsi="Arial"/>
          <w:sz w:val="17"/>
          <w:szCs w:val="17"/>
          <w:color w:val="auto"/>
        </w:rPr>
        <w:t>Liabilities for universal life insurance with secondary guarantees are determined by estimating the expected value of death benefits payable when the account balance is projected to be zero and recognizing those benefits ratably over the contract period based on total expected assessments. The assumptions used in estimating the secondary guarantee liabilities are consistent with those used for amortizing deferred policy acquisition costs (“DAC”), and are reviewed and updated at least annually. The assumptions of investment performance and volatility for variable products are consistent with historical experience of the appropriate underlying equity indices, such as the Standard &amp; Poor’s Global Ratings (“S&amp;P”) 500 Index. The benefits used in calculating the liabilities are based on the average benefits payable over a range of scenarios.</w:t>
      </w:r>
    </w:p>
    <w:p>
      <w:pPr>
        <w:spacing w:after="0" w:line="70" w:lineRule="exact"/>
        <w:rPr>
          <w:sz w:val="20"/>
          <w:szCs w:val="20"/>
          <w:color w:val="auto"/>
        </w:rPr>
      </w:pPr>
    </w:p>
    <w:p>
      <w:pPr>
        <w:jc w:val="both"/>
        <w:ind w:left="340" w:right="20" w:firstLine="324"/>
        <w:spacing w:after="0" w:line="264" w:lineRule="auto"/>
        <w:rPr>
          <w:sz w:val="20"/>
          <w:szCs w:val="20"/>
          <w:color w:val="auto"/>
        </w:rPr>
      </w:pPr>
      <w:r>
        <w:rPr>
          <w:rFonts w:ascii="Arial" w:cs="Arial" w:eastAsia="Arial" w:hAnsi="Arial"/>
          <w:sz w:val="18"/>
          <w:szCs w:val="18"/>
          <w:color w:val="auto"/>
        </w:rPr>
        <w:t>In certain cases, the liability for an insurance product may be sufficient in the aggregate, but the pattern of future earnings may result in profits followed by losses. In these situations, the Company may establish an additional liability to offset the losses that are expected to be recognized in later years.</w:t>
      </w:r>
    </w:p>
    <w:p>
      <w:pPr>
        <w:spacing w:after="0" w:line="73" w:lineRule="exact"/>
        <w:rPr>
          <w:sz w:val="20"/>
          <w:szCs w:val="20"/>
          <w:color w:val="auto"/>
        </w:rPr>
      </w:pPr>
    </w:p>
    <w:p>
      <w:pPr>
        <w:jc w:val="both"/>
        <w:ind w:left="340" w:right="40" w:firstLine="324"/>
        <w:spacing w:after="0" w:line="277" w:lineRule="auto"/>
        <w:rPr>
          <w:sz w:val="20"/>
          <w:szCs w:val="20"/>
          <w:color w:val="auto"/>
        </w:rPr>
      </w:pPr>
      <w:r>
        <w:rPr>
          <w:rFonts w:ascii="Arial" w:cs="Arial" w:eastAsia="Arial" w:hAnsi="Arial"/>
          <w:sz w:val="18"/>
          <w:szCs w:val="18"/>
          <w:color w:val="auto"/>
        </w:rPr>
        <w:t>Policyholder account balances relate to customer deposits on universal life insurance and fixed and variable deferred annuity contracts and are equal to the sum of deposits, plus interest credited, less charges and withdrawals.</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40"/>
          </w:cols>
          <w:pgMar w:left="240" w:top="229" w:right="2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64"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See “— Variable Annuity Guarantees” for additional information on the Company’s variable annuity guarantee features that are accounted for as insurance liabilities and recorded in future policy benefits, as well as the guarantee features that are accounted for at fair value as embedded derivatives and recorded in policyholder account balances.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Recognition of Insurance Revenues and Deposits</w:t>
      </w:r>
    </w:p>
    <w:p>
      <w:pPr>
        <w:spacing w:after="0" w:line="117" w:lineRule="exact"/>
        <w:rPr>
          <w:sz w:val="20"/>
          <w:szCs w:val="20"/>
          <w:color w:val="auto"/>
        </w:rPr>
      </w:pPr>
    </w:p>
    <w:p>
      <w:pPr>
        <w:jc w:val="both"/>
        <w:ind w:left="340" w:firstLine="324"/>
        <w:spacing w:after="0" w:line="312" w:lineRule="auto"/>
        <w:rPr>
          <w:sz w:val="20"/>
          <w:szCs w:val="20"/>
          <w:color w:val="auto"/>
        </w:rPr>
      </w:pPr>
      <w:r>
        <w:rPr>
          <w:rFonts w:ascii="Arial" w:cs="Arial" w:eastAsia="Arial" w:hAnsi="Arial"/>
          <w:sz w:val="16"/>
          <w:szCs w:val="16"/>
          <w:color w:val="auto"/>
        </w:rPr>
        <w:t>Premiums related to traditional life insurance and annuity contracts with life contingencies are recognized as revenues when due from policyholders. When premiums are due over a significantly shorter period than the period over which policyholder benefits are incurred, any excess profit is deferred and recognized into earnings in proportion to insurance in-force or, for annuities, the amount of expected future policy benefit payments.</w:t>
      </w:r>
    </w:p>
    <w:p>
      <w:pPr>
        <w:spacing w:after="0" w:line="39" w:lineRule="exact"/>
        <w:rPr>
          <w:sz w:val="20"/>
          <w:szCs w:val="20"/>
          <w:color w:val="auto"/>
        </w:rPr>
      </w:pPr>
    </w:p>
    <w:p>
      <w:pPr>
        <w:jc w:val="both"/>
        <w:ind w:left="340" w:right="20" w:firstLine="324"/>
        <w:spacing w:after="0" w:line="259" w:lineRule="auto"/>
        <w:rPr>
          <w:sz w:val="20"/>
          <w:szCs w:val="20"/>
          <w:color w:val="auto"/>
        </w:rPr>
      </w:pPr>
      <w:r>
        <w:rPr>
          <w:rFonts w:ascii="Arial" w:cs="Arial" w:eastAsia="Arial" w:hAnsi="Arial"/>
          <w:sz w:val="18"/>
          <w:szCs w:val="18"/>
          <w:color w:val="auto"/>
        </w:rPr>
        <w:t>Deposits related to universal life insurance, fixed and variable deferred annuity contracts and investment-type products are credited to policyholder account balances. Revenues from such contracts consist of asset-based investment management fees, mortality charges, risk charges, policy administration fees and surrender charges. These fees are recognized when assessed to the contract holder and are included in universal life and investment-type product policy fees on the statements of operations.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Premiums, policy fees, policyholder benefits and expenses are presented net of reinsurance.</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Deferred Policy Acquisition Costs, Value of Business Acquired and Other Intangibles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Company incurs significant costs in connection with acquiring new and renewal insurance business. Costs that are related directly to the successful acquisition or renewal of insurance contracts are capitalized as DAC. Such costs include:</w:t>
      </w:r>
    </w:p>
    <w:p>
      <w:pPr>
        <w:spacing w:after="0" w:line="62" w:lineRule="exact"/>
        <w:rPr>
          <w:sz w:val="20"/>
          <w:szCs w:val="20"/>
          <w:color w:val="auto"/>
        </w:rPr>
      </w:pPr>
    </w:p>
    <w:p>
      <w:pPr>
        <w:ind w:left="560" w:hanging="322"/>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incremental direct costs of contract acquisition, such as commissions;</w:t>
      </w:r>
    </w:p>
    <w:p>
      <w:pPr>
        <w:spacing w:after="0" w:line="117" w:lineRule="exact"/>
        <w:rPr>
          <w:rFonts w:ascii="Arial" w:cs="Arial" w:eastAsia="Arial" w:hAnsi="Arial"/>
          <w:sz w:val="18"/>
          <w:szCs w:val="18"/>
          <w:color w:val="auto"/>
        </w:rPr>
      </w:pPr>
    </w:p>
    <w:p>
      <w:pPr>
        <w:ind w:left="560" w:right="20" w:hanging="322"/>
        <w:spacing w:after="0" w:line="277" w:lineRule="auto"/>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portion of an employee’s total compensation and benefits related to time spent selling, underwriting or processing the issuance of new and renewal insurance business only with respect to actual policies acquired or renewed; and</w:t>
      </w:r>
    </w:p>
    <w:p>
      <w:pPr>
        <w:spacing w:after="0" w:line="62" w:lineRule="exact"/>
        <w:rPr>
          <w:rFonts w:ascii="Arial" w:cs="Arial" w:eastAsia="Arial" w:hAnsi="Arial"/>
          <w:sz w:val="18"/>
          <w:szCs w:val="18"/>
          <w:color w:val="auto"/>
        </w:rPr>
      </w:pPr>
    </w:p>
    <w:p>
      <w:pPr>
        <w:ind w:left="560" w:hanging="322"/>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essential direct costs that would not have been incurred had a policy not been acquired or renewed;</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All other acquisition-related costs, including those related to general advertising and solicitation, market research, agent training, product development, unsuccessful sales and underwriting efforts, as well as all indirect costs, are expensed as incurred.</w:t>
      </w:r>
    </w:p>
    <w:p>
      <w:pPr>
        <w:spacing w:after="0" w:line="62"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Value of business acquired (“VOBA”) is an intangible asset resulting from a business combination that represents the excess of book value over the estimated fair value of acquired insurance, annuity, and investment-type contracts in-force as of the acquisition date. The estimated fair value of the acquired liabilities is based on projections, by each block of business, of future policy and contract charges, premiums, mortality and morbidity, separate account performance, surrenders, operating expenses, investment returns, nonperformance risk adjustment and other factors. Actual experience on the purchased business may vary from these projections.</w:t>
      </w:r>
    </w:p>
    <w:p>
      <w:pPr>
        <w:spacing w:after="0" w:line="80" w:lineRule="exact"/>
        <w:rPr>
          <w:sz w:val="20"/>
          <w:szCs w:val="20"/>
          <w:color w:val="auto"/>
        </w:rPr>
      </w:pPr>
    </w:p>
    <w:p>
      <w:pPr>
        <w:jc w:val="both"/>
        <w:ind w:left="180" w:firstLine="324"/>
        <w:spacing w:after="0" w:line="312" w:lineRule="auto"/>
        <w:rPr>
          <w:sz w:val="20"/>
          <w:szCs w:val="20"/>
          <w:color w:val="auto"/>
        </w:rPr>
      </w:pPr>
      <w:r>
        <w:rPr>
          <w:rFonts w:ascii="Arial" w:cs="Arial" w:eastAsia="Arial" w:hAnsi="Arial"/>
          <w:sz w:val="16"/>
          <w:szCs w:val="16"/>
          <w:color w:val="auto"/>
        </w:rPr>
        <w:t>DAC and VOBA on traditional long-duration insurance contracts is amortized based on actual and expected future gross premiums while DAC and VOBA on fixed and variable universal life insurance and deferred annuities is amortized based on estimated gross profits. The recoverability of DAC and VOBA is dependent upon the future profitability of the related business. DAC and VOBA are aggregated on the financial statements for reporting purposes.</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5 for additional information on DAC and VOBA amortization.</w:t>
      </w:r>
    </w:p>
    <w:p>
      <w:pPr>
        <w:spacing w:after="0" w:line="117" w:lineRule="exact"/>
        <w:rPr>
          <w:sz w:val="20"/>
          <w:szCs w:val="20"/>
          <w:color w:val="auto"/>
        </w:rPr>
      </w:pPr>
    </w:p>
    <w:p>
      <w:pPr>
        <w:jc w:val="both"/>
        <w:ind w:left="180" w:firstLine="324"/>
        <w:spacing w:after="0" w:line="293" w:lineRule="auto"/>
        <w:rPr>
          <w:sz w:val="20"/>
          <w:szCs w:val="20"/>
          <w:color w:val="auto"/>
        </w:rPr>
      </w:pPr>
      <w:r>
        <w:rPr>
          <w:rFonts w:ascii="Arial" w:cs="Arial" w:eastAsia="Arial" w:hAnsi="Arial"/>
          <w:sz w:val="16"/>
          <w:szCs w:val="16"/>
          <w:color w:val="auto"/>
        </w:rPr>
        <w:t>The Company also has deferred sales inducements (“DSI”) and value of distribution agreements (“VODA”) which are included in other assets. The Company defers sales inducements and amortizes them over the life of the policy using the same methodology and assumptions used to amortize DAC. The amortization of DSI is included in policyholder benefits and claims. VODA represents the present value of expected future profits associated with the expected future business derived from the distribution agreements acquired as part of a business combination. The VODA associated with past business combinations is amortized over useful lives ranging from 10 to 40 years and such amortization is included in other expenses. Each year, or more frequently if circumstances indicate a possible impairment exists, the Company reviews DSI and VODA to determine whether the assets are impaired.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2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Reinsurance</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For each of its reinsurance agreements, the Company determines whether the agreement provides indemnification against loss or liability relating to insurance risk in accordance with applicable accounting standards. Cessions under reinsurance agreements do not discharge the Company’s obligations as the primary insurer. The Company reviews all contractual features, including those that may limit the amount of insurance risk to which the reinsurer is subject or features that delay the timely reimbursement of claims.</w:t>
      </w:r>
    </w:p>
    <w:p>
      <w:pPr>
        <w:spacing w:after="0" w:line="79" w:lineRule="exact"/>
        <w:rPr>
          <w:sz w:val="20"/>
          <w:szCs w:val="20"/>
          <w:color w:val="auto"/>
        </w:rPr>
      </w:pPr>
    </w:p>
    <w:p>
      <w:pPr>
        <w:jc w:val="both"/>
        <w:ind w:left="180" w:firstLine="324"/>
        <w:spacing w:after="0" w:line="271" w:lineRule="auto"/>
        <w:rPr>
          <w:sz w:val="20"/>
          <w:szCs w:val="20"/>
          <w:color w:val="auto"/>
        </w:rPr>
      </w:pPr>
      <w:r>
        <w:rPr>
          <w:rFonts w:ascii="Arial" w:cs="Arial" w:eastAsia="Arial" w:hAnsi="Arial"/>
          <w:sz w:val="17"/>
          <w:szCs w:val="17"/>
          <w:color w:val="auto"/>
        </w:rPr>
        <w:t>For reinsurance of existing in-force blocks of long-duration contracts that transfer significant insurance risk, the difference, if any, between the amounts paid (received), and the liabilities ceded (assumed) related to the underlying contracts is considered the net cost of reinsurance at the inception of the reinsurance agreement. The net cost of reinsurance is recorded as an adjustment to DAC when there is a gain at inception on the ceding entity and to other liabilities when there is a loss at inception. The net cost of reinsurance is recognized as a component of other expenses when there is a gain at inception and as policyholder benefits and claims when there is a loss and is subsequently amortized on a basis consistent with the methodology used for amortizing DAC related to the underlying reinsured contracts. Subsequent amounts paid (received) on the reinsurance of in-force blocks, as well as amounts paid (received) related to new business, are recorded as ceded (assumed) premiums and ceded (assumed) premiums, reinsurance and other receivables (future policy benefits) are established.</w:t>
      </w:r>
    </w:p>
    <w:p>
      <w:pPr>
        <w:spacing w:after="0" w:line="71"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Amounts currently recoverable under reinsurance agreements are included in premiums, reinsurance and other receivables and amounts currently payable are included in other liabilities. Assets and liabilities relating to reinsurance agreements with the same reinsurer may be recorded net on the balance sheet, if a right of offset exists within the reinsurance agreement. If reinsurers do not meet their obligations to the Company under the terms of the reinsurance agreements, reinsurance recoverable balances could become uncollectible. In such instances, reinsurance recoverable balances are stated net of allowances for uncollectible reinsurance.</w:t>
      </w:r>
    </w:p>
    <w:p>
      <w:pPr>
        <w:spacing w:after="0" w:line="80"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funds withheld liability represents amounts withheld by the Company in accordance with the terms of the reinsurance agreements. Under certain reinsurance agreements, the Company withholds the funds rather than transferring the underlying investments and, as a result, records funds withheld liability within other liabilities. The Company recognizes interest on funds withheld, included in other expenses, at rates defined by the terms of the agreement which may be contractually specified or directly related to the investment portfolio.</w:t>
      </w:r>
    </w:p>
    <w:p>
      <w:pPr>
        <w:spacing w:after="0" w:line="79"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Premiums, fees and policyholder benefits and claims include amounts assumed under reinsurance agreements and are net of reinsurance ceded. Amounts received from reinsurers for policy administration are reported in other revenues. With respect to guaranteed minimum income benefits (“GMIBs”), a portion of the directly written GMIBs are accounted for as insurance liabilities, but the associated reinsurance agreements contain embedded derivatives. These embedded derivatives are included in premiums, reinsurance and other receivables with changes in estimated fair value reported in net derivative gains (losses).</w:t>
      </w:r>
    </w:p>
    <w:p>
      <w:pPr>
        <w:spacing w:after="0" w:line="80" w:lineRule="exact"/>
        <w:rPr>
          <w:sz w:val="20"/>
          <w:szCs w:val="20"/>
          <w:color w:val="auto"/>
        </w:rPr>
      </w:pPr>
    </w:p>
    <w:p>
      <w:pPr>
        <w:jc w:val="both"/>
        <w:ind w:left="180" w:firstLine="324"/>
        <w:spacing w:after="0" w:line="291" w:lineRule="auto"/>
        <w:rPr>
          <w:sz w:val="20"/>
          <w:szCs w:val="20"/>
          <w:color w:val="auto"/>
        </w:rPr>
      </w:pPr>
      <w:r>
        <w:rPr>
          <w:rFonts w:ascii="Arial" w:cs="Arial" w:eastAsia="Arial" w:hAnsi="Arial"/>
          <w:sz w:val="16"/>
          <w:szCs w:val="16"/>
          <w:color w:val="auto"/>
        </w:rPr>
        <w:t>If the Company determines that a reinsurance agreement does not expose the reinsurer to a reasonable possibility of a significant loss from insurance risk, the Company records the agreement using the deposit method of accounting. Deposits received are included in other liabilities and deposits made are included within premiums, reinsurance and other receivables. As amounts are paid or received, consistent with the underlying contracts, the deposit assets or liabilities are adjusted. Interest on such deposits is recorded as other revenues or other expenses, as appropriate. Periodically, the Company evaluates the adequacy of the expected payments or recoveries and adjusts the deposit asset or liability through other revenues or other expenses, as appropriate. Certain previously assumed non-life contingent portion of guaranteed minimum withdrawal benefits (“GMWBs”), guaranteed minimum accumulation benefits (“GMABs”) and GMIBs are also accounted for as embedded derivatives with changes in estimated fair value reported in net derivative gains (losses).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Variable Annuity Guarantees</w:t>
      </w:r>
    </w:p>
    <w:p>
      <w:pPr>
        <w:spacing w:after="0" w:line="117"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The Company issues directly and previously assumed from a former affiliate through reinsurance certain variable annuity products with guaranteed minimum benefits that provide the policyholder a minimum return based on their initial deposit (the “Benefit Base”) less withdrawals. In some cases, the Benefit Base may be increased by additional deposits, bonus amounts, accruals or optional market value step-ups.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2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64" w:lineRule="exact"/>
        <w:rPr>
          <w:sz w:val="20"/>
          <w:szCs w:val="20"/>
          <w:color w:val="auto"/>
        </w:rPr>
      </w:pPr>
    </w:p>
    <w:p>
      <w:pPr>
        <w:jc w:val="both"/>
        <w:ind w:left="180" w:firstLine="324"/>
        <w:spacing w:after="0" w:line="271" w:lineRule="auto"/>
        <w:rPr>
          <w:sz w:val="20"/>
          <w:szCs w:val="20"/>
          <w:color w:val="auto"/>
        </w:rPr>
      </w:pPr>
      <w:r>
        <w:rPr>
          <w:rFonts w:ascii="Arial" w:cs="Arial" w:eastAsia="Arial" w:hAnsi="Arial"/>
          <w:sz w:val="17"/>
          <w:szCs w:val="17"/>
          <w:color w:val="auto"/>
        </w:rPr>
        <w:t>Certain of the Company’s variable annuity guarantee features are accounted for as insurance liabilities and recorded in future policy benefits while others are accounted for at fair value as embedded derivatives and recorded in policyholder account balances. Generally, a guarantee is accounted for as an insurance liability if the guarantee is paid only upon either (i) the occurrence of a specific insurable event, or (ii) annuitization. Alternatively, a guarantee is accounted for as an embedded derivative if a guarantee is paid without requiring (i) the occurrence of specific insurable event, or (ii) the policyholder to annuitize, that is, the policyholder can receive the guarantee on a net basis. In certain cases, a guarantee may have elements of both an insurance liability and an embedded derivative and in such cases the guarantee is split and accounted for under both models. Further, changes in assumptions, principally involving behavior, can result in a change of expected future cash outflows of a guarantee between portions accounted for as insurance liabilities and portions accounted for as embedded derivatives.</w:t>
      </w:r>
    </w:p>
    <w:p>
      <w:pPr>
        <w:spacing w:after="0" w:line="71"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Guarantees accounted for as insurance liabilities in future policy benefits include guaranteed minimum death benefits (“GMDBs”), the life contingent portion of the GMWBs and the portion of the GMIBs that require annuitization, as well as the life contingent portion of the expected annuitization when the policyholder is forced into an annuitization upon depletion of their account value.</w:t>
      </w:r>
    </w:p>
    <w:p>
      <w:pPr>
        <w:spacing w:after="0" w:line="73" w:lineRule="exact"/>
        <w:rPr>
          <w:sz w:val="20"/>
          <w:szCs w:val="20"/>
          <w:color w:val="auto"/>
        </w:rPr>
      </w:pPr>
    </w:p>
    <w:p>
      <w:pPr>
        <w:jc w:val="both"/>
        <w:ind w:left="180" w:firstLine="324"/>
        <w:spacing w:after="0" w:line="271" w:lineRule="auto"/>
        <w:rPr>
          <w:sz w:val="20"/>
          <w:szCs w:val="20"/>
          <w:color w:val="auto"/>
        </w:rPr>
      </w:pPr>
      <w:r>
        <w:rPr>
          <w:rFonts w:ascii="Arial" w:cs="Arial" w:eastAsia="Arial" w:hAnsi="Arial"/>
          <w:sz w:val="17"/>
          <w:szCs w:val="17"/>
          <w:color w:val="auto"/>
        </w:rPr>
        <w:t>These insurance liabilities are accrued over the accumulation phase of the contract in proportion to actual and future expected policy assessments based on the level of guaranteed minimum benefits generated using multiple scenarios of separate account returns. The scenarios are based on best estimate assumptions consistent with those used to amortize DAC. When current estimates of future benefits exceed those previously projected or when current estimates of future assessments are lower than those previously projected, liabilities will increase, resulting in a current period charge to net income. The opposite result occurs when the current estimates of future benefits are lower than those previously projected or when current estimates of future assessments exceed those previously projected. At each reporting period, the actual amount of business remaining in-force is updated, which impacts expected future assessments and the projection of estimated future benefits resulting in a current period charge or increase to earnings. See Note 4 for additional details of guarantees accounted for as insurance liabilities.</w:t>
      </w:r>
    </w:p>
    <w:p>
      <w:pPr>
        <w:spacing w:after="0" w:line="71"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Guarantees accounted for as embedded derivatives in policyholder account balances include the non-life contingent portion of GMWBs, GMABs, and for GMIBs the non-life contingent portion of the expected annuitization when the policyholder is forced into an annuitization upon depletion of their account value, as well as the Guaranteed Principal Option.</w:t>
      </w:r>
    </w:p>
    <w:p>
      <w:pPr>
        <w:spacing w:after="0" w:line="73"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The estimated fair values of guarantees accounted for as embedded derivatives are determined based on the present value of projected future benefits minus the present value of projected future fees. At policy inception, the Company attributes to the embedded derivative a portion of the projected future guarantee fees to be collected from the policyholder equal to the present value of projected future guaranteed benefits. Any additional fees represent “excess” fees and are reported in universal life and investment-type product policy fees. In valuing the embedded derivative, the percentage of fees included in the fair value measurement is locked-in at inception.</w:t>
      </w:r>
    </w:p>
    <w:p>
      <w:pPr>
        <w:spacing w:after="0" w:line="80"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The projections of future benefits and future fees require capital market and actuarial assumptions including expectations concerning policyholder behavior. A risk neutral valuation methodology is used to project the cash flows from the guarantees under multiple capital market scenarios to determine an economic liability. The reported estimated fair value is then determined by taking the present value of these risk-free generated cash flows using a discount rate that incorporates a spread over the risk-free rate to reflect the Company’s nonperformance risk and adding a risk margin. For more information on the determination of estimated fair value. See Note 9.</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Investments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Net Investment Income and Net Investment Gains (Losses)</w:t>
      </w:r>
    </w:p>
    <w:p>
      <w:pPr>
        <w:spacing w:after="0" w:line="117" w:lineRule="exact"/>
        <w:rPr>
          <w:sz w:val="20"/>
          <w:szCs w:val="20"/>
          <w:color w:val="auto"/>
        </w:rPr>
      </w:pPr>
    </w:p>
    <w:p>
      <w:pPr>
        <w:ind w:left="340" w:firstLine="324"/>
        <w:spacing w:after="0" w:line="308" w:lineRule="auto"/>
        <w:rPr>
          <w:sz w:val="20"/>
          <w:szCs w:val="20"/>
          <w:color w:val="auto"/>
        </w:rPr>
      </w:pPr>
      <w:r>
        <w:rPr>
          <w:rFonts w:ascii="Arial" w:cs="Arial" w:eastAsia="Arial" w:hAnsi="Arial"/>
          <w:sz w:val="17"/>
          <w:szCs w:val="17"/>
          <w:color w:val="auto"/>
        </w:rPr>
        <w:t>Income from investments is reported within net investment income, unless otherwise stated herein. Gains and losses on sales of investments, impairment losses and changes in valuation allowances are reported within net investment gains (losses), unless otherwise stated herein.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2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Fixed Maturity and Equity Securities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Company’s fixed maturity and equity securities are classified as available-for-sale (“AFS”) and are reported at their estimated fair value. Unrealized investment gains and losses on these securities are recorded as a separate component of other comprehensive income (loss) (“OCI”), net of policy-related amounts and deferred income taxes. All security transactions are recorded on a trade date basis. Investment gains and losses on sales are determined on a specific identification basis.</w:t>
      </w:r>
    </w:p>
    <w:p>
      <w:pPr>
        <w:spacing w:after="0" w:line="79"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Interest income and prepayment fees are recognized when earned. Interest income is recognized using an effective yield method giving effect to amortization of premiums and accretion of discounts and is based on the estimated economic life of the securities, which for residential mortgage-backed securities (“RMBS”), commercial mortgage-backed securities (“CMBS”) and asset-backed securities (“ABS”) (collectively, “Structured Securities”) considers the estimated timing and amount of prepayments of the underlying loans. The amortization of premium and accretion of discount of fixed maturity securities also takes into consideration call and maturity dates.</w:t>
      </w:r>
    </w:p>
    <w:p>
      <w:pPr>
        <w:spacing w:after="0" w:line="80"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Amortization of premium and accretion of discount on Structured Securities considers the estimated timing and amount of prepayments of the underlying loans. Actual prepayment experience is periodically reviewed and effective yields are recalculated when differences arise between the originally anticipated and the actual prepayments received and currently anticipated. Prepayment assumptions for Structured Securities are estimated using inputs obtained from third-party specialists and based on management’s knowledge of the current market. For credit-sensitive Structured Securities and certain prepayment-sensitive securities, the effective yield is recalculated on a prospective basis. For all other Structured Securities, the effective yield is recalculated on a retrospective basis.</w:t>
      </w:r>
    </w:p>
    <w:p>
      <w:pPr>
        <w:spacing w:after="0" w:line="85" w:lineRule="exact"/>
        <w:rPr>
          <w:sz w:val="20"/>
          <w:szCs w:val="20"/>
          <w:color w:val="auto"/>
        </w:rPr>
      </w:pPr>
    </w:p>
    <w:p>
      <w:pPr>
        <w:jc w:val="both"/>
        <w:ind w:left="340" w:firstLine="324"/>
        <w:spacing w:after="0" w:line="312" w:lineRule="auto"/>
        <w:rPr>
          <w:sz w:val="20"/>
          <w:szCs w:val="20"/>
          <w:color w:val="auto"/>
        </w:rPr>
      </w:pPr>
      <w:r>
        <w:rPr>
          <w:rFonts w:ascii="Arial" w:cs="Arial" w:eastAsia="Arial" w:hAnsi="Arial"/>
          <w:sz w:val="16"/>
          <w:szCs w:val="16"/>
          <w:color w:val="auto"/>
        </w:rPr>
        <w:t>The Company periodically evaluates fixed maturity and equity securities for impairment. The assessment of whether impairments have occurred is based on management’s case-by-case evaluation of the underlying reasons for the decline in estimated fair value, as well as an analysis of the gross unrealized losses by severity and/or age. See Note 7 “— Evaluation of AFS Securities for OTTI and Evaluating Temporarily Impaired AFS Securities.”</w:t>
      </w:r>
    </w:p>
    <w:p>
      <w:pPr>
        <w:spacing w:after="0" w:line="39"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For fixed maturity securities in an unrealized loss position, an other-than-temporary impairment (“OTTI”) is recognized in earnings when it is anticipated that the amortized cost will not be recovered. When either: (i) the Company has the intent to sell the security; or (ii) it is more likely than not that the Company will be required to sell the security before recovery, the OTTI recognized in earnings is the entire difference between the security’s amortized cost and estimated fair value. If neither of these conditions exists, the difference between the amortized cost of the security and the present value of projected future cash flows expected to be collected is recognized as an OTTI in earnings (“credit loss”). If the estimated fair value is less than the present value of projected future cash flows expected to be collected, this portion of OTTI related to other-than-credit factors (“noncredit loss”) is recorded in OCI.</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Mortgage Loans</w:t>
      </w:r>
    </w:p>
    <w:p>
      <w:pPr>
        <w:spacing w:after="0" w:line="117" w:lineRule="exact"/>
        <w:rPr>
          <w:sz w:val="20"/>
          <w:szCs w:val="20"/>
          <w:color w:val="auto"/>
        </w:rPr>
      </w:pPr>
    </w:p>
    <w:p>
      <w:pPr>
        <w:jc w:val="both"/>
        <w:ind w:left="340" w:firstLine="324"/>
        <w:spacing w:after="0" w:line="312" w:lineRule="auto"/>
        <w:rPr>
          <w:sz w:val="20"/>
          <w:szCs w:val="20"/>
          <w:color w:val="auto"/>
        </w:rPr>
      </w:pPr>
      <w:r>
        <w:rPr>
          <w:rFonts w:ascii="Arial" w:cs="Arial" w:eastAsia="Arial" w:hAnsi="Arial"/>
          <w:sz w:val="16"/>
          <w:szCs w:val="16"/>
          <w:color w:val="auto"/>
        </w:rPr>
        <w:t>Mortgage loans are stated at unpaid principal balance, adjusted for any unamortized premium or discount, and any deferred fees or expenses, and are net of valuation allowances. Interest income and prepayment fees are recognized when earned. Interest income is recognized using an effective yield method giving effect to amortization of premiums and accretion of discounts. See Note 7 for information on impairments on mortgage loans.</w:t>
      </w:r>
    </w:p>
    <w:p>
      <w:pPr>
        <w:spacing w:after="0" w:line="39"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Also included in mortgage loans are commercial mortgage loans held by consolidated securitization entities (“CSEs”) for which the fair value option (“FVO”) was elected, which are stated at estimated fair value. Changes in estimated fair value are recognized in net investment gains (losses) for commercial mortgage loans held by CSEs.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Policy Loans</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Policy loans are stated at unpaid principal balances. Interest income is recorded as earned using the contractual interest rate. Generally, accrued interest is capitalized on the policy’s anniversary date. Any unpaid principal and accrued interest is deducted from the cash surrender value or the death benefit prior to settlement of the insurance policy</w:t>
      </w:r>
      <w:r>
        <w:rPr>
          <w:rFonts w:ascii="Arial" w:cs="Arial" w:eastAsia="Arial" w:hAnsi="Arial"/>
          <w:sz w:val="18"/>
          <w:szCs w:val="18"/>
          <w:b w:val="1"/>
          <w:bCs w:val="1"/>
          <w:color w:val="auto"/>
        </w:rPr>
        <w: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2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Real Estate Joint Ventures and Other Limited Partnership Interests</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The Company uses the equity method of accounting for investments when it has more than a minor ownership interest or more than a minor influence over the investee’s operations; while the cost method is used when the Company has virtually no influence over the investee’s operations. The Company generally recognizes its share of the equity method investee’s earnings on a three-month lag in instances where the investee’s financial information is not sufficiently timely or when the investee’s reporting period differs from the Company’s reporting period; while distributions on cost method investments are recognized as earned or received.</w:t>
      </w:r>
    </w:p>
    <w:p>
      <w:pPr>
        <w:spacing w:after="0" w:line="80"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The Company routinely evaluates such investments for impairment. For equity method investees, the Company considers financial and other information provided by the investee, other known information and inherent risks in the underlying investments, as well as future capital commitments, in determining whether an impairment has occurred. The Company considers its cost method investments for impairment when the carrying value of such investments exceeds the net asset value (“NAV”). The Company takes into consideration the severity and duration of this excess when determining whether the cost method investment is impaired.</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Short-term Investments</w:t>
      </w:r>
    </w:p>
    <w:p>
      <w:pPr>
        <w:spacing w:after="0" w:line="117" w:lineRule="exact"/>
        <w:rPr>
          <w:sz w:val="20"/>
          <w:szCs w:val="20"/>
          <w:color w:val="auto"/>
        </w:rPr>
      </w:pPr>
    </w:p>
    <w:p>
      <w:pPr>
        <w:jc w:val="both"/>
        <w:ind w:left="340" w:right="20" w:firstLine="324"/>
        <w:spacing w:after="0" w:line="264" w:lineRule="auto"/>
        <w:rPr>
          <w:sz w:val="20"/>
          <w:szCs w:val="20"/>
          <w:color w:val="auto"/>
        </w:rPr>
      </w:pPr>
      <w:r>
        <w:rPr>
          <w:rFonts w:ascii="Arial" w:cs="Arial" w:eastAsia="Arial" w:hAnsi="Arial"/>
          <w:sz w:val="18"/>
          <w:szCs w:val="18"/>
          <w:color w:val="auto"/>
        </w:rPr>
        <w:t>Short-term investments include securities and other investments with remaining maturities of one year or less, but greater than three months, at the time of purchase and are stated at estimated fair value or amortized cost, which approximates estimated fair value. Short-term investments also include investments in affiliated money market pools.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Other Invested Assets</w:t>
      </w:r>
    </w:p>
    <w:p>
      <w:pPr>
        <w:spacing w:after="0" w:line="117" w:lineRule="exact"/>
        <w:rPr>
          <w:sz w:val="20"/>
          <w:szCs w:val="20"/>
          <w:color w:val="auto"/>
        </w:rPr>
      </w:pPr>
    </w:p>
    <w:p>
      <w:pPr>
        <w:jc w:val="both"/>
        <w:ind w:left="340" w:right="20" w:firstLine="324"/>
        <w:spacing w:after="0" w:line="277" w:lineRule="auto"/>
        <w:rPr>
          <w:sz w:val="20"/>
          <w:szCs w:val="20"/>
          <w:color w:val="auto"/>
        </w:rPr>
      </w:pPr>
      <w:r>
        <w:rPr>
          <w:rFonts w:ascii="Arial" w:cs="Arial" w:eastAsia="Arial" w:hAnsi="Arial"/>
          <w:sz w:val="18"/>
          <w:szCs w:val="18"/>
          <w:color w:val="auto"/>
        </w:rPr>
        <w:t>Other invested assets consist principally of freestanding derivatives with positive estimated fair values which are described in “—Derivatives” below.</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Securities Lending Program</w:t>
      </w:r>
    </w:p>
    <w:p>
      <w:pPr>
        <w:spacing w:after="0" w:line="117"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Securities lending transactions, whereby blocks of securities are loaned to third parties, primarily brokerage firms and commercial banks, are treated as financing arrangements and the associated liability is recorded at the amount of cash received. Income and expenses associated with securities lending transactions are reported as investment income and investment expense, respectively, within net investment income.</w:t>
      </w:r>
    </w:p>
    <w:p>
      <w:pPr>
        <w:spacing w:after="0" w:line="57" w:lineRule="exact"/>
        <w:rPr>
          <w:sz w:val="20"/>
          <w:szCs w:val="20"/>
          <w:color w:val="auto"/>
        </w:rPr>
      </w:pPr>
    </w:p>
    <w:p>
      <w:pPr>
        <w:jc w:val="both"/>
        <w:ind w:left="340" w:firstLine="324"/>
        <w:spacing w:after="0" w:line="302" w:lineRule="auto"/>
        <w:rPr>
          <w:sz w:val="20"/>
          <w:szCs w:val="20"/>
          <w:color w:val="auto"/>
        </w:rPr>
      </w:pPr>
      <w:r>
        <w:rPr>
          <w:rFonts w:ascii="Arial" w:cs="Arial" w:eastAsia="Arial" w:hAnsi="Arial"/>
          <w:sz w:val="16"/>
          <w:szCs w:val="16"/>
          <w:color w:val="auto"/>
        </w:rPr>
        <w:t>The Company obtains collateral at the inception of the loan, usually cash, in an amount generally equal to 102% of the estimated fair value of the securities loaned, and maintains it at a level greater than or equal to 100% for the duration of the loan. The Company monitors the estimated fair value of the securities loaned on a daily basis and additional collateral is obtained as necessary throughout the duration of the loan. Securities loaned under such transactions may be sold or repledged by the transferee. The Company is liable to return to the counterparties the cash collateral received.</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Freestanding Derivatives</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Freestanding derivatives are carried on the Company’s balance sheet either as assets within other invested assets or as liabilities within other liabilities at estimated fair value. The Company does not offset the estimated fair value amounts recognized for derivatives executed with the same counterparty under the same master netting agreement.</w:t>
      </w:r>
    </w:p>
    <w:p>
      <w:pPr>
        <w:spacing w:after="0" w:line="73"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Accruals on derivatives are generally recorded in accrued investment income or within other liabilities. However, accruals that are not scheduled to settle within one year are included with the derivatives carrying value in other invested assets or other liabilities.</w:t>
      </w:r>
    </w:p>
    <w:p>
      <w:pPr>
        <w:spacing w:after="0" w:line="62" w:lineRule="exact"/>
        <w:rPr>
          <w:sz w:val="20"/>
          <w:szCs w:val="20"/>
          <w:color w:val="auto"/>
        </w:rPr>
      </w:pPr>
    </w:p>
    <w:p>
      <w:pPr>
        <w:jc w:val="both"/>
        <w:ind w:left="340" w:firstLine="324"/>
        <w:spacing w:after="0" w:line="312" w:lineRule="auto"/>
        <w:rPr>
          <w:sz w:val="20"/>
          <w:szCs w:val="20"/>
          <w:color w:val="auto"/>
        </w:rPr>
      </w:pPr>
      <w:r>
        <w:rPr>
          <w:rFonts w:ascii="Arial" w:cs="Arial" w:eastAsia="Arial" w:hAnsi="Arial"/>
          <w:sz w:val="16"/>
          <w:szCs w:val="16"/>
          <w:color w:val="auto"/>
        </w:rPr>
        <w:t>If a derivative is not designated as an accounting hedge or its use in managing risk does not qualify for hedge accounting, changes in the estimated fair value of the derivative are reported in net derivative gains (losses) except for economic hedges of variable annuity guarantees which are presented in future policy benefits and claims and economic hedges of equity method investments in joint ventures which are presented in net investment income.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2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Hedge Accounting</w:t>
      </w:r>
    </w:p>
    <w:p>
      <w:pPr>
        <w:spacing w:after="0" w:line="117" w:lineRule="exact"/>
        <w:rPr>
          <w:sz w:val="20"/>
          <w:szCs w:val="20"/>
          <w:color w:val="auto"/>
        </w:rPr>
      </w:pPr>
    </w:p>
    <w:p>
      <w:pPr>
        <w:jc w:val="both"/>
        <w:ind w:left="340" w:firstLine="324"/>
        <w:spacing w:after="0" w:line="293" w:lineRule="auto"/>
        <w:rPr>
          <w:sz w:val="20"/>
          <w:szCs w:val="20"/>
          <w:color w:val="auto"/>
        </w:rPr>
      </w:pPr>
      <w:r>
        <w:rPr>
          <w:rFonts w:ascii="Arial" w:cs="Arial" w:eastAsia="Arial" w:hAnsi="Arial"/>
          <w:sz w:val="16"/>
          <w:szCs w:val="16"/>
          <w:color w:val="auto"/>
        </w:rPr>
        <w:t>The Company primarily designates derivatives as a hedge of a forecasted transaction or a variability of cash flows to be received or paid related to a recognized asset or liability (cash flow hedge). When a derivative is designated as a cash flow hedge and is determined to be highly effective, changes in fair value are recorded in OCI and subsequently reclassified into the statement of operations when the Company’s earnings are affected by the variability in cash flows of the hedged item. The Company also designates derivatives as a hedge of the estimated fair value of a recognized asset or liabilities (fair value hedge). When a derivative is designated as fair value hedge and is determined to be highly effective, changes in fair value are recorded in net derivative gains (losses), consistent with the change in estimated fair value of the hedged item attributable to the designated risk being hedged.</w:t>
      </w:r>
    </w:p>
    <w:p>
      <w:pPr>
        <w:spacing w:after="0" w:line="57"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To qualify for hedge accounting, at the inception of the hedging relationship, the Company formally documents its risk management objective and strategy for undertaking the hedging transaction, as well as its designation of the hedge. In its hedge documentation, the Company sets forth how the hedging instrument is expected to hedge the designated risks related to the hedged item and sets forth the method that will be used to retrospectively and prospectively assess the hedging instrument’s effectiveness and the method that will be used to measure ineffectiveness. A derivative designated as a hedging instrument must be assessed as being highly effective in offsetting the designated risk of the hedged item. Hedge effectiveness is formally assessed at inception and at least quarterly throughout the life of the designated hedging relationship.</w:t>
      </w:r>
    </w:p>
    <w:p>
      <w:pPr>
        <w:spacing w:after="0" w:line="70"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The Company discontinues hedge accounting prospectively when: (i) it is determined that the derivative is no longer highly effective in offsetting changes in the estimated fair value or cash flows of a hedged item; (ii) the derivative expires, is sold, terminated, or exercised; (iii) it is no longer probable that the hedged forecasted transaction will occur; or (iv) the derivative is de-designated as a hedging instrument.</w:t>
      </w:r>
    </w:p>
    <w:p>
      <w:pPr>
        <w:spacing w:after="0" w:line="57" w:lineRule="exact"/>
        <w:rPr>
          <w:sz w:val="20"/>
          <w:szCs w:val="20"/>
          <w:color w:val="auto"/>
        </w:rPr>
      </w:pPr>
    </w:p>
    <w:p>
      <w:pPr>
        <w:jc w:val="both"/>
        <w:ind w:left="340" w:firstLine="324"/>
        <w:spacing w:after="0" w:line="272" w:lineRule="auto"/>
        <w:rPr>
          <w:sz w:val="20"/>
          <w:szCs w:val="20"/>
          <w:color w:val="auto"/>
        </w:rPr>
      </w:pPr>
      <w:r>
        <w:rPr>
          <w:rFonts w:ascii="Arial" w:cs="Arial" w:eastAsia="Arial" w:hAnsi="Arial"/>
          <w:sz w:val="17"/>
          <w:szCs w:val="17"/>
          <w:color w:val="auto"/>
        </w:rPr>
        <w:t>When hedge accounting is discontinued because it is determined that the derivative is not highly effective in offsetting changes in the estimated fair value or cash flows of a hedged item, the derivative continues to be carried on the balance sheet at its estimated fair value, with changes in estimated fair value recognized in net derivative gains (losses). The carrying value of the hedged recognized asset or liability under a fair value hedge is no longer adjusted for changes in its estimated fair value due to the hedged risk, and the cumulative adjustment to its carrying value is amortized into income over the remaining life of the hedged item. Provided the hedged forecasted transaction is still probable of occurrence, the changes in estimated fair value of derivatives recorded in OCI related to discontinued cash flow hedges are released into the statement of operations when the Company’s earnings are affected by the variability in cash flows of the hedged item.</w:t>
      </w:r>
    </w:p>
    <w:p>
      <w:pPr>
        <w:spacing w:after="0" w:line="70"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In all other situations in which hedge accounting is discontinued, the derivative is carried at its estimated fair value on the balance sheet, with changes in its estimated fair value recognized in the current period as net derivative gains (losses).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Embedded Derivatives</w:t>
      </w:r>
    </w:p>
    <w:p>
      <w:pPr>
        <w:spacing w:after="0" w:line="117"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The Company sells variable annuities and issues certain insurance products and investment contracts and is a party to certain reinsurance agreements that have embedded derivatives. The Company assesses each identified embedded derivative to determine whether it is required to be bifurcated. The embedded derivative is bifurcated from the host contract and accounted for as a freestanding derivative if:</w:t>
      </w:r>
    </w:p>
    <w:p>
      <w:pPr>
        <w:spacing w:after="0" w:line="57" w:lineRule="exact"/>
        <w:rPr>
          <w:sz w:val="20"/>
          <w:szCs w:val="20"/>
          <w:color w:val="auto"/>
        </w:rPr>
      </w:pPr>
    </w:p>
    <w:p>
      <w:pPr>
        <w:ind w:left="820" w:hanging="326"/>
        <w:spacing w:after="0"/>
        <w:tabs>
          <w:tab w:leader="none" w:pos="8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combined instrument is not accounted for in its entirety at estimated fair value with changes in estimated fair value recorded in earnings;</w:t>
      </w:r>
    </w:p>
    <w:p>
      <w:pPr>
        <w:spacing w:after="0" w:line="128" w:lineRule="exact"/>
        <w:rPr>
          <w:rFonts w:ascii="Arial" w:cs="Arial" w:eastAsia="Arial" w:hAnsi="Arial"/>
          <w:sz w:val="17"/>
          <w:szCs w:val="17"/>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of the embedded derivative are not clearly and closely related to the economic characteristics of the host contract;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separate instrument with the same terms as the embedded derivative would qualify as a derivative instrument.</w:t>
      </w:r>
    </w:p>
    <w:p>
      <w:pPr>
        <w:spacing w:after="0" w:line="117" w:lineRule="exact"/>
        <w:rPr>
          <w:sz w:val="20"/>
          <w:szCs w:val="20"/>
          <w:color w:val="auto"/>
        </w:rPr>
      </w:pPr>
    </w:p>
    <w:p>
      <w:pPr>
        <w:ind w:left="340" w:firstLine="324"/>
        <w:spacing w:after="0" w:line="342" w:lineRule="auto"/>
        <w:rPr>
          <w:sz w:val="20"/>
          <w:szCs w:val="20"/>
          <w:color w:val="auto"/>
        </w:rPr>
      </w:pPr>
      <w:r>
        <w:rPr>
          <w:rFonts w:ascii="Arial" w:cs="Arial" w:eastAsia="Arial" w:hAnsi="Arial"/>
          <w:sz w:val="16"/>
          <w:szCs w:val="16"/>
          <w:color w:val="auto"/>
        </w:rPr>
        <w:t>Such embedded derivatives are carried on the balance sheet at estimated fair value with the host contract and changes in their estimated fair value are generally reported in net derivative gains (losses), except for those in policyholder benefits and claims related to ceded reinsurance of GMIB.</w:t>
      </w:r>
    </w:p>
    <w:p>
      <w:pPr>
        <w:spacing w:after="0" w:line="16"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color w:val="auto"/>
        </w:rPr>
        <w:t>See “— Variable Annuity Guarantees” for additional information on the accounting policy for embedded derivatives bifurcated from variable annuity host contracts.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2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Fair Value</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In most cases, the exit price and the transaction (or entry) price will be the same at initial recognition.</w:t>
      </w:r>
    </w:p>
    <w:p>
      <w:pPr>
        <w:spacing w:after="0" w:line="73"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In determining the estimated fair value of the Company’s investments, fair values are based on unadjusted quoted prices for identical investments in active markets that are readily and regularly obtainable. When such quoted prices are not available, fair values are based on quoted prices in markets that are not active, quoted prices for similar but not identical investments, or other observable inputs. If these inputs are not available, or observable inputs are not determinable, unobservable inputs and/or adjustments to observable inputs requiring management judgment are used to determine the estimated fair value of investments.</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Separate Accounts</w:t>
      </w:r>
    </w:p>
    <w:p>
      <w:pPr>
        <w:spacing w:after="0" w:line="117"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Separate accounts underlying the Company’s variable life and annuity contracts are reported at fair value. Assets supporting the contract liabilities are legally insulated from the Company’s general account liabilities. Investments in these separate accounts are directed by the contract holder and all investment performance, net of contract fees and assessments, is passed through to the contract holder. Investment performance and the corresponding amounts credited to contract holders of such separate accounts are offset within the same line on the statements of operations.</w:t>
      </w:r>
    </w:p>
    <w:p>
      <w:pPr>
        <w:spacing w:after="0" w:line="63"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Separate accounts that do not pass all investment performance to the contract holder, including those underlying the index-linked annuities, are combined on a line-by-line basis with the Company’s general account assets, liabilities, revenues and expenses. The accounting for investments in these separate accounts is consistent with the methodologies described herein for similar financial instruments held within the general account.</w:t>
      </w:r>
    </w:p>
    <w:p>
      <w:pPr>
        <w:spacing w:after="0" w:line="57" w:lineRule="exact"/>
        <w:rPr>
          <w:sz w:val="20"/>
          <w:szCs w:val="20"/>
          <w:color w:val="auto"/>
        </w:rPr>
      </w:pPr>
    </w:p>
    <w:p>
      <w:pPr>
        <w:jc w:val="both"/>
        <w:ind w:left="180" w:firstLine="324"/>
        <w:spacing w:after="0" w:line="342" w:lineRule="auto"/>
        <w:rPr>
          <w:sz w:val="20"/>
          <w:szCs w:val="20"/>
          <w:color w:val="auto"/>
        </w:rPr>
      </w:pPr>
      <w:r>
        <w:rPr>
          <w:rFonts w:ascii="Arial" w:cs="Arial" w:eastAsia="Arial" w:hAnsi="Arial"/>
          <w:sz w:val="16"/>
          <w:szCs w:val="16"/>
          <w:color w:val="auto"/>
        </w:rPr>
        <w:t>The Company receives asset-based distribution and service fees from mutual funds available to the variable life and annuity contract holders. These fees are recognized in the period in which the related services are performed and are included in other revenues in the statement of operations.</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Income Tax</w:t>
      </w:r>
    </w:p>
    <w:p>
      <w:pPr>
        <w:spacing w:after="0" w:line="117" w:lineRule="exact"/>
        <w:rPr>
          <w:sz w:val="20"/>
          <w:szCs w:val="20"/>
          <w:color w:val="auto"/>
        </w:rPr>
      </w:pPr>
    </w:p>
    <w:p>
      <w:pPr>
        <w:jc w:val="both"/>
        <w:ind w:left="180" w:firstLine="324"/>
        <w:spacing w:after="0" w:line="293" w:lineRule="auto"/>
        <w:rPr>
          <w:sz w:val="20"/>
          <w:szCs w:val="20"/>
          <w:color w:val="auto"/>
        </w:rPr>
      </w:pPr>
      <w:r>
        <w:rPr>
          <w:rFonts w:ascii="Arial" w:cs="Arial" w:eastAsia="Arial" w:hAnsi="Arial"/>
          <w:sz w:val="16"/>
          <w:szCs w:val="16"/>
          <w:color w:val="auto"/>
        </w:rPr>
        <w:t>Income taxes as presented herein attribute current and deferred income taxes of MetLife, Inc., for periods up until the Separation, to Brighthouse Financial, Inc. and its subsidiaries in a manner that is systematic, rational and consistent with the asset and liability method prescribed by the Financial Accounting Standards Board (“FASB”) guidance Accounting Standards Codification 740 — Income Taxes (“ASC 740”). The Company’s income tax provision was prepared following the modified separate return method. The modified separate return method applies ASC 740 to the standalone financial statements of each member of the consolidated group as if the group member were a separate taxpayer and a standalone enterprise, after providing benefits for losses. The Company’s accounting for income taxes represents management’s best estimate of various events and transactions.</w:t>
      </w:r>
    </w:p>
    <w:p>
      <w:pPr>
        <w:spacing w:after="0" w:line="5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Deferred tax assets and liabilities resulting from temporary differences between the financial reporting and tax bases of assets and liabilities are measured at the balance sheet date using enacted tax rates expected to apply to taxable income in the years the temporary differences are expected to reverse.</w:t>
      </w:r>
    </w:p>
    <w:p>
      <w:pPr>
        <w:spacing w:after="0" w:line="73"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The realization of deferred tax assets depends upon the existence of sufficient taxable income within the carryback or carryforward periods under the tax law in the applicable tax jurisdiction. Valuation allowances are established when management determines, based on available information, that it is more likely than not that deferred income tax assets will not be realized. Significant judgment is required in determining whether valuation allowances should be established, as well as the amount of such allowances. When making such determination, the Company considers many factors, including:</w:t>
      </w:r>
    </w:p>
    <w:p>
      <w:pPr>
        <w:spacing w:after="0" w:line="73" w:lineRule="exact"/>
        <w:rPr>
          <w:sz w:val="20"/>
          <w:szCs w:val="20"/>
          <w:color w:val="auto"/>
        </w:rPr>
      </w:pPr>
    </w:p>
    <w:p>
      <w:pPr>
        <w:ind w:left="720" w:hanging="226"/>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nature, frequency, and amount of cumulative financial reporting income and losses in recent years;</w:t>
      </w:r>
    </w:p>
    <w:p>
      <w:pPr>
        <w:spacing w:after="0" w:line="157" w:lineRule="exact"/>
        <w:rPr>
          <w:rFonts w:ascii="Arial" w:cs="Arial" w:eastAsia="Arial" w:hAnsi="Arial"/>
          <w:sz w:val="18"/>
          <w:szCs w:val="18"/>
          <w:color w:val="auto"/>
        </w:rPr>
      </w:pPr>
    </w:p>
    <w:p>
      <w:pPr>
        <w:ind w:left="720" w:hanging="226"/>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jurisdiction in which the deferred tax asset was generated;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2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Basis of Presentation and Summary of Significant Accounting Policies (continued)</w:t>
      </w:r>
    </w:p>
    <w:p>
      <w:pPr>
        <w:spacing w:after="0" w:line="391" w:lineRule="exact"/>
        <w:rPr>
          <w:rFonts w:ascii="Arial" w:cs="Arial" w:eastAsia="Arial" w:hAnsi="Arial"/>
          <w:sz w:val="18"/>
          <w:szCs w:val="18"/>
          <w:b w:val="1"/>
          <w:bCs w:val="1"/>
          <w:color w:val="auto"/>
        </w:rPr>
      </w:pPr>
    </w:p>
    <w:p>
      <w:pPr>
        <w:ind w:left="720" w:hanging="226"/>
        <w:spacing w:after="0"/>
        <w:tabs>
          <w:tab w:leader="none" w:pos="7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length of time that carryforward can be utilized in the various taxing jurisdiction;</w:t>
      </w:r>
    </w:p>
    <w:p>
      <w:pPr>
        <w:spacing w:after="0" w:line="157" w:lineRule="exact"/>
        <w:rPr>
          <w:rFonts w:ascii="Arial" w:cs="Arial" w:eastAsia="Arial" w:hAnsi="Arial"/>
          <w:sz w:val="18"/>
          <w:szCs w:val="18"/>
          <w:color w:val="auto"/>
        </w:rPr>
      </w:pPr>
    </w:p>
    <w:p>
      <w:pPr>
        <w:ind w:left="720" w:hanging="226"/>
        <w:spacing w:after="0"/>
        <w:tabs>
          <w:tab w:leader="none" w:pos="7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57" w:lineRule="exact"/>
        <w:rPr>
          <w:rFonts w:ascii="Arial" w:cs="Arial" w:eastAsia="Arial" w:hAnsi="Arial"/>
          <w:sz w:val="18"/>
          <w:szCs w:val="18"/>
          <w:color w:val="auto"/>
        </w:rPr>
      </w:pPr>
    </w:p>
    <w:p>
      <w:pPr>
        <w:ind w:left="720" w:hanging="226"/>
        <w:spacing w:after="0"/>
        <w:tabs>
          <w:tab w:leader="none" w:pos="7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57" w:lineRule="exact"/>
        <w:rPr>
          <w:rFonts w:ascii="Arial" w:cs="Arial" w:eastAsia="Arial" w:hAnsi="Arial"/>
          <w:sz w:val="18"/>
          <w:szCs w:val="18"/>
          <w:color w:val="auto"/>
        </w:rPr>
      </w:pPr>
    </w:p>
    <w:p>
      <w:pPr>
        <w:ind w:left="720" w:hanging="226"/>
        <w:spacing w:after="0"/>
        <w:tabs>
          <w:tab w:leader="none" w:pos="7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57" w:lineRule="exact"/>
        <w:rPr>
          <w:rFonts w:ascii="Arial" w:cs="Arial" w:eastAsia="Arial" w:hAnsi="Arial"/>
          <w:sz w:val="18"/>
          <w:szCs w:val="18"/>
          <w:color w:val="auto"/>
        </w:rPr>
      </w:pPr>
    </w:p>
    <w:p>
      <w:pPr>
        <w:ind w:left="720" w:hanging="226"/>
        <w:spacing w:after="0"/>
        <w:tabs>
          <w:tab w:leader="none" w:pos="7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tax planning strategies.</w:t>
      </w:r>
    </w:p>
    <w:p>
      <w:pPr>
        <w:spacing w:after="0" w:line="131" w:lineRule="exact"/>
        <w:rPr>
          <w:sz w:val="20"/>
          <w:szCs w:val="20"/>
          <w:color w:val="auto"/>
        </w:rPr>
      </w:pPr>
    </w:p>
    <w:p>
      <w:pPr>
        <w:jc w:val="both"/>
        <w:ind w:left="180" w:firstLine="324"/>
        <w:spacing w:after="0" w:line="312" w:lineRule="auto"/>
        <w:rPr>
          <w:sz w:val="20"/>
          <w:szCs w:val="20"/>
          <w:color w:val="auto"/>
        </w:rPr>
      </w:pPr>
      <w:r>
        <w:rPr>
          <w:rFonts w:ascii="Arial" w:cs="Arial" w:eastAsia="Arial" w:hAnsi="Arial"/>
          <w:sz w:val="16"/>
          <w:szCs w:val="16"/>
          <w:color w:val="auto"/>
        </w:rPr>
        <w:t>The Company may be required to change its provision for income taxes when estimates used in determining valuation allowances on deferred tax assets significantly change or when receipt of new information indicates the need for adjustment in valuation allowances. Additionally, the effect of changes in tax laws, tax regulations, or interpretations of such laws or regulations, is recognized in net income tax expense (benefit) in the period of change.</w:t>
      </w:r>
    </w:p>
    <w:p>
      <w:pPr>
        <w:spacing w:after="0" w:line="39"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Company determines whether it is more likely than not that a tax position will be sustained upon examination by the appropriate taxing authorities before any part of the benefit can be recorded on the financial statements. A tax position is measured at the largest amount of benefit that is greater than 50% likely of being realized upon settlement. Unrecognized tax benefits due to tax uncertainties that do not meet the threshold are included within other liabilities and are charged to earnings in the period that such determination is made.</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classifies interest recognized as interest expense and penalties recognized as a component of income tax expense.</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On December 22, 2017, President Trump signed the Tax Cuts and Jobs Act (“the Tax Act”) into law. The Tax Act reduced the corporate tax rate to 21%, reduced interest expense deductibility, increased capitalization amounts for deferred acquisition costs, eliminated the corporate alternative minimum tax, provided for determining reserve deductions as 92.81% of statutory reserves, and reduced the dividend received deduction. Most of the changes in the Tax Act are effective as of January 1, 2018.</w:t>
      </w:r>
    </w:p>
    <w:p>
      <w:pPr>
        <w:spacing w:after="0" w:line="79"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The reduction in the corporate rate required a one-time remeasurement of certain deferred tax items as of December 31, 2017. For the estimated impact of the Tax Act on the financial statements, including the estimated impact resulting from the remeasurement of deferred tax assets and liabilities. See Note 13 for more information. Actual results may materially differ from the Company’s current estimate due to, among other things, further guidance that may be issued by U.S. tax authorities or regulatory bodies and/or changes in interpretations and assumptions preliminarily made. The Company will continue to analyze the Tax Act to finalize its financial statement impact.</w:t>
      </w:r>
    </w:p>
    <w:p>
      <w:pPr>
        <w:spacing w:after="0" w:line="80" w:lineRule="exact"/>
        <w:rPr>
          <w:sz w:val="20"/>
          <w:szCs w:val="20"/>
          <w:color w:val="auto"/>
        </w:rPr>
      </w:pPr>
    </w:p>
    <w:p>
      <w:pPr>
        <w:jc w:val="both"/>
        <w:ind w:left="180" w:firstLine="324"/>
        <w:spacing w:after="0" w:line="270" w:lineRule="auto"/>
        <w:rPr>
          <w:sz w:val="20"/>
          <w:szCs w:val="20"/>
          <w:color w:val="auto"/>
        </w:rPr>
      </w:pPr>
      <w:r>
        <w:rPr>
          <w:rFonts w:ascii="Arial" w:cs="Arial" w:eastAsia="Arial" w:hAnsi="Arial"/>
          <w:sz w:val="17"/>
          <w:szCs w:val="17"/>
          <w:color w:val="auto"/>
        </w:rPr>
        <w:t>In December 2017, the SEC issued Staff Accounting Bulletin (“SAB”) 118, addressing the application of GAAP in situations when a registrant does not have necessary information available to complete the accounting for certain income tax effects of the Tax Act. SAB 118 provides guidance for registrants under three scenarios: (1) the measurement of certain income tax effects is complete, (2) the measurement of certain income tax effects can be reasonably estimated, and (3) the measurement of certain income tax effects cannot be reasonably estimated. SAB 118 provides that the measurement period is complete when a company’s accounting is complete. The measurement period cannot extend beyond one year from the enactment date. SAB 118 acknowledges that a company may be able to complete the accounting for some provisions earlier than others. As such, it may need to apply all three scenarios in determining the accounting for the Tax Act based on information that is available. The Company has not fully completed its accounting for the tax effects of the Tax Act, and thus certain items relating to accounting for the Tax Act are provisional, including accounting for reserves. However, it has recorded the effects of the Tax Act as reasonable estimates due to the need for further analysis of the provisions within the Tax Act and collection, preparation and analysis of relevant data necessary to complete the accounting.</w:t>
      </w:r>
    </w:p>
    <w:p>
      <w:pPr>
        <w:spacing w:after="0" w:line="70"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The corporate rate reduction also left certain tax effects, which were originally recorded using the previous corporate rate, stranded in accumulated other comprehensive income (“AOCI”). The Company adopted new accounting guidance as of December 31, 2017 that allowed the Company to reclassify the stranded tax effects from AOCI into retained earnings. The Company elected to reclassify amounts based on the difference between the previously enacted federal corporate tax rate and the newly enacted rate as applied on an aggregate basis. See Note 13 for more information.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2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Litigation Contingencies</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The Company is a party to a number of legal actions and is involved in a number of regulatory investigations. Given the inherent unpredictability of these matters, it is difficult to estimate the impact on the Company’s financial position. Liabilities are established when it is probable that a loss has been incurred and the amount of the loss can be reasonably estimated. Legal costs are recognized as incurred. On a quarterly and annual basis, the Company reviews relevant information with respect to liabilities for litigation, regulatory investigations and litigation-related contingencies to be reflected on the Company’s financial statements.</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 Accounting Policies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Cash and Cash Equivalents</w:t>
      </w:r>
    </w:p>
    <w:p>
      <w:pPr>
        <w:spacing w:after="0" w:line="117" w:lineRule="exact"/>
        <w:rPr>
          <w:sz w:val="20"/>
          <w:szCs w:val="20"/>
          <w:color w:val="auto"/>
        </w:rPr>
      </w:pPr>
    </w:p>
    <w:p>
      <w:pPr>
        <w:jc w:val="both"/>
        <w:ind w:left="340" w:right="20" w:firstLine="324"/>
        <w:spacing w:after="0" w:line="308" w:lineRule="auto"/>
        <w:rPr>
          <w:sz w:val="20"/>
          <w:szCs w:val="20"/>
          <w:color w:val="auto"/>
        </w:rPr>
      </w:pPr>
      <w:r>
        <w:rPr>
          <w:rFonts w:ascii="Arial" w:cs="Arial" w:eastAsia="Arial" w:hAnsi="Arial"/>
          <w:sz w:val="17"/>
          <w:szCs w:val="17"/>
          <w:color w:val="auto"/>
        </w:rPr>
        <w:t>The Company considers all highly liquid securities and other investments purchased with an original or remaining maturity of three months or less at the date of purchase to be cash equivalents. Cash equivalents are stated at amortized cost, which approximates estimated fair value.</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Employee Benefit Plans</w:t>
      </w:r>
    </w:p>
    <w:p>
      <w:pPr>
        <w:spacing w:after="0" w:line="117" w:lineRule="exact"/>
        <w:rPr>
          <w:sz w:val="20"/>
          <w:szCs w:val="20"/>
          <w:color w:val="auto"/>
        </w:rPr>
      </w:pPr>
    </w:p>
    <w:p>
      <w:pPr>
        <w:jc w:val="both"/>
        <w:ind w:left="340" w:firstLine="324"/>
        <w:spacing w:after="0" w:line="293" w:lineRule="auto"/>
        <w:rPr>
          <w:sz w:val="20"/>
          <w:szCs w:val="20"/>
          <w:color w:val="auto"/>
        </w:rPr>
      </w:pPr>
      <w:r>
        <w:rPr>
          <w:rFonts w:ascii="Arial" w:cs="Arial" w:eastAsia="Arial" w:hAnsi="Arial"/>
          <w:sz w:val="16"/>
          <w:szCs w:val="16"/>
          <w:color w:val="auto"/>
        </w:rPr>
        <w:t>Through December 31, 2016, Metropolitan Life Insurance Company (“MLIC”), a former affiliate, provided and the Company contributed to defined benefit pension and postemployment plans for its employees and retirees. MLIC also provides and the Company contributes to a postretirement medical and life insurance benefit plan for certain retired employees. The Company accounts for these plans as multiemployer benefit plans and as a result the assets, obligations and other comprehensive gains and losses of these benefit plans are not included on the consolidated balance sheet. Within its consolidated statement of operations, the Company has included expenses associated with its participants in these plans. These plans also include participants from other affiliates of MLIC. The Company’s participation in these plans ceased December 31, 2016.</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Changes to GAAP are established by the FASB in the form of accounting standards updates (“ASU”) to the FASB Accounting Standards Codification. The Company considers the applicability and impact of all ASUs. ASUs not listed below were assessed and determined to be either not applicable or are not expected to have a material impact on the Company’s consolidated financial statements. The following table provides a description of new ASUs issued by the FASB and the expected impact of the adoption on the Company’s consolidated financial statements.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2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Except as noted below, the ASUs adopted by the Company during 2017 did not have a material impact on its consolidated financial statements.</w:t>
      </w: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399"/>
        </w:trPr>
        <w:tc>
          <w:tcPr>
            <w:tcW w:w="23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Standard</w:t>
            </w:r>
          </w:p>
        </w:tc>
        <w:tc>
          <w:tcPr>
            <w:tcW w:w="4460" w:type="dxa"/>
            <w:vAlign w:val="bottom"/>
            <w:tcBorders>
              <w:top w:val="single" w:sz="8" w:color="auto"/>
              <w:right w:val="single" w:sz="8" w:color="auto"/>
            </w:tcBorders>
          </w:tcPr>
          <w:p>
            <w:pPr>
              <w:ind w:left="1820"/>
              <w:spacing w:after="0"/>
              <w:rPr>
                <w:sz w:val="20"/>
                <w:szCs w:val="20"/>
                <w:color w:val="auto"/>
              </w:rPr>
            </w:pPr>
            <w:r>
              <w:rPr>
                <w:rFonts w:ascii="Arial" w:cs="Arial" w:eastAsia="Arial" w:hAnsi="Arial"/>
                <w:sz w:val="16"/>
                <w:szCs w:val="16"/>
                <w:b w:val="1"/>
                <w:bCs w:val="1"/>
                <w:color w:val="auto"/>
              </w:rPr>
              <w:t>Description</w:t>
            </w:r>
          </w:p>
        </w:tc>
        <w:tc>
          <w:tcPr>
            <w:tcW w:w="170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6"/>
                <w:szCs w:val="16"/>
                <w:b w:val="1"/>
                <w:bCs w:val="1"/>
                <w:color w:val="auto"/>
              </w:rPr>
              <w:t>Effective Date</w:t>
            </w:r>
          </w:p>
        </w:tc>
        <w:tc>
          <w:tcPr>
            <w:tcW w:w="296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6"/>
                <w:szCs w:val="16"/>
                <w:b w:val="1"/>
                <w:bCs w:val="1"/>
                <w:color w:val="auto"/>
              </w:rPr>
              <w:t>Impact on Financial Statements</w:t>
            </w:r>
          </w:p>
        </w:tc>
      </w:tr>
      <w:tr>
        <w:trPr>
          <w:trHeight w:val="33"/>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r>
      <w:tr>
        <w:trPr>
          <w:trHeight w:val="213"/>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ASU 2018-02, Reporting</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amendments to Topic 220 provide an option to reclassify</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January 1, 2019 applied</w:t>
            </w: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Company elected to early adopt the</w:t>
            </w:r>
          </w:p>
        </w:tc>
      </w:tr>
      <w:tr>
        <w:trPr>
          <w:trHeight w:val="203"/>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Comprehensive Income (Topic</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stranded tax effects within AOCI to retained earnings in each</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in the period of adoption</w:t>
            </w: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ASU  as  of  December  31,  2017  and</w:t>
            </w:r>
          </w:p>
        </w:tc>
      </w:tr>
      <w:tr>
        <w:trPr>
          <w:trHeight w:val="203"/>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9"/>
              </w:rPr>
              <w:t>220): Reclassification of Certain</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period in which the effect of the change in the U.S. federal</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(with early adoption</w:t>
            </w: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reclassified $330 million from AOCI into</w:t>
            </w:r>
          </w:p>
        </w:tc>
      </w:tr>
      <w:tr>
        <w:trPr>
          <w:trHeight w:val="203"/>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Tax Effects from Accumulated</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corporate income tax rate in the Tax Act of 2017 (or portion</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permitted)</w:t>
            </w: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retained earnings related to the impact of</w:t>
            </w:r>
          </w:p>
        </w:tc>
      </w:tr>
      <w:tr>
        <w:trPr>
          <w:trHeight w:val="233"/>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Other Comprehensive Income</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thereof) is recorded.</w:t>
            </w:r>
          </w:p>
        </w:tc>
        <w:tc>
          <w:tcPr>
            <w:tcW w:w="170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the Tax Act of 2017. See Notes 11 and 13.</w:t>
            </w:r>
          </w:p>
        </w:tc>
      </w:tr>
      <w:tr>
        <w:trPr>
          <w:trHeight w:val="263"/>
        </w:trPr>
        <w:tc>
          <w:tcPr>
            <w:tcW w:w="2320" w:type="dxa"/>
            <w:vAlign w:val="bottom"/>
            <w:tcBorders>
              <w:left w:val="single" w:sz="8" w:color="auto"/>
              <w:bottom w:val="single" w:sz="8" w:color="auto"/>
              <w:right w:val="single" w:sz="8" w:color="auto"/>
            </w:tcBorders>
          </w:tcPr>
          <w:p>
            <w:pPr>
              <w:spacing w:after="0"/>
              <w:rPr>
                <w:sz w:val="22"/>
                <w:szCs w:val="22"/>
                <w:color w:val="auto"/>
              </w:rPr>
            </w:pPr>
          </w:p>
        </w:tc>
        <w:tc>
          <w:tcPr>
            <w:tcW w:w="4460" w:type="dxa"/>
            <w:vAlign w:val="bottom"/>
            <w:tcBorders>
              <w:bottom w:val="single" w:sz="8" w:color="auto"/>
              <w:right w:val="single" w:sz="8" w:color="auto"/>
            </w:tcBorders>
          </w:tcPr>
          <w:p>
            <w:pPr>
              <w:spacing w:after="0"/>
              <w:rPr>
                <w:sz w:val="22"/>
                <w:szCs w:val="22"/>
                <w:color w:val="auto"/>
              </w:rPr>
            </w:pPr>
          </w:p>
        </w:tc>
        <w:tc>
          <w:tcPr>
            <w:tcW w:w="1700" w:type="dxa"/>
            <w:vAlign w:val="bottom"/>
            <w:tcBorders>
              <w:bottom w:val="single" w:sz="8" w:color="auto"/>
              <w:right w:val="single" w:sz="8" w:color="auto"/>
            </w:tcBorders>
          </w:tcPr>
          <w:p>
            <w:pPr>
              <w:spacing w:after="0"/>
              <w:rPr>
                <w:sz w:val="22"/>
                <w:szCs w:val="22"/>
                <w:color w:val="auto"/>
              </w:rPr>
            </w:pPr>
          </w:p>
        </w:tc>
        <w:tc>
          <w:tcPr>
            <w:tcW w:w="2960" w:type="dxa"/>
            <w:vAlign w:val="bottom"/>
            <w:tcBorders>
              <w:bottom w:val="single" w:sz="8" w:color="auto"/>
              <w:right w:val="single" w:sz="8" w:color="auto"/>
            </w:tcBorders>
          </w:tcPr>
          <w:p>
            <w:pPr>
              <w:spacing w:after="0"/>
              <w:rPr>
                <w:sz w:val="22"/>
                <w:szCs w:val="22"/>
                <w:color w:val="auto"/>
              </w:rPr>
            </w:pPr>
          </w:p>
        </w:tc>
      </w:tr>
      <w:tr>
        <w:trPr>
          <w:trHeight w:val="213"/>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ASU 2017-12, Derivatives and</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The amendments to Topic 815 (i) refine and expand the criteria for</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2019 using</w:t>
            </w: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The Company does not expect a material</w:t>
            </w:r>
          </w:p>
        </w:tc>
      </w:tr>
      <w:tr>
        <w:trPr>
          <w:trHeight w:val="203"/>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Hedging (Topic 815): Targeted</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achieving hedge accounting on certain hedging strategies, (ii)</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modified</w:t>
            </w: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impact  on  its  financial  statements  from</w:t>
            </w:r>
          </w:p>
        </w:tc>
      </w:tr>
      <w:tr>
        <w:trPr>
          <w:trHeight w:val="203"/>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9"/>
              </w:rPr>
              <w:t>Improvements to Accounting for</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require the earnings effect of the hedging instrument be presented</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retrospective method</w:t>
            </w: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adoption of the new guidance.</w:t>
            </w:r>
          </w:p>
        </w:tc>
      </w:tr>
      <w:tr>
        <w:trPr>
          <w:trHeight w:val="203"/>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Hedging Activities</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in the same line item in which the earnings effect of the hedged</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(with early adoption</w:t>
            </w:r>
          </w:p>
        </w:tc>
        <w:tc>
          <w:tcPr>
            <w:tcW w:w="2960" w:type="dxa"/>
            <w:vAlign w:val="bottom"/>
            <w:tcBorders>
              <w:right w:val="single" w:sz="8" w:color="auto"/>
            </w:tcBorders>
          </w:tcPr>
          <w:p>
            <w:pPr>
              <w:spacing w:after="0"/>
              <w:rPr>
                <w:sz w:val="17"/>
                <w:szCs w:val="17"/>
                <w:color w:val="auto"/>
              </w:rPr>
            </w:pPr>
          </w:p>
        </w:tc>
      </w:tr>
      <w:tr>
        <w:trPr>
          <w:trHeight w:val="203"/>
        </w:trPr>
        <w:tc>
          <w:tcPr>
            <w:tcW w:w="232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item is reported, and (iii) eliminate the requirement to separately</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permitted)</w:t>
            </w:r>
          </w:p>
        </w:tc>
        <w:tc>
          <w:tcPr>
            <w:tcW w:w="2960" w:type="dxa"/>
            <w:vAlign w:val="bottom"/>
            <w:tcBorders>
              <w:right w:val="single" w:sz="8" w:color="auto"/>
            </w:tcBorders>
          </w:tcPr>
          <w:p>
            <w:pPr>
              <w:spacing w:after="0"/>
              <w:rPr>
                <w:sz w:val="17"/>
                <w:szCs w:val="17"/>
                <w:color w:val="auto"/>
              </w:rPr>
            </w:pPr>
          </w:p>
        </w:tc>
      </w:tr>
      <w:tr>
        <w:trPr>
          <w:trHeight w:val="206"/>
        </w:trPr>
        <w:tc>
          <w:tcPr>
            <w:tcW w:w="232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measure and report hedge ineffectiveness.</w:t>
            </w:r>
          </w:p>
        </w:tc>
        <w:tc>
          <w:tcPr>
            <w:tcW w:w="170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spacing w:after="0"/>
              <w:rPr>
                <w:sz w:val="17"/>
                <w:szCs w:val="17"/>
                <w:color w:val="auto"/>
              </w:rPr>
            </w:pPr>
          </w:p>
        </w:tc>
      </w:tr>
      <w:tr>
        <w:trPr>
          <w:trHeight w:val="33"/>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r>
      <w:tr>
        <w:trPr>
          <w:trHeight w:val="213"/>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ASU 2016-13, Financial</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1"/>
              </w:rPr>
              <w:t>The amendments to Topic 326 replace the incurred loss impairment</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2020 using</w:t>
            </w: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Company is currently evaluating the</w:t>
            </w:r>
          </w:p>
        </w:tc>
      </w:tr>
      <w:tr>
        <w:trPr>
          <w:trHeight w:val="203"/>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Instruments - Credit Losses</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methodology for certain financial instruments with one that reflects</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modified</w:t>
            </w: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impact of this guidance on its consolidated</w:t>
            </w:r>
          </w:p>
        </w:tc>
      </w:tr>
      <w:tr>
        <w:trPr>
          <w:trHeight w:val="203"/>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(Topic 326): Measurement of</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expected credit losses based on historical loss information, current</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retrospective method</w:t>
            </w: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financial statements. The Company expects</w:t>
            </w:r>
          </w:p>
        </w:tc>
      </w:tr>
      <w:tr>
        <w:trPr>
          <w:trHeight w:val="203"/>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Credit Losses on Financial</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conditions, and reasonable and supportable forecasts. The new</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(with early adoption</w:t>
            </w: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most significant impacts to be earlier</w:t>
            </w:r>
          </w:p>
        </w:tc>
      </w:tr>
      <w:tr>
        <w:trPr>
          <w:trHeight w:val="203"/>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Instruments</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guidance also requires that an OTTI on a debt security will be</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permitted beginning</w:t>
            </w: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recognition  of  impairments  on  mortgage</w:t>
            </w:r>
          </w:p>
        </w:tc>
      </w:tr>
      <w:tr>
        <w:trPr>
          <w:trHeight w:val="203"/>
        </w:trPr>
        <w:tc>
          <w:tcPr>
            <w:tcW w:w="232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2"/>
              </w:rPr>
              <w:t>recognized as an allowance going forward, such that improvements</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2019)</w:t>
            </w: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loan investments.</w:t>
            </w:r>
          </w:p>
        </w:tc>
      </w:tr>
      <w:tr>
        <w:trPr>
          <w:trHeight w:val="203"/>
        </w:trPr>
        <w:tc>
          <w:tcPr>
            <w:tcW w:w="232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in expected future cash flows after an impairment will no longer be</w:t>
            </w:r>
          </w:p>
        </w:tc>
        <w:tc>
          <w:tcPr>
            <w:tcW w:w="170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spacing w:after="0"/>
              <w:rPr>
                <w:sz w:val="17"/>
                <w:szCs w:val="17"/>
                <w:color w:val="auto"/>
              </w:rPr>
            </w:pPr>
          </w:p>
        </w:tc>
      </w:tr>
      <w:tr>
        <w:trPr>
          <w:trHeight w:val="203"/>
        </w:trPr>
        <w:tc>
          <w:tcPr>
            <w:tcW w:w="232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reflected as a prospective yield adjustment through net investment</w:t>
            </w:r>
          </w:p>
        </w:tc>
        <w:tc>
          <w:tcPr>
            <w:tcW w:w="170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spacing w:after="0"/>
              <w:rPr>
                <w:sz w:val="17"/>
                <w:szCs w:val="17"/>
                <w:color w:val="auto"/>
              </w:rPr>
            </w:pPr>
          </w:p>
        </w:tc>
      </w:tr>
      <w:tr>
        <w:trPr>
          <w:trHeight w:val="203"/>
        </w:trPr>
        <w:tc>
          <w:tcPr>
            <w:tcW w:w="232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income, but rather a reversal of the previous impairment and</w:t>
            </w:r>
          </w:p>
        </w:tc>
        <w:tc>
          <w:tcPr>
            <w:tcW w:w="170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spacing w:after="0"/>
              <w:rPr>
                <w:sz w:val="17"/>
                <w:szCs w:val="17"/>
                <w:color w:val="auto"/>
              </w:rPr>
            </w:pPr>
          </w:p>
        </w:tc>
      </w:tr>
      <w:tr>
        <w:trPr>
          <w:trHeight w:val="206"/>
        </w:trPr>
        <w:tc>
          <w:tcPr>
            <w:tcW w:w="232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recognized through realized investment gains and losses.</w:t>
            </w:r>
          </w:p>
        </w:tc>
        <w:tc>
          <w:tcPr>
            <w:tcW w:w="170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spacing w:after="0"/>
              <w:rPr>
                <w:sz w:val="17"/>
                <w:szCs w:val="17"/>
                <w:color w:val="auto"/>
              </w:rPr>
            </w:pPr>
          </w:p>
        </w:tc>
      </w:tr>
      <w:tr>
        <w:trPr>
          <w:trHeight w:val="33"/>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r>
      <w:tr>
        <w:trPr>
          <w:trHeight w:val="213"/>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ASU 2016-01, Financial</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1"/>
              </w:rPr>
              <w:t>The new guidance changes the current accounting guidance related</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2018 using</w:t>
            </w: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Effective January 1, 2018 the Company will</w:t>
            </w:r>
          </w:p>
        </w:tc>
      </w:tr>
      <w:tr>
        <w:trPr>
          <w:trHeight w:val="203"/>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Instruments - Overall:</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to  (i)  the  classification  and  measurement  of  certain  equity</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modified</w:t>
            </w: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2"/>
              </w:rPr>
              <w:t>carry available-for-sale equity securities and</w:t>
            </w:r>
          </w:p>
        </w:tc>
      </w:tr>
      <w:tr>
        <w:trPr>
          <w:trHeight w:val="203"/>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5"/>
              </w:rPr>
              <w:t>Recognition and Measurement of</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investments, (ii) the presentation of changes in the fair value of</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retrospective method</w:t>
            </w: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partnerships and joint ventures accounted</w:t>
            </w:r>
          </w:p>
        </w:tc>
      </w:tr>
      <w:tr>
        <w:trPr>
          <w:trHeight w:val="203"/>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Financial Assets and Financial</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financial liabilities measured under the FVO that are due to</w:t>
            </w:r>
          </w:p>
        </w:tc>
        <w:tc>
          <w:tcPr>
            <w:tcW w:w="170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for under the cost method at fair value with</w:t>
            </w:r>
          </w:p>
        </w:tc>
      </w:tr>
      <w:tr>
        <w:trPr>
          <w:trHeight w:val="203"/>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Liabilities</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instrument-specific  credit  risk,  and  (iii)  certain  disclosures</w:t>
            </w:r>
          </w:p>
        </w:tc>
        <w:tc>
          <w:tcPr>
            <w:tcW w:w="170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changes in fair value recognized in net</w:t>
            </w:r>
          </w:p>
        </w:tc>
      </w:tr>
      <w:tr>
        <w:trPr>
          <w:trHeight w:val="203"/>
        </w:trPr>
        <w:tc>
          <w:tcPr>
            <w:tcW w:w="232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associated  with  the  fair  value  of  financial  instruments.</w:t>
            </w:r>
          </w:p>
        </w:tc>
        <w:tc>
          <w:tcPr>
            <w:tcW w:w="170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income.  The  Company  will  reclassify</w:t>
            </w:r>
          </w:p>
        </w:tc>
      </w:tr>
      <w:tr>
        <w:trPr>
          <w:trHeight w:val="203"/>
        </w:trPr>
        <w:tc>
          <w:tcPr>
            <w:tcW w:w="232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Additionally, there will no longer be a requirement to assess equity</w:t>
            </w:r>
          </w:p>
        </w:tc>
        <w:tc>
          <w:tcPr>
            <w:tcW w:w="170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unrealized gains related to equity securities</w:t>
            </w:r>
          </w:p>
        </w:tc>
      </w:tr>
      <w:tr>
        <w:trPr>
          <w:trHeight w:val="203"/>
        </w:trPr>
        <w:tc>
          <w:tcPr>
            <w:tcW w:w="232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securities for impairment since such securities will be measured at</w:t>
            </w:r>
          </w:p>
        </w:tc>
        <w:tc>
          <w:tcPr>
            <w:tcW w:w="170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of $19 million AOCI to opening retained</w:t>
            </w:r>
          </w:p>
        </w:tc>
      </w:tr>
      <w:tr>
        <w:trPr>
          <w:trHeight w:val="203"/>
        </w:trPr>
        <w:tc>
          <w:tcPr>
            <w:tcW w:w="232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fair value through net income.</w:t>
            </w:r>
          </w:p>
        </w:tc>
        <w:tc>
          <w:tcPr>
            <w:tcW w:w="170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earnings. Additionally, the Company will</w:t>
            </w:r>
          </w:p>
        </w:tc>
      </w:tr>
      <w:tr>
        <w:trPr>
          <w:trHeight w:val="203"/>
        </w:trPr>
        <w:tc>
          <w:tcPr>
            <w:tcW w:w="232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2"/>
              </w:rPr>
              <w:t>adjust the carrying value of partnerships and</w:t>
            </w:r>
          </w:p>
        </w:tc>
      </w:tr>
      <w:tr>
        <w:trPr>
          <w:trHeight w:val="203"/>
        </w:trPr>
        <w:tc>
          <w:tcPr>
            <w:tcW w:w="232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joint  ventures,  previously  accounted  for</w:t>
            </w:r>
          </w:p>
        </w:tc>
      </w:tr>
      <w:tr>
        <w:trPr>
          <w:trHeight w:val="203"/>
        </w:trPr>
        <w:tc>
          <w:tcPr>
            <w:tcW w:w="232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under the cost method, from cost to fair</w:t>
            </w:r>
          </w:p>
        </w:tc>
      </w:tr>
      <w:tr>
        <w:trPr>
          <w:trHeight w:val="203"/>
        </w:trPr>
        <w:tc>
          <w:tcPr>
            <w:tcW w:w="232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value, resulting in a $9 million increase to</w:t>
            </w:r>
          </w:p>
        </w:tc>
      </w:tr>
      <w:tr>
        <w:trPr>
          <w:trHeight w:val="206"/>
        </w:trPr>
        <w:tc>
          <w:tcPr>
            <w:tcW w:w="232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retained earnings.</w:t>
            </w:r>
          </w:p>
        </w:tc>
      </w:tr>
      <w:tr>
        <w:trPr>
          <w:trHeight w:val="236"/>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44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r>
      <w:tr>
        <w:trPr>
          <w:trHeight w:val="213"/>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ASU 2014-09 Revenue from</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For those contracts that are impacted, the guidance will require an</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2018 using</w:t>
            </w: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No  impact  on  the  Company’s  financial</w:t>
            </w:r>
          </w:p>
        </w:tc>
      </w:tr>
      <w:tr>
        <w:trPr>
          <w:trHeight w:val="203"/>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6"/>
              </w:rPr>
              <w:t>Contracts with Customers (Topic</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entity to recognize revenue upon the transfer of promised goods or</w:t>
            </w:r>
          </w:p>
        </w:tc>
        <w:tc>
          <w:tcPr>
            <w:tcW w:w="17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the retrospective method</w:t>
            </w:r>
          </w:p>
        </w:tc>
        <w:tc>
          <w:tcPr>
            <w:tcW w:w="29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statements.</w:t>
            </w:r>
          </w:p>
        </w:tc>
      </w:tr>
      <w:tr>
        <w:trPr>
          <w:trHeight w:val="203"/>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606)</w:t>
            </w: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services to customers in an amount that reflects the consideration</w:t>
            </w:r>
          </w:p>
        </w:tc>
        <w:tc>
          <w:tcPr>
            <w:tcW w:w="170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spacing w:after="0"/>
              <w:rPr>
                <w:sz w:val="17"/>
                <w:szCs w:val="17"/>
                <w:color w:val="auto"/>
              </w:rPr>
            </w:pPr>
          </w:p>
        </w:tc>
      </w:tr>
      <w:tr>
        <w:trPr>
          <w:trHeight w:val="203"/>
        </w:trPr>
        <w:tc>
          <w:tcPr>
            <w:tcW w:w="232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to which the entity expects to be entitled, in exchange for those</w:t>
            </w:r>
          </w:p>
        </w:tc>
        <w:tc>
          <w:tcPr>
            <w:tcW w:w="170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spacing w:after="0"/>
              <w:rPr>
                <w:sz w:val="17"/>
                <w:szCs w:val="17"/>
                <w:color w:val="auto"/>
              </w:rPr>
            </w:pPr>
          </w:p>
        </w:tc>
      </w:tr>
      <w:tr>
        <w:trPr>
          <w:trHeight w:val="206"/>
        </w:trPr>
        <w:tc>
          <w:tcPr>
            <w:tcW w:w="232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goods or services.</w:t>
            </w:r>
          </w:p>
        </w:tc>
        <w:tc>
          <w:tcPr>
            <w:tcW w:w="170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spacing w:after="0"/>
              <w:rPr>
                <w:sz w:val="17"/>
                <w:szCs w:val="17"/>
                <w:color w:val="auto"/>
              </w:rPr>
            </w:pPr>
          </w:p>
        </w:tc>
      </w:tr>
      <w:tr>
        <w:trPr>
          <w:trHeight w:val="33"/>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r>
    </w:tbl>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40"/>
          </w:cols>
          <w:pgMar w:left="240" w:top="229" w:right="2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Effective January 3, 2017, the Chicago Mercantile Exchange (“CME”) amended its rulebook, resulting in the characterization of variation margin transfers as settlement payments, as opposed to adjustments to collateral. These amendments impacted the accounting treatment of the Company’s centrally cleared derivatives, for which the CME serves as the central clearing party. As of the effective date, the application of the amended rulebook, reduced gross derivative assets by $206 million, gross derivative liabilities by $927 million, accrued investment income by $30 million, collateral receivables recorded within premiums, reinsurance and other receivables of $765 million, and collateral payables recorded within payables for collateral under securities loaned and other transactions of $74 million.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organized into three segments: Annuities; Life; and Run-off. In addition, the Company reports certain of its results of operations in Corporate &amp; Other.</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Annuities</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The Annuities segment consists of a variety of variable, fixed, index-linked and income annuities designed to address contract holders’ needs for protected wealth accumulation on a tax-deferred basis, wealth transfer and income security.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Life</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Life segment consists of insurance products and services, including term, whole, universal and variable life products designed to address policyholders’ needs for financial security and protected wealth transfer, which may be provided on a tax-advantaged basis.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Run-off</w:t>
      </w:r>
    </w:p>
    <w:p>
      <w:pPr>
        <w:spacing w:after="0" w:line="117" w:lineRule="exact"/>
        <w:rPr>
          <w:sz w:val="20"/>
          <w:szCs w:val="20"/>
          <w:color w:val="auto"/>
        </w:rPr>
      </w:pPr>
    </w:p>
    <w:p>
      <w:pPr>
        <w:jc w:val="both"/>
        <w:ind w:left="180" w:firstLine="324"/>
        <w:spacing w:after="0" w:line="308" w:lineRule="auto"/>
        <w:rPr>
          <w:sz w:val="20"/>
          <w:szCs w:val="20"/>
          <w:color w:val="auto"/>
        </w:rPr>
      </w:pPr>
      <w:r>
        <w:rPr>
          <w:rFonts w:ascii="Arial" w:cs="Arial" w:eastAsia="Arial" w:hAnsi="Arial"/>
          <w:sz w:val="17"/>
          <w:szCs w:val="17"/>
          <w:color w:val="auto"/>
        </w:rPr>
        <w:t>The Run-off segment consists of products no longer actively sold and which are separately managed, including structured settlements, pension risk transfer contracts, certain company-owned life insurance policies, funding agreements and universal life with secondary guarantees (“ULSG”).</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Corporate &amp; Other</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Corporate &amp; Other contains the excess capital not allocated to the segments and interest expense related to the majority of the Company’s outstanding debt, as well as expenses associated with certain legal proceedings and income tax audit issues. Corporate &amp; Other also includes the elimination of intersegment amounts, long-term care and workers compensation business reinsured through 100% quota share reinsurance agreements and term life insurance sold direct to consumers, which is no longer being offered for new sales.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Measures and Segment Accounting Policies</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Adjusted earnings is a financial measure used by management to evaluate performance, allocate resources and facilitate comparisons to industry results. Consistent with GAAP guidance for segment reporting, adjusted earnings is also used to measure segment performance. The Company believes the presentation of adjusted earnings, as the Company measures it for management purposes, enhances the understanding of its performance by highlighting the results of operations and the underlying profitability drivers of the business. Adjusted earnings should not be viewed as a substitute for net income (loss).</w:t>
      </w:r>
    </w:p>
    <w:p>
      <w:pPr>
        <w:spacing w:after="0" w:line="46"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Adjusted earnings, which may be positive or negative, focuses on the Company’s primary businesses principally by excluding the impact of market volatility, which could distort trends, as well as businesses that have been or will be sold or exited by the Company, referred to as divested businesses.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significant items excluded from total revenues in calculating adjusted earnings:</w:t>
      </w:r>
    </w:p>
    <w:p>
      <w:pPr>
        <w:spacing w:after="0" w:line="11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Net derivative gains (losses) except earned income on derivatives and amortization of premium on derivatives that are hedges of investments or that are used to replicate certain investments, but do not qualify for hedge accounting treatment;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Amortization of unearned revenue related to net investment gains (losses) and net derivative gains (losses) and certain variable annuity GMIB fees (“GMIB Fees”).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2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significant items excluded from total expenses in calculating adjusted earnings:</w:t>
      </w:r>
    </w:p>
    <w:p>
      <w:pPr>
        <w:spacing w:after="0" w:line="11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Amounts associated with benefits and hedging costs related to GMIBs (“GMIB Costs”);</w:t>
      </w:r>
    </w:p>
    <w:p>
      <w:pPr>
        <w:spacing w:after="0" w:line="171" w:lineRule="exact"/>
        <w:rPr>
          <w:rFonts w:ascii="Arial" w:cs="Arial" w:eastAsia="Arial" w:hAnsi="Arial"/>
          <w:sz w:val="18"/>
          <w:szCs w:val="18"/>
          <w:color w:val="auto"/>
        </w:rPr>
      </w:pPr>
    </w:p>
    <w:p>
      <w:pPr>
        <w:ind w:left="1060" w:right="20" w:hanging="7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Amortization of DAC and VOBA related to: (i) net investment gains (losses), (ii) net derivative gains (losses), (iii) GMIB Fees and GMIB Costs and (iv) Market Value Adjustments.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tax impact of the adjustments mentioned above are calculated net of the U.S statutory tax rate, which could differ from the Company’s effective tax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Set forth in the tables below is certain financial information with respect to the Company’s segments, as well as Corporate &amp; Other, for the years ended December 31, 2017, 2016 and 2015 and at December 31, 2017 and 2016. The segment accounting policies are the same as those used to prepare the Company’s consolidated financial statements, except for the adjustments to calculate adjusted earnings described above. In addition, segment accounting policies include the method of capital allocation described below.</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internal capital model is a risk capital model that reflects management’s judgment and view of required capital to represent the measurement of the risk profile of the business, to meet the Company’s long term promises to clients, to service long-term obligations and to support the credit ratings of the Company. It accounts for the unique and specific nature of the risks inherent in the Company’s business. Management is responsible for the ongoing production and enhancement of the internal capital model and reviewed its approach periodically to ensure that it remained consistent with emerging industry practice standards.</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Beginning in 2018, the Company will allocate equity to the segments based on its new statutory capital oriented internal capital allocation model, which considers capital requirements and aligns with emerging standards and consistent risk principles.</w:t>
      </w:r>
    </w:p>
    <w:p>
      <w:pPr>
        <w:spacing w:after="0" w:line="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2017 and prior years, segment net investment income was credited or charged based on the level of allocated equity; however, changes in allocated equity do not impact the Company’s consolidated net investment income or net income (loss). Going forward, investment portfolios will be funded to support both liabilities and allocated surplus of each segment, requiring no allocated equity adjustments to net investment income. The impact to segment results is not expected to be material. Net investment income is based upon the actual results of each segment’s specifically identifiable investment portfolios adjusted for allocated equity. Other costs are allocated to each of the segments based upon: (i) a review of the nature of such costs; (ii) time studies analyzing the amount of employee time incurred by each segment; and (iii) cost estimates included in the Company’s product pricing.</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22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5"/>
              </w:rPr>
              <w:t>Operating Results</w:t>
            </w: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333333"/>
                <w:w w:val="90"/>
              </w:rPr>
              <w:t>Corporate</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960" w:type="dxa"/>
            <w:vAlign w:val="bottom"/>
            <w:gridSpan w:val="2"/>
          </w:tcPr>
          <w:p>
            <w:pPr>
              <w:ind w:left="40"/>
              <w:spacing w:after="0"/>
              <w:rPr>
                <w:sz w:val="20"/>
                <w:szCs w:val="20"/>
                <w:color w:val="auto"/>
              </w:rPr>
            </w:pPr>
            <w:r>
              <w:rPr>
                <w:rFonts w:ascii="Arial" w:cs="Arial" w:eastAsia="Arial" w:hAnsi="Arial"/>
                <w:sz w:val="13"/>
                <w:szCs w:val="13"/>
                <w:b w:val="1"/>
                <w:bCs w:val="1"/>
                <w:color w:val="auto"/>
              </w:rPr>
              <w:t>Year Ended December 31, 2017</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Annuities</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Life</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333333"/>
              </w:rPr>
              <w:t>Run-off</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333333"/>
                <w:w w:val="96"/>
              </w:rPr>
              <w:t>&amp; Other</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333333"/>
              </w:rPr>
              <w:t>Total</w:t>
            </w:r>
          </w:p>
        </w:tc>
        <w:tc>
          <w:tcPr>
            <w:tcW w:w="0" w:type="dxa"/>
            <w:vAlign w:val="bottom"/>
          </w:tcPr>
          <w:p>
            <w:pPr>
              <w:spacing w:after="0"/>
              <w:rPr>
                <w:sz w:val="1"/>
                <w:szCs w:val="1"/>
                <w:color w:val="auto"/>
              </w:rPr>
            </w:pPr>
          </w:p>
        </w:tc>
      </w:tr>
      <w:tr>
        <w:trPr>
          <w:trHeight w:val="249"/>
        </w:trPr>
        <w:tc>
          <w:tcPr>
            <w:tcW w:w="5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center"/>
              <w:ind w:left="71"/>
              <w:spacing w:after="0"/>
              <w:rPr>
                <w:sz w:val="20"/>
                <w:szCs w:val="20"/>
                <w:color w:val="auto"/>
              </w:rPr>
            </w:pPr>
            <w:r>
              <w:rPr>
                <w:rFonts w:ascii="Arial" w:cs="Arial" w:eastAsia="Arial" w:hAnsi="Arial"/>
                <w:sz w:val="13"/>
                <w:szCs w:val="13"/>
                <w:b w:val="1"/>
                <w:bCs w:val="1"/>
                <w:color w:val="auto"/>
                <w:w w:val="90"/>
              </w:rPr>
              <w:t>(In millions)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Pre-tax adjusted earnings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1,230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Provision for income tax expense (benefit)</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323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338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236"/>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shd w:val="clear" w:color="auto" w:fill="CCEEFF"/>
              </w:rPr>
              <w:t>Adjusted earnings</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907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ind w:left="40"/>
              <w:spacing w:after="0"/>
              <w:rPr>
                <w:sz w:val="20"/>
                <w:szCs w:val="20"/>
                <w:color w:val="auto"/>
              </w:rPr>
            </w:pPr>
            <w:r>
              <w:rPr>
                <w:rFonts w:ascii="Arial" w:cs="Arial" w:eastAsia="Arial" w:hAnsi="Arial"/>
                <w:sz w:val="14"/>
                <w:szCs w:val="14"/>
                <w:color w:val="auto"/>
              </w:rPr>
              <w:t>Adjustments for:</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9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investment gains (losses)</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64"/>
        </w:trPr>
        <w:tc>
          <w:tcPr>
            <w:tcW w:w="5960" w:type="dxa"/>
            <w:vAlign w:val="bottom"/>
            <w:gridSpan w:val="2"/>
          </w:tcPr>
          <w:p>
            <w:pPr>
              <w:ind w:left="40"/>
              <w:spacing w:after="0"/>
              <w:rPr>
                <w:sz w:val="20"/>
                <w:szCs w:val="20"/>
                <w:color w:val="auto"/>
              </w:rPr>
            </w:pPr>
            <w:r>
              <w:rPr>
                <w:rFonts w:ascii="Arial" w:cs="Arial" w:eastAsia="Arial" w:hAnsi="Arial"/>
                <w:sz w:val="14"/>
                <w:szCs w:val="14"/>
                <w:color w:val="auto"/>
              </w:rPr>
              <w:t>Net derivative gains (losses)</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(1,468)</w:t>
            </w:r>
          </w:p>
        </w:tc>
        <w:tc>
          <w:tcPr>
            <w:tcW w:w="0" w:type="dxa"/>
            <w:vAlign w:val="bottom"/>
          </w:tcPr>
          <w:p>
            <w:pPr>
              <w:spacing w:after="0"/>
              <w:rPr>
                <w:sz w:val="1"/>
                <w:szCs w:val="1"/>
                <w:color w:val="auto"/>
              </w:rPr>
            </w:pPr>
          </w:p>
        </w:tc>
      </w:tr>
      <w:tr>
        <w:trPr>
          <w:trHeight w:val="276"/>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adjustments to net income</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Provision for income tax (expense) benefit</w:t>
            </w:r>
          </w:p>
        </w:tc>
        <w:tc>
          <w:tcPr>
            <w:tcW w:w="18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1,197</w:t>
            </w: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shd w:val="clear" w:color="auto" w:fill="CCEEFF"/>
              </w:rPr>
              <w:t>Interest revenue</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1,263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1,399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5960" w:type="dxa"/>
            <w:vAlign w:val="bottom"/>
            <w:gridSpan w:val="2"/>
          </w:tcPr>
          <w:p>
            <w:pPr>
              <w:ind w:left="40"/>
              <w:spacing w:after="0"/>
              <w:rPr>
                <w:sz w:val="20"/>
                <w:szCs w:val="20"/>
                <w:color w:val="auto"/>
              </w:rPr>
            </w:pPr>
            <w:r>
              <w:rPr>
                <w:rFonts w:ascii="Arial" w:cs="Arial" w:eastAsia="Arial" w:hAnsi="Arial"/>
                <w:sz w:val="14"/>
                <w:szCs w:val="14"/>
                <w:color w:val="auto"/>
              </w:rPr>
              <w:t>Interest expense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Corporate &amp;</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960" w:type="dxa"/>
            <w:vAlign w:val="bottom"/>
            <w:gridSpan w:val="2"/>
          </w:tcPr>
          <w:p>
            <w:pPr>
              <w:ind w:left="40"/>
              <w:spacing w:after="0"/>
              <w:rPr>
                <w:sz w:val="20"/>
                <w:szCs w:val="20"/>
                <w:color w:val="auto"/>
              </w:rPr>
            </w:pPr>
            <w:r>
              <w:rPr>
                <w:rFonts w:ascii="Arial" w:cs="Arial" w:eastAsia="Arial" w:hAnsi="Arial"/>
                <w:sz w:val="13"/>
                <w:szCs w:val="13"/>
                <w:b w:val="1"/>
                <w:bCs w:val="1"/>
                <w:color w:val="auto"/>
              </w:rPr>
              <w:t>Balance at December 31, 2017</w:t>
            </w:r>
          </w:p>
        </w:tc>
        <w:tc>
          <w:tcPr>
            <w:tcW w:w="18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Arial" w:cs="Arial" w:eastAsia="Arial" w:hAnsi="Arial"/>
                <w:sz w:val="13"/>
                <w:szCs w:val="13"/>
                <w:b w:val="1"/>
                <w:bCs w:val="1"/>
                <w:color w:val="auto"/>
              </w:rPr>
              <w:t>Annuities</w:t>
            </w:r>
          </w:p>
        </w:tc>
        <w:tc>
          <w:tcPr>
            <w:tcW w:w="20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Arial" w:cs="Arial" w:eastAsia="Arial" w:hAnsi="Arial"/>
                <w:sz w:val="13"/>
                <w:szCs w:val="13"/>
                <w:b w:val="1"/>
                <w:bCs w:val="1"/>
                <w:color w:val="auto"/>
              </w:rPr>
              <w:t>Life</w:t>
            </w:r>
          </w:p>
        </w:tc>
        <w:tc>
          <w:tcPr>
            <w:tcW w:w="12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3"/>
                <w:szCs w:val="13"/>
                <w:b w:val="1"/>
                <w:bCs w:val="1"/>
                <w:color w:val="auto"/>
              </w:rPr>
              <w:t>Run-off</w:t>
            </w: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Other</w:t>
            </w:r>
          </w:p>
        </w:tc>
        <w:tc>
          <w:tcPr>
            <w:tcW w:w="28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5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center"/>
              <w:ind w:left="71"/>
              <w:spacing w:after="0"/>
              <w:rPr>
                <w:sz w:val="20"/>
                <w:szCs w:val="20"/>
                <w:color w:val="auto"/>
              </w:rPr>
            </w:pPr>
            <w:r>
              <w:rPr>
                <w:rFonts w:ascii="Arial" w:cs="Arial" w:eastAsia="Arial" w:hAnsi="Arial"/>
                <w:sz w:val="13"/>
                <w:szCs w:val="13"/>
                <w:b w:val="1"/>
                <w:bCs w:val="1"/>
                <w:color w:val="auto"/>
                <w:w w:val="90"/>
              </w:rPr>
              <w:t>(In millions)</w:t>
            </w: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149,920</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13,044</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36,719</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12,362</w:t>
            </w:r>
          </w:p>
        </w:tc>
        <w:tc>
          <w:tcPr>
            <w:tcW w:w="12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212,045</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960" w:type="dxa"/>
            <w:vAlign w:val="bottom"/>
            <w:gridSpan w:val="2"/>
          </w:tcPr>
          <w:p>
            <w:pPr>
              <w:ind w:left="40"/>
              <w:spacing w:after="0"/>
              <w:rPr>
                <w:sz w:val="20"/>
                <w:szCs w:val="20"/>
                <w:color w:val="auto"/>
              </w:rPr>
            </w:pPr>
            <w:r>
              <w:rPr>
                <w:rFonts w:ascii="Arial" w:cs="Arial" w:eastAsia="Arial" w:hAnsi="Arial"/>
                <w:sz w:val="14"/>
                <w:szCs w:val="14"/>
                <w:color w:val="auto"/>
              </w:rPr>
              <w:t>Separate account assets</w:t>
            </w: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105,140</w:t>
            </w:r>
          </w:p>
        </w:tc>
        <w:tc>
          <w:tcPr>
            <w:tcW w:w="120" w:type="dxa"/>
            <w:vAlign w:val="bottom"/>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50"/>
              <w:spacing w:after="0"/>
              <w:rPr>
                <w:sz w:val="20"/>
                <w:szCs w:val="20"/>
                <w:color w:val="auto"/>
              </w:rPr>
            </w:pPr>
            <w:r>
              <w:rPr>
                <w:rFonts w:ascii="Arial" w:cs="Arial" w:eastAsia="Arial" w:hAnsi="Arial"/>
                <w:sz w:val="14"/>
                <w:szCs w:val="14"/>
                <w:color w:val="auto"/>
              </w:rPr>
              <w:t>1,915</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31"/>
              <w:spacing w:after="0"/>
              <w:rPr>
                <w:sz w:val="20"/>
                <w:szCs w:val="20"/>
                <w:color w:val="auto"/>
              </w:rPr>
            </w:pPr>
            <w:r>
              <w:rPr>
                <w:rFonts w:ascii="Arial" w:cs="Arial" w:eastAsia="Arial" w:hAnsi="Arial"/>
                <w:sz w:val="14"/>
                <w:szCs w:val="14"/>
                <w:color w:val="auto"/>
              </w:rPr>
              <w:t>3,101</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110,156</w:t>
            </w:r>
          </w:p>
        </w:tc>
        <w:tc>
          <w:tcPr>
            <w:tcW w:w="0" w:type="dxa"/>
            <w:vAlign w:val="bottom"/>
          </w:tcPr>
          <w:p>
            <w:pPr>
              <w:spacing w:after="0"/>
              <w:rPr>
                <w:sz w:val="1"/>
                <w:szCs w:val="1"/>
                <w:color w:val="auto"/>
              </w:rPr>
            </w:pPr>
          </w:p>
        </w:tc>
      </w:tr>
      <w:tr>
        <w:trPr>
          <w:trHeight w:val="74"/>
        </w:trPr>
        <w:tc>
          <w:tcPr>
            <w:tcW w:w="5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Separate account liabilities</w:t>
            </w: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105,140</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1,915</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3,101</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110,156</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561"/>
        </w:trPr>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5"/>
              </w:rPr>
              <w:t>Operating Results</w:t>
            </w: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333333"/>
                <w:w w:val="90"/>
              </w:rPr>
              <w:t>Corporate</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960" w:type="dxa"/>
            <w:vAlign w:val="bottom"/>
            <w:gridSpan w:val="2"/>
          </w:tcPr>
          <w:p>
            <w:pPr>
              <w:ind w:left="40"/>
              <w:spacing w:after="0"/>
              <w:rPr>
                <w:sz w:val="20"/>
                <w:szCs w:val="20"/>
                <w:color w:val="auto"/>
              </w:rPr>
            </w:pPr>
            <w:r>
              <w:rPr>
                <w:rFonts w:ascii="Arial" w:cs="Arial" w:eastAsia="Arial" w:hAnsi="Arial"/>
                <w:sz w:val="13"/>
                <w:szCs w:val="13"/>
                <w:b w:val="1"/>
                <w:bCs w:val="1"/>
                <w:color w:val="auto"/>
              </w:rPr>
              <w:t>Year Ended December 31, 2016</w:t>
            </w:r>
          </w:p>
        </w:tc>
        <w:tc>
          <w:tcPr>
            <w:tcW w:w="18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Arial" w:cs="Arial" w:eastAsia="Arial" w:hAnsi="Arial"/>
                <w:sz w:val="13"/>
                <w:szCs w:val="13"/>
                <w:b w:val="1"/>
                <w:bCs w:val="1"/>
                <w:color w:val="auto"/>
              </w:rPr>
              <w:t>Annuities</w:t>
            </w:r>
          </w:p>
        </w:tc>
        <w:tc>
          <w:tcPr>
            <w:tcW w:w="20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Arial" w:cs="Arial" w:eastAsia="Arial" w:hAnsi="Arial"/>
                <w:sz w:val="13"/>
                <w:szCs w:val="13"/>
                <w:b w:val="1"/>
                <w:bCs w:val="1"/>
                <w:color w:val="auto"/>
              </w:rPr>
              <w:t>Life</w:t>
            </w:r>
          </w:p>
        </w:tc>
        <w:tc>
          <w:tcPr>
            <w:tcW w:w="12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3"/>
                <w:szCs w:val="13"/>
                <w:b w:val="1"/>
                <w:bCs w:val="1"/>
                <w:color w:val="333333"/>
              </w:rPr>
              <w:t>Run-off</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333333"/>
                <w:w w:val="96"/>
              </w:rPr>
              <w:t>&amp; Other</w:t>
            </w:r>
          </w:p>
        </w:tc>
        <w:tc>
          <w:tcPr>
            <w:tcW w:w="28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Arial" w:cs="Arial" w:eastAsia="Arial" w:hAnsi="Arial"/>
                <w:sz w:val="13"/>
                <w:szCs w:val="13"/>
                <w:b w:val="1"/>
                <w:bCs w:val="1"/>
                <w:color w:val="333333"/>
              </w:rPr>
              <w:t>Total</w:t>
            </w:r>
          </w:p>
        </w:tc>
        <w:tc>
          <w:tcPr>
            <w:tcW w:w="0" w:type="dxa"/>
            <w:vAlign w:val="bottom"/>
          </w:tcPr>
          <w:p>
            <w:pPr>
              <w:spacing w:after="0"/>
              <w:rPr>
                <w:sz w:val="1"/>
                <w:szCs w:val="1"/>
                <w:color w:val="auto"/>
              </w:rPr>
            </w:pPr>
          </w:p>
        </w:tc>
      </w:tr>
      <w:tr>
        <w:trPr>
          <w:trHeight w:val="262"/>
        </w:trPr>
        <w:tc>
          <w:tcPr>
            <w:tcW w:w="58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gridSpan w:val="2"/>
          </w:tcPr>
          <w:p>
            <w:pPr>
              <w:jc w:val="center"/>
              <w:ind w:left="71"/>
              <w:spacing w:after="0"/>
              <w:rPr>
                <w:sz w:val="20"/>
                <w:szCs w:val="20"/>
                <w:color w:val="auto"/>
              </w:rPr>
            </w:pPr>
            <w:r>
              <w:rPr>
                <w:rFonts w:ascii="Arial" w:cs="Arial" w:eastAsia="Arial" w:hAnsi="Arial"/>
                <w:sz w:val="13"/>
                <w:szCs w:val="13"/>
                <w:b w:val="1"/>
                <w:bCs w:val="1"/>
                <w:color w:val="auto"/>
                <w:w w:val="90"/>
              </w:rPr>
              <w:t>(In millions)</w:t>
            </w:r>
          </w:p>
        </w:tc>
        <w:tc>
          <w:tcPr>
            <w:tcW w:w="1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Pre-tax adjusted earnings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1,494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1,274</w:t>
            </w:r>
          </w:p>
        </w:tc>
        <w:tc>
          <w:tcPr>
            <w:tcW w:w="0" w:type="dxa"/>
            <w:vAlign w:val="bottom"/>
          </w:tcPr>
          <w:p>
            <w:pPr>
              <w:spacing w:after="0"/>
              <w:rPr>
                <w:sz w:val="1"/>
                <w:szCs w:val="1"/>
                <w:color w:val="auto"/>
              </w:rPr>
            </w:pPr>
          </w:p>
        </w:tc>
      </w:tr>
      <w:tr>
        <w:trPr>
          <w:trHeight w:val="264"/>
        </w:trPr>
        <w:tc>
          <w:tcPr>
            <w:tcW w:w="5960" w:type="dxa"/>
            <w:vAlign w:val="bottom"/>
            <w:gridSpan w:val="2"/>
          </w:tcPr>
          <w:p>
            <w:pPr>
              <w:ind w:left="40"/>
              <w:spacing w:after="0"/>
              <w:rPr>
                <w:sz w:val="20"/>
                <w:szCs w:val="20"/>
                <w:color w:val="auto"/>
              </w:rPr>
            </w:pPr>
            <w:r>
              <w:rPr>
                <w:rFonts w:ascii="Arial" w:cs="Arial" w:eastAsia="Arial" w:hAnsi="Arial"/>
                <w:sz w:val="14"/>
                <w:szCs w:val="14"/>
                <w:color w:val="auto"/>
              </w:rPr>
              <w:t>Provision for income tax expense (benefit)</w:t>
            </w:r>
          </w:p>
        </w:tc>
        <w:tc>
          <w:tcPr>
            <w:tcW w:w="18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441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243"/>
        </w:trPr>
        <w:tc>
          <w:tcPr>
            <w:tcW w:w="59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Adjusted earnings</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ind w:left="40"/>
              <w:spacing w:after="0"/>
              <w:rPr>
                <w:sz w:val="20"/>
                <w:szCs w:val="20"/>
                <w:color w:val="auto"/>
              </w:rPr>
            </w:pPr>
            <w:r>
              <w:rPr>
                <w:rFonts w:ascii="Arial" w:cs="Arial" w:eastAsia="Arial" w:hAnsi="Arial"/>
                <w:sz w:val="14"/>
                <w:szCs w:val="14"/>
                <w:color w:val="auto"/>
              </w:rPr>
              <w:t>Adjustments for:</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9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investment gains (losses)</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64"/>
        </w:trPr>
        <w:tc>
          <w:tcPr>
            <w:tcW w:w="5960" w:type="dxa"/>
            <w:vAlign w:val="bottom"/>
            <w:gridSpan w:val="2"/>
          </w:tcPr>
          <w:p>
            <w:pPr>
              <w:ind w:left="40"/>
              <w:spacing w:after="0"/>
              <w:rPr>
                <w:sz w:val="20"/>
                <w:szCs w:val="20"/>
                <w:color w:val="auto"/>
              </w:rPr>
            </w:pPr>
            <w:r>
              <w:rPr>
                <w:rFonts w:ascii="Arial" w:cs="Arial" w:eastAsia="Arial" w:hAnsi="Arial"/>
                <w:sz w:val="14"/>
                <w:szCs w:val="14"/>
                <w:color w:val="auto"/>
              </w:rPr>
              <w:t>Net derivative gains (losses)</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(5,770)</w:t>
            </w:r>
          </w:p>
        </w:tc>
        <w:tc>
          <w:tcPr>
            <w:tcW w:w="0" w:type="dxa"/>
            <w:vAlign w:val="bottom"/>
          </w:tcPr>
          <w:p>
            <w:pPr>
              <w:spacing w:after="0"/>
              <w:rPr>
                <w:sz w:val="1"/>
                <w:szCs w:val="1"/>
                <w:color w:val="auto"/>
              </w:rPr>
            </w:pPr>
          </w:p>
        </w:tc>
      </w:tr>
      <w:tr>
        <w:trPr>
          <w:trHeight w:val="276"/>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adjustments to net income</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Provision for income tax (expense) benefit</w:t>
            </w:r>
          </w:p>
        </w:tc>
        <w:tc>
          <w:tcPr>
            <w:tcW w:w="18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 revenue</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1,446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351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1,411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5960" w:type="dxa"/>
            <w:vAlign w:val="bottom"/>
            <w:gridSpan w:val="2"/>
          </w:tcPr>
          <w:p>
            <w:pPr>
              <w:ind w:left="40"/>
              <w:spacing w:after="0"/>
              <w:rPr>
                <w:sz w:val="20"/>
                <w:szCs w:val="20"/>
                <w:color w:val="auto"/>
              </w:rPr>
            </w:pPr>
            <w:r>
              <w:rPr>
                <w:rFonts w:ascii="Arial" w:cs="Arial" w:eastAsia="Arial" w:hAnsi="Arial"/>
                <w:sz w:val="14"/>
                <w:szCs w:val="14"/>
                <w:color w:val="auto"/>
              </w:rPr>
              <w:t>Interest expense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Corporate &amp;</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960" w:type="dxa"/>
            <w:vAlign w:val="bottom"/>
            <w:gridSpan w:val="2"/>
          </w:tcPr>
          <w:p>
            <w:pPr>
              <w:ind w:left="40"/>
              <w:spacing w:after="0"/>
              <w:rPr>
                <w:sz w:val="20"/>
                <w:szCs w:val="20"/>
                <w:color w:val="auto"/>
              </w:rPr>
            </w:pPr>
            <w:r>
              <w:rPr>
                <w:rFonts w:ascii="Arial" w:cs="Arial" w:eastAsia="Arial" w:hAnsi="Arial"/>
                <w:sz w:val="13"/>
                <w:szCs w:val="13"/>
                <w:b w:val="1"/>
                <w:bCs w:val="1"/>
                <w:color w:val="auto"/>
              </w:rPr>
              <w:t>Balance at December 31, 2016</w:t>
            </w:r>
          </w:p>
        </w:tc>
        <w:tc>
          <w:tcPr>
            <w:tcW w:w="18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Arial" w:cs="Arial" w:eastAsia="Arial" w:hAnsi="Arial"/>
                <w:sz w:val="13"/>
                <w:szCs w:val="13"/>
                <w:b w:val="1"/>
                <w:bCs w:val="1"/>
                <w:color w:val="auto"/>
              </w:rPr>
              <w:t>Annuities</w:t>
            </w:r>
          </w:p>
        </w:tc>
        <w:tc>
          <w:tcPr>
            <w:tcW w:w="20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Arial" w:cs="Arial" w:eastAsia="Arial" w:hAnsi="Arial"/>
                <w:sz w:val="13"/>
                <w:szCs w:val="13"/>
                <w:b w:val="1"/>
                <w:bCs w:val="1"/>
                <w:color w:val="auto"/>
              </w:rPr>
              <w:t>Life</w:t>
            </w:r>
          </w:p>
        </w:tc>
        <w:tc>
          <w:tcPr>
            <w:tcW w:w="12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3"/>
                <w:szCs w:val="13"/>
                <w:b w:val="1"/>
                <w:bCs w:val="1"/>
                <w:color w:val="auto"/>
              </w:rPr>
              <w:t>Run-off</w:t>
            </w: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Other</w:t>
            </w:r>
          </w:p>
        </w:tc>
        <w:tc>
          <w:tcPr>
            <w:tcW w:w="28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2"/>
        </w:trPr>
        <w:tc>
          <w:tcPr>
            <w:tcW w:w="58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gridSpan w:val="2"/>
          </w:tcPr>
          <w:p>
            <w:pPr>
              <w:jc w:val="center"/>
              <w:ind w:left="71"/>
              <w:spacing w:after="0"/>
              <w:rPr>
                <w:sz w:val="20"/>
                <w:szCs w:val="20"/>
                <w:color w:val="auto"/>
              </w:rPr>
            </w:pPr>
            <w:r>
              <w:rPr>
                <w:rFonts w:ascii="Arial" w:cs="Arial" w:eastAsia="Arial" w:hAnsi="Arial"/>
                <w:sz w:val="13"/>
                <w:szCs w:val="13"/>
                <w:b w:val="1"/>
                <w:bCs w:val="1"/>
                <w:color w:val="auto"/>
                <w:w w:val="90"/>
              </w:rPr>
              <w:t>(In millions)</w:t>
            </w:r>
          </w:p>
        </w:tc>
        <w:tc>
          <w:tcPr>
            <w:tcW w:w="1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146,224</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12,296</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40,575</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12,330</w:t>
            </w:r>
          </w:p>
        </w:tc>
        <w:tc>
          <w:tcPr>
            <w:tcW w:w="12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211,425</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960" w:type="dxa"/>
            <w:vAlign w:val="bottom"/>
            <w:gridSpan w:val="2"/>
          </w:tcPr>
          <w:p>
            <w:pPr>
              <w:ind w:left="40"/>
              <w:spacing w:after="0"/>
              <w:rPr>
                <w:sz w:val="20"/>
                <w:szCs w:val="20"/>
                <w:color w:val="auto"/>
              </w:rPr>
            </w:pPr>
            <w:r>
              <w:rPr>
                <w:rFonts w:ascii="Arial" w:cs="Arial" w:eastAsia="Arial" w:hAnsi="Arial"/>
                <w:sz w:val="14"/>
                <w:szCs w:val="14"/>
                <w:color w:val="auto"/>
              </w:rPr>
              <w:t>Separate account assets</w:t>
            </w: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100,209</w:t>
            </w:r>
          </w:p>
        </w:tc>
        <w:tc>
          <w:tcPr>
            <w:tcW w:w="120" w:type="dxa"/>
            <w:vAlign w:val="bottom"/>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50"/>
              <w:spacing w:after="0"/>
              <w:rPr>
                <w:sz w:val="20"/>
                <w:szCs w:val="20"/>
                <w:color w:val="auto"/>
              </w:rPr>
            </w:pPr>
            <w:r>
              <w:rPr>
                <w:rFonts w:ascii="Arial" w:cs="Arial" w:eastAsia="Arial" w:hAnsi="Arial"/>
                <w:sz w:val="14"/>
                <w:szCs w:val="14"/>
                <w:color w:val="auto"/>
              </w:rPr>
              <w:t>1,671</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31"/>
              <w:spacing w:after="0"/>
              <w:rPr>
                <w:sz w:val="20"/>
                <w:szCs w:val="20"/>
                <w:color w:val="auto"/>
              </w:rPr>
            </w:pPr>
            <w:r>
              <w:rPr>
                <w:rFonts w:ascii="Arial" w:cs="Arial" w:eastAsia="Arial" w:hAnsi="Arial"/>
                <w:sz w:val="14"/>
                <w:szCs w:val="14"/>
                <w:color w:val="auto"/>
              </w:rPr>
              <w:t>3,466</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105,346</w:t>
            </w:r>
          </w:p>
        </w:tc>
        <w:tc>
          <w:tcPr>
            <w:tcW w:w="0" w:type="dxa"/>
            <w:vAlign w:val="bottom"/>
          </w:tcPr>
          <w:p>
            <w:pPr>
              <w:spacing w:after="0"/>
              <w:rPr>
                <w:sz w:val="1"/>
                <w:szCs w:val="1"/>
                <w:color w:val="auto"/>
              </w:rPr>
            </w:pPr>
          </w:p>
        </w:tc>
      </w:tr>
      <w:tr>
        <w:trPr>
          <w:trHeight w:val="74"/>
        </w:trPr>
        <w:tc>
          <w:tcPr>
            <w:tcW w:w="5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Separate account liabilities</w:t>
            </w: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100,209</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1,671</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3,466</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105,346</w:t>
            </w:r>
          </w:p>
        </w:tc>
        <w:tc>
          <w:tcPr>
            <w:tcW w:w="0" w:type="dxa"/>
            <w:vAlign w:val="bottom"/>
          </w:tcPr>
          <w:p>
            <w:pPr>
              <w:spacing w:after="0"/>
              <w:rPr>
                <w:sz w:val="1"/>
                <w:szCs w:val="1"/>
                <w:color w:val="auto"/>
              </w:rPr>
            </w:pPr>
          </w:p>
        </w:tc>
      </w:tr>
      <w:tr>
        <w:trPr>
          <w:trHeight w:val="80"/>
        </w:trPr>
        <w:tc>
          <w:tcPr>
            <w:tcW w:w="58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9"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229" w:right="23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5"/>
              </w:rPr>
              <w:t>Operating Results</w:t>
            </w: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0"/>
              </w:rPr>
              <w:t>Corporate</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960" w:type="dxa"/>
            <w:vAlign w:val="bottom"/>
            <w:gridSpan w:val="2"/>
          </w:tcPr>
          <w:p>
            <w:pPr>
              <w:ind w:left="40"/>
              <w:spacing w:after="0"/>
              <w:rPr>
                <w:sz w:val="20"/>
                <w:szCs w:val="20"/>
                <w:color w:val="auto"/>
              </w:rPr>
            </w:pPr>
            <w:r>
              <w:rPr>
                <w:rFonts w:ascii="Arial" w:cs="Arial" w:eastAsia="Arial" w:hAnsi="Arial"/>
                <w:sz w:val="13"/>
                <w:szCs w:val="13"/>
                <w:b w:val="1"/>
                <w:bCs w:val="1"/>
                <w:color w:val="auto"/>
              </w:rPr>
              <w:t>Year Ended December 31, 2015</w:t>
            </w:r>
          </w:p>
        </w:tc>
        <w:tc>
          <w:tcPr>
            <w:tcW w:w="18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Arial" w:cs="Arial" w:eastAsia="Arial" w:hAnsi="Arial"/>
                <w:sz w:val="13"/>
                <w:szCs w:val="13"/>
                <w:b w:val="1"/>
                <w:bCs w:val="1"/>
                <w:color w:val="auto"/>
              </w:rPr>
              <w:t>Annuities</w:t>
            </w:r>
          </w:p>
        </w:tc>
        <w:tc>
          <w:tcPr>
            <w:tcW w:w="20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Arial" w:cs="Arial" w:eastAsia="Arial" w:hAnsi="Arial"/>
                <w:sz w:val="13"/>
                <w:szCs w:val="13"/>
                <w:b w:val="1"/>
                <w:bCs w:val="1"/>
                <w:color w:val="auto"/>
              </w:rPr>
              <w:t>Life</w:t>
            </w:r>
          </w:p>
        </w:tc>
        <w:tc>
          <w:tcPr>
            <w:tcW w:w="12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3"/>
                <w:szCs w:val="13"/>
                <w:b w:val="1"/>
                <w:bCs w:val="1"/>
                <w:color w:val="auto"/>
              </w:rPr>
              <w:t>Run-off</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&amp; Other</w:t>
            </w:r>
          </w:p>
        </w:tc>
        <w:tc>
          <w:tcPr>
            <w:tcW w:w="28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2"/>
        </w:trPr>
        <w:tc>
          <w:tcPr>
            <w:tcW w:w="58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gridSpan w:val="2"/>
          </w:tcPr>
          <w:p>
            <w:pPr>
              <w:jc w:val="center"/>
              <w:ind w:left="71"/>
              <w:spacing w:after="0"/>
              <w:rPr>
                <w:sz w:val="20"/>
                <w:szCs w:val="20"/>
                <w:color w:val="auto"/>
              </w:rPr>
            </w:pPr>
            <w:r>
              <w:rPr>
                <w:rFonts w:ascii="Arial" w:cs="Arial" w:eastAsia="Arial" w:hAnsi="Arial"/>
                <w:sz w:val="13"/>
                <w:szCs w:val="13"/>
                <w:b w:val="1"/>
                <w:bCs w:val="1"/>
                <w:color w:val="auto"/>
                <w:w w:val="90"/>
              </w:rPr>
              <w:t>(In millions)</w:t>
            </w:r>
          </w:p>
        </w:tc>
        <w:tc>
          <w:tcPr>
            <w:tcW w:w="1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Pre-tax adjusted earnings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1,339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1,919</w:t>
            </w: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Provision for income tax expense (benefit)</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329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247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Adjusted earnings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1,407</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ind w:left="40"/>
              <w:spacing w:after="0"/>
              <w:rPr>
                <w:sz w:val="20"/>
                <w:szCs w:val="20"/>
                <w:color w:val="auto"/>
              </w:rPr>
            </w:pPr>
            <w:r>
              <w:rPr>
                <w:rFonts w:ascii="Arial" w:cs="Arial" w:eastAsia="Arial" w:hAnsi="Arial"/>
                <w:sz w:val="14"/>
                <w:szCs w:val="14"/>
                <w:color w:val="auto"/>
              </w:rPr>
              <w:t>Adjustments for:</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9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investment gains (losses)</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5960" w:type="dxa"/>
            <w:vAlign w:val="bottom"/>
            <w:gridSpan w:val="2"/>
          </w:tcPr>
          <w:p>
            <w:pPr>
              <w:ind w:left="40"/>
              <w:spacing w:after="0"/>
              <w:rPr>
                <w:sz w:val="20"/>
                <w:szCs w:val="20"/>
                <w:color w:val="auto"/>
              </w:rPr>
            </w:pPr>
            <w:r>
              <w:rPr>
                <w:rFonts w:ascii="Arial" w:cs="Arial" w:eastAsia="Arial" w:hAnsi="Arial"/>
                <w:sz w:val="14"/>
                <w:szCs w:val="14"/>
                <w:color w:val="auto"/>
              </w:rPr>
              <w:t>Net derivative gains (losses)</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276"/>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adjustments to net income</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Provision for income tax (expense) benefit</w:t>
            </w:r>
          </w:p>
        </w:tc>
        <w:tc>
          <w:tcPr>
            <w:tcW w:w="18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918</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 revenue</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1,266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1,551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5960" w:type="dxa"/>
            <w:vAlign w:val="bottom"/>
            <w:gridSpan w:val="2"/>
          </w:tcPr>
          <w:p>
            <w:pPr>
              <w:ind w:left="40"/>
              <w:spacing w:after="0"/>
              <w:rPr>
                <w:sz w:val="20"/>
                <w:szCs w:val="20"/>
                <w:color w:val="auto"/>
              </w:rPr>
            </w:pPr>
            <w:r>
              <w:rPr>
                <w:rFonts w:ascii="Arial" w:cs="Arial" w:eastAsia="Arial" w:hAnsi="Arial"/>
                <w:sz w:val="14"/>
                <w:szCs w:val="14"/>
                <w:color w:val="auto"/>
              </w:rPr>
              <w:t>Interest expense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1"/>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total revenues with respect to the Company’s segments, as well as Corporate &amp; Other:</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center"/>
              <w:ind w:right="199"/>
              <w:spacing w:after="0"/>
              <w:rPr>
                <w:sz w:val="20"/>
                <w:szCs w:val="20"/>
                <w:color w:val="auto"/>
              </w:rPr>
            </w:pPr>
            <w:r>
              <w:rPr>
                <w:rFonts w:ascii="Arial" w:cs="Arial" w:eastAsia="Arial" w:hAnsi="Arial"/>
                <w:sz w:val="14"/>
                <w:szCs w:val="14"/>
                <w:b w:val="1"/>
                <w:bCs w:val="1"/>
                <w:color w:val="auto"/>
                <w:w w:val="92"/>
              </w:rPr>
              <w:t>Years Ended December 31,</w:t>
            </w:r>
          </w:p>
        </w:tc>
        <w:tc>
          <w:tcPr>
            <w:tcW w:w="1040" w:type="dxa"/>
            <w:vAlign w:val="bottom"/>
            <w:tcBorders>
              <w:bottom w:val="single" w:sz="8" w:color="auto"/>
            </w:tcBorders>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r>
      <w:tr>
        <w:trPr>
          <w:trHeight w:val="250"/>
        </w:trPr>
        <w:tc>
          <w:tcPr>
            <w:tcW w:w="7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Annuities</w:t>
            </w:r>
          </w:p>
        </w:tc>
        <w:tc>
          <w:tcPr>
            <w:tcW w:w="84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3,721</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4,423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4,665</w:t>
            </w: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Life</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1,036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1,036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881</w:t>
            </w:r>
          </w:p>
        </w:tc>
      </w:tr>
      <w:tr>
        <w:trPr>
          <w:trHeight w:val="33"/>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Run-off</w:t>
            </w: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2,148</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2,366</w:t>
            </w: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Corporate &amp; Other</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250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398</w:t>
            </w:r>
          </w:p>
        </w:tc>
      </w:tr>
      <w:tr>
        <w:trPr>
          <w:trHeight w:val="33"/>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w:t>
            </w:r>
          </w:p>
        </w:tc>
        <w:tc>
          <w:tcPr>
            <w:tcW w:w="8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(1,357)</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w:t>
            </w:r>
          </w:p>
        </w:tc>
      </w:tr>
      <w:tr>
        <w:trPr>
          <w:trHeight w:val="217"/>
        </w:trPr>
        <w:tc>
          <w:tcPr>
            <w:tcW w:w="7100" w:type="dxa"/>
            <w:vAlign w:val="bottom"/>
          </w:tcPr>
          <w:p>
            <w:pPr>
              <w:ind w:left="200"/>
              <w:spacing w:after="0"/>
              <w:rPr>
                <w:sz w:val="20"/>
                <w:szCs w:val="20"/>
                <w:color w:val="auto"/>
              </w:rPr>
            </w:pPr>
            <w:r>
              <w:rPr>
                <w:rFonts w:ascii="Arial" w:cs="Arial" w:eastAsia="Arial" w:hAnsi="Arial"/>
                <w:sz w:val="16"/>
                <w:szCs w:val="16"/>
                <w:color w:val="auto"/>
              </w:rPr>
              <w:t>Total</w:t>
            </w:r>
          </w:p>
        </w:tc>
        <w:tc>
          <w:tcPr>
            <w:tcW w:w="840" w:type="dxa"/>
            <w:vAlign w:val="bottom"/>
            <w:tcBorders>
              <w:top w:val="single" w:sz="8" w:color="auto"/>
            </w:tcBorders>
          </w:tcPr>
          <w:p>
            <w:pPr>
              <w:jc w:val="right"/>
              <w:ind w:right="662"/>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5,798</w:t>
            </w: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2,260</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7,872</w:t>
            </w:r>
          </w:p>
        </w:tc>
      </w:tr>
      <w:tr>
        <w:trPr>
          <w:trHeight w:val="33"/>
        </w:trPr>
        <w:tc>
          <w:tcPr>
            <w:tcW w:w="7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total premiums, universal life and investment-type product policy fees and other revenues by major product groups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segments, as well as Corporate &amp; Other:</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2015</w:t>
            </w:r>
          </w:p>
        </w:tc>
      </w:tr>
      <w:tr>
        <w:trPr>
          <w:trHeight w:val="250"/>
        </w:trPr>
        <w:tc>
          <w:tcPr>
            <w:tcW w:w="70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Annuity products</w:t>
            </w:r>
          </w:p>
        </w:tc>
        <w:tc>
          <w:tcPr>
            <w:tcW w:w="88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2,729</w:t>
            </w:r>
          </w:p>
        </w:tc>
        <w:tc>
          <w:tcPr>
            <w:tcW w:w="4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3,411</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3,701</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Life insurance products</w:t>
            </w:r>
          </w:p>
        </w:tc>
        <w:tc>
          <w:tcPr>
            <w:tcW w:w="8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4"/>
              </w:rPr>
              <w:t>1,587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1,552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1,529</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products</w:t>
            </w:r>
          </w:p>
        </w:tc>
        <w:tc>
          <w:tcPr>
            <w:tcW w:w="8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133</w:t>
            </w:r>
          </w:p>
        </w:tc>
      </w:tr>
      <w:tr>
        <w:trPr>
          <w:trHeight w:val="217"/>
        </w:trPr>
        <w:tc>
          <w:tcPr>
            <w:tcW w:w="7080" w:type="dxa"/>
            <w:vAlign w:val="bottom"/>
          </w:tcPr>
          <w:p>
            <w:pPr>
              <w:ind w:left="200"/>
              <w:spacing w:after="0"/>
              <w:rPr>
                <w:sz w:val="20"/>
                <w:szCs w:val="20"/>
                <w:color w:val="auto"/>
              </w:rPr>
            </w:pPr>
            <w:r>
              <w:rPr>
                <w:rFonts w:ascii="Arial" w:cs="Arial" w:eastAsia="Arial" w:hAnsi="Arial"/>
                <w:sz w:val="16"/>
                <w:szCs w:val="16"/>
                <w:color w:val="auto"/>
              </w:rPr>
              <w:t>Total</w:t>
            </w:r>
          </w:p>
        </w:tc>
        <w:tc>
          <w:tcPr>
            <w:tcW w:w="880" w:type="dxa"/>
            <w:vAlign w:val="bottom"/>
            <w:tcBorders>
              <w:top w:val="single" w:sz="8" w:color="auto"/>
            </w:tcBorders>
          </w:tcPr>
          <w:p>
            <w:pPr>
              <w:jc w:val="right"/>
              <w:ind w:right="682"/>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4,320</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4,986</w:t>
            </w: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5,363</w:t>
            </w:r>
          </w:p>
        </w:tc>
      </w:tr>
      <w:tr>
        <w:trPr>
          <w:trHeight w:val="33"/>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Substantially all of the Company’s consolidated premiums, universal life and investment-type product policy fees and other revenues originated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derived from any customer did not exceed 10% of consolidated premiums, universal life and investment-type product policy fees and other revenues for the years ended December 31, 2017, 2016 and 2015.</w:t>
      </w:r>
    </w:p>
    <w:p>
      <w:pPr>
        <w:sectPr>
          <w:pgSz w:w="11900" w:h="16838" w:orient="portrait"/>
          <w:cols w:equalWidth="0" w:num="1">
            <w:col w:w="11420"/>
          </w:cols>
          <w:pgMar w:left="240" w:top="229"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229" w:right="23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Organizational Changes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Transactions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April 2017, in connection with the Separation, MetLife, Inc. contributed MetLife Reinsurance Company of Delaware, MetLife Reinsurance Company of South Carolina (“MRSC”), MetLife Reinsurance Company of Vermont II, all affiliated reinsurance companies, and BHNY to Brighthouse Life Insurance Company (“the Contribution Transactions”). The affiliated reinsurance companies were then merged into BRCD, and certain reserve financing arrangements were restructured, resulting in a net return of capital to MetLife of $2.7 billion. The return of capital included $3.4 billion in cash, offset by a non-cash capital contribution of $703 million primarily comprised of the $643 million tax impact of a basis adjustment for BRCD in connection with the Contribution Transactions. The affiliated reinsurance companies reinsured risks, including level premium term life and ULSG assumed from the Company and other entities and operations of Brighthouse.</w:t>
      </w:r>
    </w:p>
    <w:p>
      <w:pPr>
        <w:spacing w:after="0" w:line="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Contribution Transactions were between entities under common control and have been accounted for in a manner similar to the pooling-of-interests method, which requires that the acquired entities be combined at their historical cost. The Company’s consolidated financial statements and related footnotes are presented as if the transaction occurred at the beginning of the earliest date presented and the prior periods have been retrospectively adjusted.</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Simultaneously with the Contribution Transactions, the following additional transactions occurred:</w:t>
      </w:r>
    </w:p>
    <w:p>
      <w:pPr>
        <w:spacing w:after="0" w:line="117" w:lineRule="exact"/>
        <w:rPr>
          <w:sz w:val="20"/>
          <w:szCs w:val="20"/>
          <w:color w:val="auto"/>
        </w:rPr>
      </w:pPr>
    </w:p>
    <w:p>
      <w:pPr>
        <w:ind w:left="660" w:hanging="328"/>
        <w:spacing w:after="0" w:line="277"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existing reserve financing arrangements of the affiliated reinsurance companies with unaffiliated financial institutions were terminated and replaced with a single financing arrangement supported by a pool of highly rated third-party reinsurers. See Note 10.</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Invested assets held in trust totaling $3.4 billion were liquidated, of which $2.8 billion provided funding for MetLife, Inc.’s repayment of the associated collateral financing arrangement, and the remainder was remitted to MetLife, Inc. See Notes 7 and 11.</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Loans outstanding to MetLife, Inc. totaling $1.1 billion were repaid in an exchange transaction that resulted in the satisfaction of $1.1 billion of surplus notes due to MetLife. See Notes 7 and 10.</w:t>
      </w:r>
    </w:p>
    <w:p>
      <w:pPr>
        <w:spacing w:after="0" w:line="58" w:lineRule="exact"/>
        <w:rPr>
          <w:rFonts w:ascii="Arial" w:cs="Arial" w:eastAsia="Arial" w:hAnsi="Arial"/>
          <w:sz w:val="18"/>
          <w:szCs w:val="18"/>
          <w:color w:val="auto"/>
        </w:rPr>
      </w:pPr>
    </w:p>
    <w:p>
      <w:pPr>
        <w:ind w:left="180" w:hanging="172"/>
        <w:spacing w:after="0"/>
        <w:tabs>
          <w:tab w:leader="none" w:pos="1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Liabilities</w:t>
      </w:r>
    </w:p>
    <w:p>
      <w:pPr>
        <w:spacing w:after="0" w:line="117"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Insurance liabilities, including affiliated insurance liabilities on reinsurance assumed and ceded, are comprised of future policy benefits, policyholder account balances and other policy-related balances. Information regarding insurance liabilities by segment, as well as Corporate &amp; Other, was as follows at: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Annuities</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34,143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32,793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Life</w:t>
            </w:r>
          </w:p>
        </w:tc>
        <w:tc>
          <w:tcPr>
            <w:tcW w:w="920" w:type="dxa"/>
            <w:vAlign w:val="bottom"/>
          </w:tcPr>
          <w:p>
            <w:pPr>
              <w:spacing w:after="0"/>
              <w:rPr>
                <w:sz w:val="20"/>
                <w:szCs w:val="20"/>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7,057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6,932</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Run-off</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26,770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24,887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Corporate &amp; Other</w:t>
            </w:r>
          </w:p>
        </w:tc>
        <w:tc>
          <w:tcPr>
            <w:tcW w:w="920" w:type="dxa"/>
            <w:vAlign w:val="bottom"/>
          </w:tcPr>
          <w:p>
            <w:pPr>
              <w:spacing w:after="0"/>
              <w:rPr>
                <w:sz w:val="20"/>
                <w:szCs w:val="20"/>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7,534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7,431</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75,504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72,043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for discussion of affiliated reinsurance liabilities included in the table above.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22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Insurance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policy benefits are measured as follows:</w:t>
      </w:r>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28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Product Type:</w:t>
            </w:r>
          </w:p>
        </w:tc>
        <w:tc>
          <w:tcPr>
            <w:tcW w:w="85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Measurement Assumptions:</w:t>
            </w:r>
          </w:p>
        </w:tc>
      </w:tr>
      <w:tr>
        <w:trPr>
          <w:trHeight w:val="33"/>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8560" w:type="dxa"/>
            <w:vAlign w:val="bottom"/>
            <w:tcBorders>
              <w:bottom w:val="single" w:sz="8" w:color="auto"/>
              <w:right w:val="single" w:sz="8" w:color="auto"/>
            </w:tcBorders>
          </w:tcPr>
          <w:p>
            <w:pPr>
              <w:spacing w:after="0"/>
              <w:rPr>
                <w:sz w:val="2"/>
                <w:szCs w:val="2"/>
                <w:color w:val="auto"/>
              </w:rPr>
            </w:pPr>
          </w:p>
        </w:tc>
      </w:tr>
      <w:tr>
        <w:trPr>
          <w:trHeight w:val="213"/>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Participating life insurance</w:t>
            </w:r>
          </w:p>
        </w:tc>
        <w:tc>
          <w:tcPr>
            <w:tcW w:w="85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3"/>
              </w:rPr>
              <w:t>Aggregate of (i) net level premium reserves for death and endowment policy benefits (calculated based upon the non-forfeiture</w:t>
            </w:r>
          </w:p>
        </w:tc>
      </w:tr>
      <w:tr>
        <w:trPr>
          <w:trHeight w:val="203"/>
        </w:trPr>
        <w:tc>
          <w:tcPr>
            <w:tcW w:w="2880" w:type="dxa"/>
            <w:vAlign w:val="bottom"/>
            <w:tcBorders>
              <w:left w:val="single" w:sz="8" w:color="auto"/>
              <w:right w:val="single" w:sz="8" w:color="auto"/>
            </w:tcBorders>
          </w:tcPr>
          <w:p>
            <w:pPr>
              <w:spacing w:after="0"/>
              <w:rPr>
                <w:sz w:val="17"/>
                <w:szCs w:val="17"/>
                <w:color w:val="auto"/>
              </w:rPr>
            </w:pPr>
          </w:p>
        </w:tc>
        <w:tc>
          <w:tcPr>
            <w:tcW w:w="85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3"/>
              </w:rPr>
              <w:t>interest rate of 4%, and mortality rates guaranteed in calculating the cash surrender values described in such contracts); and (ii)</w:t>
            </w:r>
          </w:p>
        </w:tc>
      </w:tr>
      <w:tr>
        <w:trPr>
          <w:trHeight w:val="206"/>
        </w:trPr>
        <w:tc>
          <w:tcPr>
            <w:tcW w:w="2880" w:type="dxa"/>
            <w:vAlign w:val="bottom"/>
            <w:tcBorders>
              <w:left w:val="single" w:sz="8" w:color="auto"/>
              <w:right w:val="single" w:sz="8" w:color="auto"/>
            </w:tcBorders>
          </w:tcPr>
          <w:p>
            <w:pPr>
              <w:spacing w:after="0"/>
              <w:rPr>
                <w:sz w:val="17"/>
                <w:szCs w:val="17"/>
                <w:color w:val="auto"/>
              </w:rPr>
            </w:pPr>
          </w:p>
        </w:tc>
        <w:tc>
          <w:tcPr>
            <w:tcW w:w="85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the liability for terminal dividends.</w:t>
            </w:r>
          </w:p>
        </w:tc>
      </w:tr>
      <w:tr>
        <w:trPr>
          <w:trHeight w:val="33"/>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8560" w:type="dxa"/>
            <w:vAlign w:val="bottom"/>
            <w:tcBorders>
              <w:bottom w:val="single" w:sz="8" w:color="auto"/>
              <w:right w:val="single" w:sz="8" w:color="auto"/>
            </w:tcBorders>
          </w:tcPr>
          <w:p>
            <w:pPr>
              <w:spacing w:after="0"/>
              <w:rPr>
                <w:sz w:val="2"/>
                <w:szCs w:val="2"/>
                <w:color w:val="auto"/>
              </w:rPr>
            </w:pPr>
          </w:p>
        </w:tc>
      </w:tr>
      <w:tr>
        <w:trPr>
          <w:trHeight w:val="213"/>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Nonparticipating life insurance</w:t>
            </w:r>
          </w:p>
        </w:tc>
        <w:tc>
          <w:tcPr>
            <w:tcW w:w="85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0"/>
              </w:rPr>
              <w:t>Aggregate of the present value of expected future benefit payments and related expenses less the present value of expected future</w:t>
            </w:r>
          </w:p>
        </w:tc>
      </w:tr>
      <w:tr>
        <w:trPr>
          <w:trHeight w:val="203"/>
        </w:trPr>
        <w:tc>
          <w:tcPr>
            <w:tcW w:w="2880" w:type="dxa"/>
            <w:vAlign w:val="bottom"/>
            <w:tcBorders>
              <w:left w:val="single" w:sz="8" w:color="auto"/>
              <w:right w:val="single" w:sz="8" w:color="auto"/>
            </w:tcBorders>
          </w:tcPr>
          <w:p>
            <w:pPr>
              <w:spacing w:after="0"/>
              <w:rPr>
                <w:sz w:val="17"/>
                <w:szCs w:val="17"/>
                <w:color w:val="auto"/>
              </w:rPr>
            </w:pPr>
          </w:p>
        </w:tc>
        <w:tc>
          <w:tcPr>
            <w:tcW w:w="85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5"/>
              </w:rPr>
              <w:t>net premiums. Assumptions as to mortality and persistency are based upon the Company’s experience when the basis of the</w:t>
            </w:r>
          </w:p>
        </w:tc>
      </w:tr>
      <w:tr>
        <w:trPr>
          <w:trHeight w:val="206"/>
        </w:trPr>
        <w:tc>
          <w:tcPr>
            <w:tcW w:w="2880" w:type="dxa"/>
            <w:vAlign w:val="bottom"/>
            <w:tcBorders>
              <w:left w:val="single" w:sz="8" w:color="auto"/>
              <w:right w:val="single" w:sz="8" w:color="auto"/>
            </w:tcBorders>
          </w:tcPr>
          <w:p>
            <w:pPr>
              <w:spacing w:after="0"/>
              <w:rPr>
                <w:sz w:val="17"/>
                <w:szCs w:val="17"/>
                <w:color w:val="auto"/>
              </w:rPr>
            </w:pPr>
          </w:p>
        </w:tc>
        <w:tc>
          <w:tcPr>
            <w:tcW w:w="85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liability is established. Interest rate assumptions for the aggregate future policy benefit liabilities range from 3% to 8%.</w:t>
            </w:r>
          </w:p>
        </w:tc>
      </w:tr>
      <w:tr>
        <w:trPr>
          <w:trHeight w:val="33"/>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8560" w:type="dxa"/>
            <w:vAlign w:val="bottom"/>
            <w:tcBorders>
              <w:bottom w:val="single" w:sz="8" w:color="auto"/>
              <w:right w:val="single" w:sz="8" w:color="auto"/>
            </w:tcBorders>
          </w:tcPr>
          <w:p>
            <w:pPr>
              <w:spacing w:after="0"/>
              <w:rPr>
                <w:sz w:val="2"/>
                <w:szCs w:val="2"/>
                <w:color w:val="auto"/>
              </w:rPr>
            </w:pPr>
          </w:p>
        </w:tc>
      </w:tr>
      <w:tr>
        <w:trPr>
          <w:trHeight w:val="213"/>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Individual and group</w:t>
            </w:r>
          </w:p>
        </w:tc>
        <w:tc>
          <w:tcPr>
            <w:tcW w:w="85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3"/>
              </w:rPr>
              <w:t>Present value of expected future payments. Interest rate assumptions used in establishing such liabilities range from 2% to 8%.</w:t>
            </w:r>
          </w:p>
        </w:tc>
      </w:tr>
      <w:tr>
        <w:trPr>
          <w:trHeight w:val="203"/>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fixed annuities after</w:t>
            </w:r>
          </w:p>
        </w:tc>
        <w:tc>
          <w:tcPr>
            <w:tcW w:w="8560" w:type="dxa"/>
            <w:vAlign w:val="bottom"/>
            <w:tcBorders>
              <w:right w:val="single" w:sz="8" w:color="auto"/>
            </w:tcBorders>
          </w:tcPr>
          <w:p>
            <w:pPr>
              <w:spacing w:after="0"/>
              <w:rPr>
                <w:sz w:val="17"/>
                <w:szCs w:val="17"/>
                <w:color w:val="auto"/>
              </w:rPr>
            </w:pPr>
          </w:p>
        </w:tc>
      </w:tr>
      <w:tr>
        <w:trPr>
          <w:trHeight w:val="206"/>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annuitization</w:t>
            </w:r>
          </w:p>
        </w:tc>
        <w:tc>
          <w:tcPr>
            <w:tcW w:w="8560" w:type="dxa"/>
            <w:vAlign w:val="bottom"/>
            <w:tcBorders>
              <w:right w:val="single" w:sz="8" w:color="auto"/>
            </w:tcBorders>
          </w:tcPr>
          <w:p>
            <w:pPr>
              <w:spacing w:after="0"/>
              <w:rPr>
                <w:sz w:val="17"/>
                <w:szCs w:val="17"/>
                <w:color w:val="auto"/>
              </w:rPr>
            </w:pPr>
          </w:p>
        </w:tc>
      </w:tr>
      <w:tr>
        <w:trPr>
          <w:trHeight w:val="33"/>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8560" w:type="dxa"/>
            <w:vAlign w:val="bottom"/>
            <w:tcBorders>
              <w:bottom w:val="single" w:sz="8" w:color="auto"/>
              <w:right w:val="single" w:sz="8" w:color="auto"/>
            </w:tcBorders>
          </w:tcPr>
          <w:p>
            <w:pPr>
              <w:spacing w:after="0"/>
              <w:rPr>
                <w:sz w:val="2"/>
                <w:szCs w:val="2"/>
                <w:color w:val="auto"/>
              </w:rPr>
            </w:pPr>
          </w:p>
        </w:tc>
      </w:tr>
      <w:tr>
        <w:trPr>
          <w:trHeight w:val="213"/>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Long-term care and disability insurance</w:t>
            </w:r>
          </w:p>
        </w:tc>
        <w:tc>
          <w:tcPr>
            <w:tcW w:w="85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6"/>
              </w:rPr>
              <w:t>The net level premium method and assumptions as to future morbidity, withdrawals and interest, which provide a margin for</w:t>
            </w:r>
          </w:p>
        </w:tc>
      </w:tr>
      <w:tr>
        <w:trPr>
          <w:trHeight w:val="206"/>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active life reserves</w:t>
            </w:r>
          </w:p>
        </w:tc>
        <w:tc>
          <w:tcPr>
            <w:tcW w:w="85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adverse deviation. Interest rate assumptions used in establishing such liabilities range from 4% to 7%.</w:t>
            </w:r>
          </w:p>
        </w:tc>
      </w:tr>
      <w:tr>
        <w:trPr>
          <w:trHeight w:val="33"/>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8560" w:type="dxa"/>
            <w:vAlign w:val="bottom"/>
            <w:tcBorders>
              <w:bottom w:val="single" w:sz="8" w:color="auto"/>
              <w:right w:val="single" w:sz="8" w:color="auto"/>
            </w:tcBorders>
          </w:tcPr>
          <w:p>
            <w:pPr>
              <w:spacing w:after="0"/>
              <w:rPr>
                <w:sz w:val="2"/>
                <w:szCs w:val="2"/>
                <w:color w:val="auto"/>
              </w:rPr>
            </w:pPr>
          </w:p>
        </w:tc>
      </w:tr>
      <w:tr>
        <w:trPr>
          <w:trHeight w:val="213"/>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Long-term care and disability insurance</w:t>
            </w:r>
          </w:p>
        </w:tc>
        <w:tc>
          <w:tcPr>
            <w:tcW w:w="85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6"/>
              </w:rPr>
              <w:t>Present value of benefits method and experience assumptions as to claim terminations, expenses and interest. Interest rate</w:t>
            </w:r>
          </w:p>
        </w:tc>
      </w:tr>
      <w:tr>
        <w:trPr>
          <w:trHeight w:val="206"/>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claim reserves</w:t>
            </w:r>
          </w:p>
        </w:tc>
        <w:tc>
          <w:tcPr>
            <w:tcW w:w="85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assumptions used in establishing such liabilities range from 3% to 7%.</w:t>
            </w:r>
          </w:p>
        </w:tc>
      </w:tr>
      <w:tr>
        <w:trPr>
          <w:trHeight w:val="33"/>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856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Participating business represented 4% of the Company’s life insurance in-force at both December 31, 2017 and 2016. Participating policies represented 38%, 42% and 39% of gross traditional life insurance premiums for the years ended December 31, 2017, 2016 and 2015, respectively.</w:t>
      </w:r>
    </w:p>
    <w:p>
      <w:pPr>
        <w:spacing w:after="0" w:line="3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Policyholder account balances are equal to: (i) policy account values, which consist of an accumulation of gross premium payments; (ii) credited interest, ranging from less than 1% to 7%, less expenses, mortality charges and withdrawals; and (iii) fair value adjustments relating to business combinations.</w:t>
      </w: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40"/>
          </w:cols>
          <w:pgMar w:left="240" w:top="229" w:right="2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Insurance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Company issues variable annuity products with guaranteed minimum benefits. GMABs, the non-life contingent portion of GMWBs and the portion of certain GMIBs that do not require annuitization are accounted for as embedded derivatives in policyholder account balances and are further discussed in Note 8. Guarantees accounted for as insurance liabilities include:</w:t>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0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6"/>
                <w:szCs w:val="16"/>
                <w:color w:val="auto"/>
              </w:rPr>
              <w:t>Guarantee:</w:t>
            </w:r>
          </w:p>
        </w:tc>
        <w:tc>
          <w:tcPr>
            <w:tcW w:w="200" w:type="dxa"/>
            <w:vAlign w:val="bottom"/>
            <w:tcBorders>
              <w:top w:val="single" w:sz="8" w:color="auto"/>
            </w:tcBorders>
          </w:tcPr>
          <w:p>
            <w:pPr>
              <w:spacing w:after="0"/>
              <w:rPr>
                <w:sz w:val="20"/>
                <w:szCs w:val="20"/>
                <w:color w:val="auto"/>
              </w:rPr>
            </w:pPr>
          </w:p>
        </w:tc>
        <w:tc>
          <w:tcPr>
            <w:tcW w:w="4600" w:type="dxa"/>
            <w:vAlign w:val="bottom"/>
            <w:tcBorders>
              <w:top w:val="single" w:sz="8" w:color="auto"/>
              <w:right w:val="single" w:sz="8" w:color="auto"/>
            </w:tcBorders>
          </w:tcPr>
          <w:p>
            <w:pPr>
              <w:spacing w:after="0"/>
              <w:rPr>
                <w:sz w:val="20"/>
                <w:szCs w:val="20"/>
                <w:color w:val="auto"/>
              </w:rPr>
            </w:pPr>
          </w:p>
        </w:tc>
        <w:tc>
          <w:tcPr>
            <w:tcW w:w="558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Measurement Assumptions:</w:t>
            </w:r>
          </w:p>
        </w:tc>
      </w:tr>
      <w:tr>
        <w:trPr>
          <w:trHeight w:val="33"/>
        </w:trPr>
        <w:tc>
          <w:tcPr>
            <w:tcW w:w="1060" w:type="dxa"/>
            <w:vAlign w:val="bottom"/>
            <w:tcBorders>
              <w:left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13"/>
        </w:trPr>
        <w:tc>
          <w:tcPr>
            <w:tcW w:w="1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GMDBs</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46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1"/>
              </w:rPr>
              <w:t>A return of purchase payment upon death even if the account value is</w:t>
            </w:r>
          </w:p>
        </w:tc>
        <w:tc>
          <w:tcPr>
            <w:tcW w:w="558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 Present value of expected death benefits in excess of the projected account</w:t>
            </w:r>
          </w:p>
        </w:tc>
      </w:tr>
      <w:tr>
        <w:trPr>
          <w:trHeight w:val="203"/>
        </w:trPr>
        <w:tc>
          <w:tcPr>
            <w:tcW w:w="1060" w:type="dxa"/>
            <w:vAlign w:val="bottom"/>
            <w:tcBorders>
              <w:left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6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reduced to zero.</w:t>
            </w:r>
          </w:p>
        </w:tc>
        <w:tc>
          <w:tcPr>
            <w:tcW w:w="180" w:type="dxa"/>
            <w:vAlign w:val="bottom"/>
          </w:tcPr>
          <w:p>
            <w:pPr>
              <w:spacing w:after="0"/>
              <w:rPr>
                <w:sz w:val="17"/>
                <w:szCs w:val="17"/>
                <w:color w:val="auto"/>
              </w:rPr>
            </w:pPr>
          </w:p>
        </w:tc>
        <w:tc>
          <w:tcPr>
            <w:tcW w:w="54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w w:val="92"/>
              </w:rPr>
              <w:t>balance recognizing the excess ratably over the accumulation period based on</w:t>
            </w:r>
          </w:p>
        </w:tc>
      </w:tr>
      <w:tr>
        <w:trPr>
          <w:trHeight w:val="206"/>
        </w:trPr>
        <w:tc>
          <w:tcPr>
            <w:tcW w:w="1060" w:type="dxa"/>
            <w:vAlign w:val="bottom"/>
            <w:tcBorders>
              <w:left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6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the present value of total expected assessments.</w:t>
            </w:r>
          </w:p>
        </w:tc>
      </w:tr>
      <w:tr>
        <w:trPr>
          <w:trHeight w:val="253"/>
        </w:trPr>
        <w:tc>
          <w:tcPr>
            <w:tcW w:w="1060" w:type="dxa"/>
            <w:vAlign w:val="bottom"/>
            <w:tcBorders>
              <w:left w:val="single" w:sz="8" w:color="auto"/>
              <w:right w:val="single" w:sz="8" w:color="auto"/>
            </w:tcBorders>
          </w:tcPr>
          <w:p>
            <w:pPr>
              <w:spacing w:after="0"/>
              <w:rPr>
                <w:sz w:val="21"/>
                <w:szCs w:val="21"/>
                <w:color w:val="auto"/>
              </w:rPr>
            </w:pPr>
          </w:p>
        </w:tc>
        <w:tc>
          <w:tcPr>
            <w:tcW w:w="480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w w:val="97"/>
              </w:rPr>
              <w:t>•  An enhanced death benefit may be available for an additional fee.</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5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6"/>
              </w:rPr>
              <w:t>Assumptions are consistent with those used for amortizing DAC, and are thus</w:t>
            </w:r>
          </w:p>
        </w:tc>
      </w:tr>
      <w:tr>
        <w:trPr>
          <w:trHeight w:val="206"/>
        </w:trPr>
        <w:tc>
          <w:tcPr>
            <w:tcW w:w="1060" w:type="dxa"/>
            <w:vAlign w:val="bottom"/>
            <w:tcBorders>
              <w:left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6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subject to the same variability and risk.</w:t>
            </w:r>
          </w:p>
        </w:tc>
      </w:tr>
      <w:tr>
        <w:trPr>
          <w:trHeight w:val="253"/>
        </w:trPr>
        <w:tc>
          <w:tcPr>
            <w:tcW w:w="1060" w:type="dxa"/>
            <w:vAlign w:val="bottom"/>
            <w:tcBorders>
              <w:left w:val="single" w:sz="8" w:color="auto"/>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60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 Investment performance and volatility assumptions are consistent with the</w:t>
            </w:r>
          </w:p>
        </w:tc>
      </w:tr>
      <w:tr>
        <w:trPr>
          <w:trHeight w:val="203"/>
        </w:trPr>
        <w:tc>
          <w:tcPr>
            <w:tcW w:w="1060" w:type="dxa"/>
            <w:vAlign w:val="bottom"/>
            <w:tcBorders>
              <w:left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6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w w:val="96"/>
              </w:rPr>
              <w:t>historical experience of the appropriate underlying equity index, such as the</w:t>
            </w:r>
          </w:p>
        </w:tc>
      </w:tr>
      <w:tr>
        <w:trPr>
          <w:trHeight w:val="206"/>
        </w:trPr>
        <w:tc>
          <w:tcPr>
            <w:tcW w:w="1060" w:type="dxa"/>
            <w:vAlign w:val="bottom"/>
            <w:tcBorders>
              <w:left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6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S&amp;P 500 Index.</w:t>
            </w:r>
          </w:p>
        </w:tc>
      </w:tr>
      <w:tr>
        <w:trPr>
          <w:trHeight w:val="253"/>
        </w:trPr>
        <w:tc>
          <w:tcPr>
            <w:tcW w:w="1060" w:type="dxa"/>
            <w:vAlign w:val="bottom"/>
            <w:tcBorders>
              <w:left w:val="single" w:sz="8" w:color="auto"/>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600" w:type="dxa"/>
            <w:vAlign w:val="bottom"/>
            <w:tcBorders>
              <w:right w:val="single" w:sz="8" w:color="auto"/>
            </w:tcBorders>
          </w:tcPr>
          <w:p>
            <w:pPr>
              <w:spacing w:after="0"/>
              <w:rPr>
                <w:sz w:val="21"/>
                <w:szCs w:val="21"/>
                <w:color w:val="auto"/>
              </w:rPr>
            </w:pP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5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4"/>
              </w:rPr>
              <w:t>Benefit assumptions are based on the average benefits payable over a range of</w:t>
            </w:r>
          </w:p>
        </w:tc>
      </w:tr>
      <w:tr>
        <w:trPr>
          <w:trHeight w:val="206"/>
        </w:trPr>
        <w:tc>
          <w:tcPr>
            <w:tcW w:w="1060" w:type="dxa"/>
            <w:vAlign w:val="bottom"/>
            <w:tcBorders>
              <w:left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6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scenarios.</w:t>
            </w:r>
          </w:p>
        </w:tc>
      </w:tr>
      <w:tr>
        <w:trPr>
          <w:trHeight w:val="33"/>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r>
      <w:tr>
        <w:trPr>
          <w:trHeight w:val="213"/>
        </w:trPr>
        <w:tc>
          <w:tcPr>
            <w:tcW w:w="1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GMIBs</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46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3"/>
              </w:rPr>
              <w:t>After a specified period of time determined at the time of issuance of</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5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7"/>
              </w:rPr>
              <w:t>Present value of expected income benefits in excess of the projected account</w:t>
            </w:r>
          </w:p>
        </w:tc>
      </w:tr>
      <w:tr>
        <w:trPr>
          <w:trHeight w:val="203"/>
        </w:trPr>
        <w:tc>
          <w:tcPr>
            <w:tcW w:w="1060" w:type="dxa"/>
            <w:vAlign w:val="bottom"/>
            <w:tcBorders>
              <w:left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6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the  variable  annuity  contract,  a  minimum  accumulation  of</w:t>
            </w:r>
          </w:p>
        </w:tc>
        <w:tc>
          <w:tcPr>
            <w:tcW w:w="180" w:type="dxa"/>
            <w:vAlign w:val="bottom"/>
          </w:tcPr>
          <w:p>
            <w:pPr>
              <w:spacing w:after="0"/>
              <w:rPr>
                <w:sz w:val="17"/>
                <w:szCs w:val="17"/>
                <w:color w:val="auto"/>
              </w:rPr>
            </w:pPr>
          </w:p>
        </w:tc>
        <w:tc>
          <w:tcPr>
            <w:tcW w:w="54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w w:val="94"/>
              </w:rPr>
              <w:t>balance at any future date of annuitization and recognizing the excess ratably</w:t>
            </w:r>
          </w:p>
        </w:tc>
      </w:tr>
      <w:tr>
        <w:trPr>
          <w:trHeight w:val="203"/>
        </w:trPr>
        <w:tc>
          <w:tcPr>
            <w:tcW w:w="1060" w:type="dxa"/>
            <w:vAlign w:val="bottom"/>
            <w:tcBorders>
              <w:left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6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w w:val="94"/>
              </w:rPr>
              <w:t>purchase payments, even if the account value is reduced to zero,</w:t>
            </w:r>
          </w:p>
        </w:tc>
        <w:tc>
          <w:tcPr>
            <w:tcW w:w="180" w:type="dxa"/>
            <w:vAlign w:val="bottom"/>
          </w:tcPr>
          <w:p>
            <w:pPr>
              <w:spacing w:after="0"/>
              <w:rPr>
                <w:sz w:val="17"/>
                <w:szCs w:val="17"/>
                <w:color w:val="auto"/>
              </w:rPr>
            </w:pPr>
          </w:p>
        </w:tc>
        <w:tc>
          <w:tcPr>
            <w:tcW w:w="54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over the accumulation period based on present value of total expected</w:t>
            </w:r>
          </w:p>
        </w:tc>
      </w:tr>
      <w:tr>
        <w:trPr>
          <w:trHeight w:val="203"/>
        </w:trPr>
        <w:tc>
          <w:tcPr>
            <w:tcW w:w="1060" w:type="dxa"/>
            <w:vAlign w:val="bottom"/>
            <w:tcBorders>
              <w:left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6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w w:val="94"/>
              </w:rPr>
              <w:t>that can be annuitized to receive a monthly income stream that is</w:t>
            </w:r>
          </w:p>
        </w:tc>
        <w:tc>
          <w:tcPr>
            <w:tcW w:w="180" w:type="dxa"/>
            <w:vAlign w:val="bottom"/>
          </w:tcPr>
          <w:p>
            <w:pPr>
              <w:spacing w:after="0"/>
              <w:rPr>
                <w:sz w:val="17"/>
                <w:szCs w:val="17"/>
                <w:color w:val="auto"/>
              </w:rPr>
            </w:pPr>
          </w:p>
        </w:tc>
        <w:tc>
          <w:tcPr>
            <w:tcW w:w="54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assessments.</w:t>
            </w:r>
          </w:p>
        </w:tc>
      </w:tr>
      <w:tr>
        <w:trPr>
          <w:trHeight w:val="206"/>
        </w:trPr>
        <w:tc>
          <w:tcPr>
            <w:tcW w:w="1060" w:type="dxa"/>
            <w:vAlign w:val="bottom"/>
            <w:tcBorders>
              <w:left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6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not less than a specified amount.</w:t>
            </w:r>
          </w:p>
        </w:tc>
        <w:tc>
          <w:tcPr>
            <w:tcW w:w="180" w:type="dxa"/>
            <w:vAlign w:val="bottom"/>
          </w:tcPr>
          <w:p>
            <w:pPr>
              <w:spacing w:after="0"/>
              <w:rPr>
                <w:sz w:val="17"/>
                <w:szCs w:val="17"/>
                <w:color w:val="auto"/>
              </w:rPr>
            </w:pPr>
          </w:p>
        </w:tc>
        <w:tc>
          <w:tcPr>
            <w:tcW w:w="5400" w:type="dxa"/>
            <w:vAlign w:val="bottom"/>
            <w:tcBorders>
              <w:right w:val="single" w:sz="8" w:color="auto"/>
            </w:tcBorders>
          </w:tcPr>
          <w:p>
            <w:pPr>
              <w:spacing w:after="0"/>
              <w:rPr>
                <w:sz w:val="17"/>
                <w:szCs w:val="17"/>
                <w:color w:val="auto"/>
              </w:rPr>
            </w:pPr>
          </w:p>
        </w:tc>
      </w:tr>
      <w:tr>
        <w:trPr>
          <w:trHeight w:val="253"/>
        </w:trPr>
        <w:tc>
          <w:tcPr>
            <w:tcW w:w="1060" w:type="dxa"/>
            <w:vAlign w:val="bottom"/>
            <w:tcBorders>
              <w:left w:val="single" w:sz="8" w:color="auto"/>
              <w:right w:val="single" w:sz="8" w:color="auto"/>
            </w:tcBorders>
          </w:tcPr>
          <w:p>
            <w:pPr>
              <w:spacing w:after="0"/>
              <w:rPr>
                <w:sz w:val="21"/>
                <w:szCs w:val="21"/>
                <w:color w:val="auto"/>
              </w:rPr>
            </w:pP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46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5"/>
              </w:rPr>
              <w:t>Certain contracts also provide for a guaranteed lump sum return of</w:t>
            </w:r>
          </w:p>
        </w:tc>
        <w:tc>
          <w:tcPr>
            <w:tcW w:w="558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 Assumptions are consistent with those used for estimating GMDB liabilities.</w:t>
            </w:r>
          </w:p>
        </w:tc>
      </w:tr>
      <w:tr>
        <w:trPr>
          <w:trHeight w:val="206"/>
        </w:trPr>
        <w:tc>
          <w:tcPr>
            <w:tcW w:w="1060" w:type="dxa"/>
            <w:vAlign w:val="bottom"/>
            <w:tcBorders>
              <w:left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6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purchase premium in lieu of the annuitization benefit.</w:t>
            </w:r>
          </w:p>
        </w:tc>
        <w:tc>
          <w:tcPr>
            <w:tcW w:w="180" w:type="dxa"/>
            <w:vAlign w:val="bottom"/>
          </w:tcPr>
          <w:p>
            <w:pPr>
              <w:spacing w:after="0"/>
              <w:rPr>
                <w:sz w:val="17"/>
                <w:szCs w:val="17"/>
                <w:color w:val="auto"/>
              </w:rPr>
            </w:pPr>
          </w:p>
        </w:tc>
        <w:tc>
          <w:tcPr>
            <w:tcW w:w="5400" w:type="dxa"/>
            <w:vAlign w:val="bottom"/>
            <w:tcBorders>
              <w:right w:val="single" w:sz="8" w:color="auto"/>
            </w:tcBorders>
          </w:tcPr>
          <w:p>
            <w:pPr>
              <w:spacing w:after="0"/>
              <w:rPr>
                <w:sz w:val="17"/>
                <w:szCs w:val="17"/>
                <w:color w:val="auto"/>
              </w:rPr>
            </w:pPr>
          </w:p>
        </w:tc>
      </w:tr>
      <w:tr>
        <w:trPr>
          <w:trHeight w:val="253"/>
        </w:trPr>
        <w:tc>
          <w:tcPr>
            <w:tcW w:w="1060" w:type="dxa"/>
            <w:vAlign w:val="bottom"/>
            <w:tcBorders>
              <w:left w:val="single" w:sz="8" w:color="auto"/>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600" w:type="dxa"/>
            <w:vAlign w:val="bottom"/>
            <w:tcBorders>
              <w:right w:val="single" w:sz="8" w:color="auto"/>
            </w:tcBorders>
          </w:tcPr>
          <w:p>
            <w:pPr>
              <w:spacing w:after="0"/>
              <w:rPr>
                <w:sz w:val="21"/>
                <w:szCs w:val="21"/>
                <w:color w:val="auto"/>
              </w:rPr>
            </w:pPr>
          </w:p>
        </w:tc>
        <w:tc>
          <w:tcPr>
            <w:tcW w:w="558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 Calculation incorporates an assumption for the percentage of the potential</w:t>
            </w:r>
          </w:p>
        </w:tc>
      </w:tr>
      <w:tr>
        <w:trPr>
          <w:trHeight w:val="206"/>
        </w:trPr>
        <w:tc>
          <w:tcPr>
            <w:tcW w:w="1060" w:type="dxa"/>
            <w:vAlign w:val="bottom"/>
            <w:tcBorders>
              <w:left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6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annuitizations that may be elected by the contract holder.</w:t>
            </w:r>
          </w:p>
        </w:tc>
      </w:tr>
      <w:tr>
        <w:trPr>
          <w:trHeight w:val="33"/>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r>
      <w:tr>
        <w:trPr>
          <w:trHeight w:val="213"/>
        </w:trPr>
        <w:tc>
          <w:tcPr>
            <w:tcW w:w="1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GMWBs</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46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9"/>
              </w:rPr>
              <w:t>A return of purchase payment via partial withdrawals, even if the</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54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3"/>
              </w:rPr>
              <w:t>Expected value of the life contingent payments and expected assessments using</w:t>
            </w:r>
          </w:p>
        </w:tc>
      </w:tr>
      <w:tr>
        <w:trPr>
          <w:trHeight w:val="203"/>
        </w:trPr>
        <w:tc>
          <w:tcPr>
            <w:tcW w:w="1060" w:type="dxa"/>
            <w:vAlign w:val="bottom"/>
            <w:tcBorders>
              <w:left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6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w w:val="97"/>
              </w:rPr>
              <w:t>account  value  is  reduced  to  zero,  provided  that  cumulative</w:t>
            </w:r>
          </w:p>
        </w:tc>
        <w:tc>
          <w:tcPr>
            <w:tcW w:w="180" w:type="dxa"/>
            <w:vAlign w:val="bottom"/>
          </w:tcPr>
          <w:p>
            <w:pPr>
              <w:spacing w:after="0"/>
              <w:rPr>
                <w:sz w:val="17"/>
                <w:szCs w:val="17"/>
                <w:color w:val="auto"/>
              </w:rPr>
            </w:pPr>
          </w:p>
        </w:tc>
        <w:tc>
          <w:tcPr>
            <w:tcW w:w="54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w w:val="97"/>
              </w:rPr>
              <w:t>assumptions consistent with those used for estimating the GMDB liabilities.</w:t>
            </w:r>
          </w:p>
        </w:tc>
      </w:tr>
      <w:tr>
        <w:trPr>
          <w:trHeight w:val="206"/>
        </w:trPr>
        <w:tc>
          <w:tcPr>
            <w:tcW w:w="1060" w:type="dxa"/>
            <w:vAlign w:val="bottom"/>
            <w:tcBorders>
              <w:left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6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withdrawals in a contract year do not exceed a certain limit.</w:t>
            </w:r>
          </w:p>
        </w:tc>
        <w:tc>
          <w:tcPr>
            <w:tcW w:w="180" w:type="dxa"/>
            <w:vAlign w:val="bottom"/>
          </w:tcPr>
          <w:p>
            <w:pPr>
              <w:spacing w:after="0"/>
              <w:rPr>
                <w:sz w:val="17"/>
                <w:szCs w:val="17"/>
                <w:color w:val="auto"/>
              </w:rPr>
            </w:pPr>
          </w:p>
        </w:tc>
        <w:tc>
          <w:tcPr>
            <w:tcW w:w="5400" w:type="dxa"/>
            <w:vAlign w:val="bottom"/>
            <w:tcBorders>
              <w:right w:val="single" w:sz="8" w:color="auto"/>
            </w:tcBorders>
          </w:tcPr>
          <w:p>
            <w:pPr>
              <w:spacing w:after="0"/>
              <w:rPr>
                <w:sz w:val="17"/>
                <w:szCs w:val="17"/>
                <w:color w:val="auto"/>
              </w:rPr>
            </w:pPr>
          </w:p>
        </w:tc>
      </w:tr>
      <w:tr>
        <w:trPr>
          <w:trHeight w:val="253"/>
        </w:trPr>
        <w:tc>
          <w:tcPr>
            <w:tcW w:w="1060" w:type="dxa"/>
            <w:vAlign w:val="bottom"/>
            <w:tcBorders>
              <w:left w:val="single" w:sz="8" w:color="auto"/>
              <w:right w:val="single" w:sz="8" w:color="auto"/>
            </w:tcBorders>
          </w:tcPr>
          <w:p>
            <w:pPr>
              <w:spacing w:after="0"/>
              <w:rPr>
                <w:sz w:val="21"/>
                <w:szCs w:val="21"/>
                <w:color w:val="auto"/>
              </w:rPr>
            </w:pPr>
          </w:p>
        </w:tc>
        <w:tc>
          <w:tcPr>
            <w:tcW w:w="480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w w:val="97"/>
              </w:rPr>
              <w:t>•  Certain  contracts  include  guaranteed  withdrawals  that  are  life</w:t>
            </w:r>
          </w:p>
        </w:tc>
        <w:tc>
          <w:tcPr>
            <w:tcW w:w="180" w:type="dxa"/>
            <w:vAlign w:val="bottom"/>
          </w:tcPr>
          <w:p>
            <w:pPr>
              <w:spacing w:after="0"/>
              <w:rPr>
                <w:sz w:val="21"/>
                <w:szCs w:val="21"/>
                <w:color w:val="auto"/>
              </w:rPr>
            </w:pPr>
          </w:p>
        </w:tc>
        <w:tc>
          <w:tcPr>
            <w:tcW w:w="5400" w:type="dxa"/>
            <w:vAlign w:val="bottom"/>
            <w:tcBorders>
              <w:right w:val="single" w:sz="8" w:color="auto"/>
            </w:tcBorders>
          </w:tcPr>
          <w:p>
            <w:pPr>
              <w:spacing w:after="0"/>
              <w:rPr>
                <w:sz w:val="21"/>
                <w:szCs w:val="21"/>
                <w:color w:val="auto"/>
              </w:rPr>
            </w:pPr>
          </w:p>
        </w:tc>
      </w:tr>
      <w:tr>
        <w:trPr>
          <w:trHeight w:val="206"/>
        </w:trPr>
        <w:tc>
          <w:tcPr>
            <w:tcW w:w="1060" w:type="dxa"/>
            <w:vAlign w:val="bottom"/>
            <w:tcBorders>
              <w:left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6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contingent.</w:t>
            </w:r>
          </w:p>
        </w:tc>
        <w:tc>
          <w:tcPr>
            <w:tcW w:w="180" w:type="dxa"/>
            <w:vAlign w:val="bottom"/>
          </w:tcPr>
          <w:p>
            <w:pPr>
              <w:spacing w:after="0"/>
              <w:rPr>
                <w:sz w:val="17"/>
                <w:szCs w:val="17"/>
                <w:color w:val="auto"/>
              </w:rPr>
            </w:pPr>
          </w:p>
        </w:tc>
        <w:tc>
          <w:tcPr>
            <w:tcW w:w="5400" w:type="dxa"/>
            <w:vAlign w:val="bottom"/>
            <w:tcBorders>
              <w:right w:val="single" w:sz="8" w:color="auto"/>
            </w:tcBorders>
          </w:tcPr>
          <w:p>
            <w:pPr>
              <w:spacing w:after="0"/>
              <w:rPr>
                <w:sz w:val="17"/>
                <w:szCs w:val="17"/>
                <w:color w:val="auto"/>
              </w:rPr>
            </w:pPr>
          </w:p>
        </w:tc>
      </w:tr>
      <w:tr>
        <w:trPr>
          <w:trHeight w:val="33"/>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also issues universal and variable life contracts where the Company contractually guarantees to the contract holder a secondary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40"/>
          </w:cols>
          <w:pgMar w:left="240" w:top="229" w:right="2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Insurance (continued)</w:t>
      </w:r>
    </w:p>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Information regarding the liabilities for guarantees (excluding base policy liabilities and embedded derivatives) relating to annuity and universal and variable life contracts was as follows:</w:t>
      </w:r>
    </w:p>
    <w:p>
      <w:pPr>
        <w:spacing w:after="0" w:line="258"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6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w w:val="95"/>
              </w:rPr>
              <w:t>Annuity Contracts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Universal and Variable</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93"/>
              </w:rPr>
              <w:t>Life Contracts</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GMDBs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GMIBs</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89"/>
              </w:rPr>
              <w:t>Secondary</w:t>
            </w:r>
          </w:p>
        </w:tc>
        <w:tc>
          <w:tcPr>
            <w:tcW w:w="380" w:type="dxa"/>
            <w:vAlign w:val="bottom"/>
          </w:tcPr>
          <w:p>
            <w:pPr>
              <w:spacing w:after="0"/>
              <w:rPr>
                <w:sz w:val="13"/>
                <w:szCs w:val="13"/>
                <w:color w:val="auto"/>
              </w:rPr>
            </w:pPr>
          </w:p>
        </w:tc>
        <w:tc>
          <w:tcPr>
            <w:tcW w:w="1240" w:type="dxa"/>
            <w:vAlign w:val="bottom"/>
            <w:vMerge w:val="restart"/>
          </w:tcPr>
          <w:p>
            <w:pPr>
              <w:jc w:val="right"/>
              <w:ind w:right="5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3"/>
              </w:rPr>
              <w:t>Guarantees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Direct</w:t>
            </w:r>
          </w:p>
        </w:tc>
        <w:tc>
          <w:tcPr>
            <w:tcW w:w="1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6"/>
                <w:szCs w:val="16"/>
                <w:color w:val="auto"/>
              </w:rPr>
              <w:t>Balance at January 1, 2015</w:t>
            </w:r>
          </w:p>
        </w:tc>
        <w:tc>
          <w:tcPr>
            <w:tcW w:w="1100" w:type="dxa"/>
            <w:vAlign w:val="bottom"/>
          </w:tcPr>
          <w:p>
            <w:pPr>
              <w:jc w:val="right"/>
              <w:ind w:right="92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20"/>
                <w:szCs w:val="20"/>
                <w:color w:val="auto"/>
              </w:rPr>
            </w:pPr>
          </w:p>
        </w:tc>
        <w:tc>
          <w:tcPr>
            <w:tcW w:w="1100" w:type="dxa"/>
            <w:vAlign w:val="bottom"/>
          </w:tcPr>
          <w:p>
            <w:pPr>
              <w:jc w:val="right"/>
              <w:ind w:right="92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1,535</w:t>
            </w:r>
          </w:p>
        </w:tc>
        <w:tc>
          <w:tcPr>
            <w:tcW w:w="120" w:type="dxa"/>
            <w:vAlign w:val="bottom"/>
          </w:tcPr>
          <w:p>
            <w:pPr>
              <w:spacing w:after="0"/>
              <w:rPr>
                <w:sz w:val="20"/>
                <w:szCs w:val="20"/>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2,374</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4,528</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Incurred guaranteed benefits (1)</w:t>
            </w:r>
          </w:p>
        </w:tc>
        <w:tc>
          <w:tcPr>
            <w:tcW w:w="1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6"/>
                <w:szCs w:val="16"/>
                <w:color w:val="auto"/>
              </w:rPr>
              <w:t>Paid guaranteed benefits</w:t>
            </w:r>
          </w:p>
        </w:tc>
        <w:tc>
          <w:tcPr>
            <w:tcW w:w="1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2015</w:t>
            </w:r>
          </w:p>
        </w:tc>
        <w:tc>
          <w:tcPr>
            <w:tcW w:w="1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831</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1,872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2,787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5,490</w:t>
            </w: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6"/>
                <w:szCs w:val="16"/>
                <w:color w:val="auto"/>
              </w:rPr>
              <w:t>Incurred guaranteed benefits</w:t>
            </w:r>
          </w:p>
        </w:tc>
        <w:tc>
          <w:tcPr>
            <w:tcW w:w="1100" w:type="dxa"/>
            <w:vAlign w:val="bottom"/>
          </w:tcPr>
          <w:p>
            <w:pPr>
              <w:spacing w:after="0"/>
              <w:rPr>
                <w:sz w:val="20"/>
                <w:szCs w:val="20"/>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753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1,422</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Paid guaranteed benefits</w:t>
            </w:r>
          </w:p>
        </w:tc>
        <w:tc>
          <w:tcPr>
            <w:tcW w:w="1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7"/>
        </w:trPr>
        <w:tc>
          <w:tcPr>
            <w:tcW w:w="4040" w:type="dxa"/>
            <w:vAlign w:val="bottom"/>
          </w:tcPr>
          <w:p>
            <w:pPr>
              <w:ind w:left="20"/>
              <w:spacing w:after="0"/>
              <w:rPr>
                <w:sz w:val="20"/>
                <w:szCs w:val="20"/>
                <w:color w:val="auto"/>
              </w:rPr>
            </w:pPr>
            <w:r>
              <w:rPr>
                <w:rFonts w:ascii="Arial" w:cs="Arial" w:eastAsia="Arial" w:hAnsi="Arial"/>
                <w:sz w:val="16"/>
                <w:szCs w:val="16"/>
                <w:color w:val="auto"/>
              </w:rPr>
              <w:t>Balance at December 31, 2016</w:t>
            </w:r>
          </w:p>
        </w:tc>
        <w:tc>
          <w:tcPr>
            <w:tcW w:w="1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99"/>
              </w:rPr>
              <w:t>1,106</w:t>
            </w: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2,206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3,540</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6,852</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Incurred guaranteed benefits</w:t>
            </w:r>
          </w:p>
        </w:tc>
        <w:tc>
          <w:tcPr>
            <w:tcW w:w="1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1,403</w:t>
            </w: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6"/>
                <w:szCs w:val="16"/>
                <w:color w:val="auto"/>
              </w:rPr>
              <w:t>Paid guaranteed benefits</w:t>
            </w:r>
          </w:p>
        </w:tc>
        <w:tc>
          <w:tcPr>
            <w:tcW w:w="1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2017</w:t>
            </w: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99"/>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2,550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4,232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8,198</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Net Ceded/(Assumed)</w:t>
            </w: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4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January 1, 2015</w:t>
            </w:r>
          </w:p>
        </w:tc>
        <w:tc>
          <w:tcPr>
            <w:tcW w:w="1100" w:type="dxa"/>
            <w:vAlign w:val="bottom"/>
            <w:tcBorders>
              <w:bottom w:val="single" w:sz="8" w:color="CCEEFF"/>
            </w:tcBorders>
            <w:shd w:val="clear" w:color="auto" w:fill="CCEEFF"/>
          </w:tcPr>
          <w:p>
            <w:pPr>
              <w:jc w:val="right"/>
              <w:ind w:right="92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799</w:t>
            </w: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6"/>
                <w:szCs w:val="16"/>
                <w:color w:val="auto"/>
              </w:rPr>
              <w:t>Incurred guaranteed benefits (1)</w:t>
            </w:r>
          </w:p>
        </w:tc>
        <w:tc>
          <w:tcPr>
            <w:tcW w:w="1100" w:type="dxa"/>
            <w:vAlign w:val="bottom"/>
          </w:tcPr>
          <w:p>
            <w:pPr>
              <w:spacing w:after="0"/>
              <w:rPr>
                <w:sz w:val="20"/>
                <w:szCs w:val="20"/>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Paid guaranteed benefits</w:t>
            </w:r>
          </w:p>
        </w:tc>
        <w:tc>
          <w:tcPr>
            <w:tcW w:w="1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7"/>
        </w:trPr>
        <w:tc>
          <w:tcPr>
            <w:tcW w:w="4040" w:type="dxa"/>
            <w:vAlign w:val="bottom"/>
          </w:tcPr>
          <w:p>
            <w:pPr>
              <w:ind w:left="20"/>
              <w:spacing w:after="0"/>
              <w:rPr>
                <w:sz w:val="20"/>
                <w:szCs w:val="20"/>
                <w:color w:val="auto"/>
              </w:rPr>
            </w:pPr>
            <w:r>
              <w:rPr>
                <w:rFonts w:ascii="Arial" w:cs="Arial" w:eastAsia="Arial" w:hAnsi="Arial"/>
                <w:sz w:val="16"/>
                <w:szCs w:val="16"/>
                <w:color w:val="auto"/>
              </w:rPr>
              <w:t>Balance at December 31, 2015</w:t>
            </w:r>
          </w:p>
        </w:tc>
        <w:tc>
          <w:tcPr>
            <w:tcW w:w="1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1,007</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945</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Incurred guaranteed benefits</w:t>
            </w:r>
          </w:p>
        </w:tc>
        <w:tc>
          <w:tcPr>
            <w:tcW w:w="1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6"/>
                <w:szCs w:val="16"/>
                <w:color w:val="auto"/>
              </w:rPr>
              <w:t>Paid guaranteed benefits</w:t>
            </w:r>
          </w:p>
        </w:tc>
        <w:tc>
          <w:tcPr>
            <w:tcW w:w="1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2016</w:t>
            </w:r>
          </w:p>
        </w:tc>
        <w:tc>
          <w:tcPr>
            <w:tcW w:w="1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1,041</w:t>
            </w: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6"/>
                <w:szCs w:val="16"/>
                <w:color w:val="auto"/>
              </w:rPr>
              <w:t>Incurred guaranteed benefits</w:t>
            </w:r>
          </w:p>
        </w:tc>
        <w:tc>
          <w:tcPr>
            <w:tcW w:w="1100" w:type="dxa"/>
            <w:vAlign w:val="bottom"/>
          </w:tcPr>
          <w:p>
            <w:pPr>
              <w:spacing w:after="0"/>
              <w:rPr>
                <w:sz w:val="20"/>
                <w:szCs w:val="20"/>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Paid guaranteed benefits</w:t>
            </w:r>
          </w:p>
        </w:tc>
        <w:tc>
          <w:tcPr>
            <w:tcW w:w="1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84"/>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 at December 31, 2017</w:t>
            </w:r>
          </w:p>
        </w:tc>
        <w:tc>
          <w:tcPr>
            <w:tcW w:w="1100" w:type="dxa"/>
            <w:vAlign w:val="bottom"/>
            <w:tcBorders>
              <w:top w:val="single" w:sz="8" w:color="auto"/>
              <w:bottom w:val="single" w:sz="8" w:color="auto"/>
            </w:tcBorders>
          </w:tcPr>
          <w:p>
            <w:pPr>
              <w:jc w:val="right"/>
              <w:ind w:right="920"/>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920"/>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946</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w:t>
            </w:r>
          </w:p>
        </w:tc>
        <w:tc>
          <w:tcPr>
            <w:tcW w:w="1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6"/>
                <w:szCs w:val="16"/>
                <w:color w:val="auto"/>
              </w:rPr>
              <w:t>Balance at January 1, 2015</w:t>
            </w:r>
          </w:p>
        </w:tc>
        <w:tc>
          <w:tcPr>
            <w:tcW w:w="1100" w:type="dxa"/>
            <w:vAlign w:val="bottom"/>
          </w:tcPr>
          <w:p>
            <w:pPr>
              <w:jc w:val="right"/>
              <w:ind w:right="92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20"/>
                <w:szCs w:val="20"/>
                <w:color w:val="auto"/>
              </w:rPr>
            </w:pPr>
          </w:p>
        </w:tc>
        <w:tc>
          <w:tcPr>
            <w:tcW w:w="1100" w:type="dxa"/>
            <w:vAlign w:val="bottom"/>
          </w:tcPr>
          <w:p>
            <w:pPr>
              <w:jc w:val="right"/>
              <w:ind w:right="92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1,561</w:t>
            </w:r>
          </w:p>
        </w:tc>
        <w:tc>
          <w:tcPr>
            <w:tcW w:w="120" w:type="dxa"/>
            <w:vAlign w:val="bottom"/>
          </w:tcPr>
          <w:p>
            <w:pPr>
              <w:spacing w:after="0"/>
              <w:rPr>
                <w:sz w:val="20"/>
                <w:szCs w:val="20"/>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1,528</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3,729</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Incurred guaranteed benefits (1)</w:t>
            </w:r>
          </w:p>
        </w:tc>
        <w:tc>
          <w:tcPr>
            <w:tcW w:w="1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6"/>
                <w:szCs w:val="16"/>
                <w:color w:val="auto"/>
              </w:rPr>
              <w:t>Paid guaranteed benefits</w:t>
            </w:r>
          </w:p>
        </w:tc>
        <w:tc>
          <w:tcPr>
            <w:tcW w:w="1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2015</w:t>
            </w:r>
          </w:p>
        </w:tc>
        <w:tc>
          <w:tcPr>
            <w:tcW w:w="1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1,900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1,780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4,545</w:t>
            </w: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6"/>
                <w:szCs w:val="16"/>
                <w:color w:val="auto"/>
              </w:rPr>
              <w:t>Incurred guaranteed benefits</w:t>
            </w:r>
          </w:p>
        </w:tc>
        <w:tc>
          <w:tcPr>
            <w:tcW w:w="1100" w:type="dxa"/>
            <w:vAlign w:val="bottom"/>
          </w:tcPr>
          <w:p>
            <w:pPr>
              <w:spacing w:after="0"/>
              <w:rPr>
                <w:sz w:val="20"/>
                <w:szCs w:val="20"/>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655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1,271</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Paid guaranteed benefits</w:t>
            </w:r>
          </w:p>
        </w:tc>
        <w:tc>
          <w:tcPr>
            <w:tcW w:w="1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4040" w:type="dxa"/>
            <w:vAlign w:val="bottom"/>
          </w:tcPr>
          <w:p>
            <w:pPr>
              <w:ind w:left="20"/>
              <w:spacing w:after="0"/>
              <w:rPr>
                <w:sz w:val="20"/>
                <w:szCs w:val="20"/>
                <w:color w:val="auto"/>
              </w:rPr>
            </w:pPr>
            <w:r>
              <w:rPr>
                <w:rFonts w:ascii="Arial" w:cs="Arial" w:eastAsia="Arial" w:hAnsi="Arial"/>
                <w:sz w:val="16"/>
                <w:szCs w:val="16"/>
                <w:color w:val="auto"/>
              </w:rPr>
              <w:t>Balance at December 31, 2016</w:t>
            </w:r>
          </w:p>
        </w:tc>
        <w:tc>
          <w:tcPr>
            <w:tcW w:w="1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99"/>
              </w:rPr>
              <w:t>1,151</w:t>
            </w: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2,225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2,435</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5,811</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Incurred guaranteed benefits</w:t>
            </w:r>
          </w:p>
        </w:tc>
        <w:tc>
          <w:tcPr>
            <w:tcW w:w="1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1,496</w:t>
            </w: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6"/>
                <w:szCs w:val="16"/>
                <w:color w:val="auto"/>
              </w:rPr>
              <w:t>Paid guaranteed benefits</w:t>
            </w:r>
          </w:p>
        </w:tc>
        <w:tc>
          <w:tcPr>
            <w:tcW w:w="1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2017</w:t>
            </w: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99"/>
              </w:rPr>
              <w:t>1,422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2,597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3,286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7,305</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-98425</wp:posOffset>
            </wp:positionV>
            <wp:extent cx="43478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93"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 Note 6.</w:t>
      </w:r>
    </w:p>
    <w:p>
      <w:pPr>
        <w:sectPr>
          <w:pgSz w:w="11900" w:h="16838" w:orient="portrait"/>
          <w:cols w:equalWidth="0" w:num="1">
            <w:col w:w="11400"/>
          </w:cols>
          <w:pgMar w:left="240" w:top="229" w:right="2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00"/>
          </w:cols>
          <w:pgMar w:left="240" w:top="229" w:right="25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Insurance (continued)</w:t>
      </w:r>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regarding the Company’s guarantee exposure was as follows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201"/>
              <w:spacing w:after="0"/>
              <w:rPr>
                <w:sz w:val="20"/>
                <w:szCs w:val="20"/>
                <w:color w:val="auto"/>
              </w:rPr>
            </w:pPr>
            <w:r>
              <w:rPr>
                <w:rFonts w:ascii="Arial" w:cs="Arial" w:eastAsia="Arial" w:hAnsi="Arial"/>
                <w:sz w:val="14"/>
                <w:szCs w:val="14"/>
                <w:b w:val="1"/>
                <w:bCs w:val="1"/>
                <w:color w:val="auto"/>
                <w:w w:val="90"/>
              </w:rPr>
              <w:t>December 31,</w:t>
            </w:r>
          </w:p>
        </w:tc>
        <w:tc>
          <w:tcPr>
            <w:tcW w:w="7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4"/>
                <w:szCs w:val="14"/>
                <w:b w:val="1"/>
                <w:bCs w:val="1"/>
                <w:color w:val="auto"/>
              </w:rPr>
              <w:t>2017</w:t>
            </w:r>
          </w:p>
        </w:tc>
        <w:tc>
          <w:tcPr>
            <w:tcW w:w="10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2016</w:t>
            </w:r>
          </w:p>
        </w:tc>
        <w:tc>
          <w:tcPr>
            <w:tcW w:w="1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2"/>
            <w:vMerge w:val="restart"/>
          </w:tcPr>
          <w:p>
            <w:pPr>
              <w:jc w:val="right"/>
              <w:ind w:right="183"/>
              <w:spacing w:after="0"/>
              <w:rPr>
                <w:sz w:val="20"/>
                <w:szCs w:val="20"/>
                <w:color w:val="auto"/>
              </w:rPr>
            </w:pPr>
            <w:r>
              <w:rPr>
                <w:rFonts w:ascii="Arial" w:cs="Arial" w:eastAsia="Arial" w:hAnsi="Arial"/>
                <w:sz w:val="14"/>
                <w:szCs w:val="14"/>
                <w:b w:val="1"/>
                <w:bCs w:val="1"/>
                <w:color w:val="auto"/>
                <w:w w:val="97"/>
              </w:rPr>
              <w:t>In the Event of Death</w:t>
            </w:r>
          </w:p>
        </w:tc>
        <w:tc>
          <w:tcPr>
            <w:tcW w:w="340" w:type="dxa"/>
            <w:vAlign w:val="bottom"/>
          </w:tcPr>
          <w:p>
            <w:pPr>
              <w:spacing w:after="0"/>
              <w:rPr>
                <w:sz w:val="13"/>
                <w:szCs w:val="13"/>
                <w:color w:val="auto"/>
              </w:rPr>
            </w:pPr>
          </w:p>
        </w:tc>
        <w:tc>
          <w:tcPr>
            <w:tcW w:w="1040" w:type="dxa"/>
            <w:vAlign w:val="bottom"/>
          </w:tcPr>
          <w:p>
            <w:pPr>
              <w:jc w:val="right"/>
              <w:ind w:right="303"/>
              <w:spacing w:after="0" w:line="153" w:lineRule="exact"/>
              <w:rPr>
                <w:sz w:val="20"/>
                <w:szCs w:val="20"/>
                <w:color w:val="auto"/>
              </w:rPr>
            </w:pPr>
            <w:r>
              <w:rPr>
                <w:rFonts w:ascii="Arial" w:cs="Arial" w:eastAsia="Arial" w:hAnsi="Arial"/>
                <w:sz w:val="14"/>
                <w:szCs w:val="14"/>
                <w:b w:val="1"/>
                <w:bCs w:val="1"/>
                <w:color w:val="auto"/>
              </w:rPr>
              <w:t>At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3"/>
            <w:vMerge w:val="restart"/>
          </w:tcPr>
          <w:p>
            <w:pPr>
              <w:jc w:val="right"/>
              <w:ind w:right="143"/>
              <w:spacing w:after="0"/>
              <w:rPr>
                <w:sz w:val="20"/>
                <w:szCs w:val="20"/>
                <w:color w:val="auto"/>
              </w:rPr>
            </w:pPr>
            <w:r>
              <w:rPr>
                <w:rFonts w:ascii="Arial" w:cs="Arial" w:eastAsia="Arial" w:hAnsi="Arial"/>
                <w:sz w:val="14"/>
                <w:szCs w:val="14"/>
                <w:b w:val="1"/>
                <w:bCs w:val="1"/>
                <w:color w:val="auto"/>
              </w:rPr>
              <w:t>In the Event of Death</w:t>
            </w:r>
          </w:p>
        </w:tc>
        <w:tc>
          <w:tcPr>
            <w:tcW w:w="320" w:type="dxa"/>
            <w:vAlign w:val="bottom"/>
          </w:tcPr>
          <w:p>
            <w:pPr>
              <w:spacing w:after="0"/>
              <w:rPr>
                <w:sz w:val="13"/>
                <w:szCs w:val="13"/>
                <w:color w:val="auto"/>
              </w:rPr>
            </w:pPr>
          </w:p>
        </w:tc>
        <w:tc>
          <w:tcPr>
            <w:tcW w:w="1100" w:type="dxa"/>
            <w:vAlign w:val="bottom"/>
          </w:tcPr>
          <w:p>
            <w:pPr>
              <w:jc w:val="right"/>
              <w:ind w:right="382"/>
              <w:spacing w:after="0" w:line="153" w:lineRule="exact"/>
              <w:rPr>
                <w:sz w:val="20"/>
                <w:szCs w:val="20"/>
                <w:color w:val="auto"/>
              </w:rPr>
            </w:pPr>
            <w:r>
              <w:rPr>
                <w:rFonts w:ascii="Arial" w:cs="Arial" w:eastAsia="Arial" w:hAnsi="Arial"/>
                <w:sz w:val="14"/>
                <w:szCs w:val="14"/>
                <w:b w:val="1"/>
                <w:bCs w:val="1"/>
                <w:color w:val="auto"/>
              </w:rPr>
              <w:t>At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Annuitization</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Annuitization</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60" w:type="dxa"/>
            <w:vAlign w:val="bottom"/>
            <w:gridSpan w:val="4"/>
          </w:tcPr>
          <w:p>
            <w:pPr>
              <w:jc w:val="right"/>
              <w:ind w:right="1"/>
              <w:spacing w:after="0"/>
              <w:rPr>
                <w:sz w:val="20"/>
                <w:szCs w:val="20"/>
                <w:color w:val="auto"/>
              </w:rPr>
            </w:pPr>
            <w:r>
              <w:rPr>
                <w:rFonts w:ascii="Arial" w:cs="Arial" w:eastAsia="Arial" w:hAnsi="Arial"/>
                <w:sz w:val="14"/>
                <w:szCs w:val="14"/>
                <w:b w:val="1"/>
                <w:bCs w:val="1"/>
                <w:color w:val="auto"/>
              </w:rPr>
              <w:t>(Dollars in millions)</w:t>
            </w: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Annuity Contracts (1), (2)</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Variable Annuity Guarantees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account value (3)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105,061</w:t>
            </w: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59,691</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2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106,590</w:t>
            </w:r>
          </w:p>
        </w:tc>
        <w:tc>
          <w:tcPr>
            <w:tcW w:w="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61,340</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Separate account value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100,043</w:t>
            </w:r>
          </w:p>
        </w:tc>
        <w:tc>
          <w:tcPr>
            <w:tcW w:w="400" w:type="dxa"/>
            <w:vAlign w:val="bottom"/>
          </w:tcPr>
          <w:p>
            <w:pPr>
              <w:spacing w:after="0"/>
              <w:rPr>
                <w:sz w:val="20"/>
                <w:szCs w:val="20"/>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58,511</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42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101,991</w:t>
            </w:r>
          </w:p>
        </w:tc>
        <w:tc>
          <w:tcPr>
            <w:tcW w:w="380" w:type="dxa"/>
            <w:vAlign w:val="bottom"/>
          </w:tcPr>
          <w:p>
            <w:pPr>
              <w:spacing w:after="0"/>
              <w:rPr>
                <w:sz w:val="20"/>
                <w:szCs w:val="20"/>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60,016</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amount at risk</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5,200</w:t>
            </w:r>
          </w:p>
        </w:tc>
        <w:tc>
          <w:tcPr>
            <w:tcW w:w="4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(4)</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2,330</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2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6,763</w:t>
            </w:r>
          </w:p>
        </w:tc>
        <w:tc>
          <w:tcPr>
            <w:tcW w:w="3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(4)</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3,116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Average attained age of contract holders</w:t>
            </w:r>
          </w:p>
        </w:tc>
        <w:tc>
          <w:tcPr>
            <w:tcW w:w="160" w:type="dxa"/>
            <w:vAlign w:val="bottom"/>
          </w:tcPr>
          <w:p>
            <w:pPr>
              <w:spacing w:after="0"/>
              <w:rPr>
                <w:sz w:val="20"/>
                <w:szCs w:val="20"/>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68 years</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 years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67 years</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67 years</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left="503"/>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8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20" w:type="dxa"/>
            <w:vAlign w:val="bottom"/>
          </w:tcPr>
          <w:p>
            <w:pPr>
              <w:spacing w:after="0"/>
              <w:rPr>
                <w:sz w:val="21"/>
                <w:szCs w:val="21"/>
                <w:color w:val="auto"/>
              </w:rPr>
            </w:pPr>
          </w:p>
        </w:tc>
        <w:tc>
          <w:tcPr>
            <w:tcW w:w="83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1"/>
              </w:rPr>
              <w:t>Secondary Guarantees</w:t>
            </w:r>
          </w:p>
        </w:tc>
      </w:tr>
      <w:tr>
        <w:trPr>
          <w:trHeight w:val="250"/>
        </w:trPr>
        <w:tc>
          <w:tcPr>
            <w:tcW w:w="20" w:type="dxa"/>
            <w:vAlign w:val="bottom"/>
          </w:tcPr>
          <w:p>
            <w:pPr>
              <w:spacing w:after="0"/>
              <w:rPr>
                <w:sz w:val="21"/>
                <w:szCs w:val="21"/>
                <w:color w:val="auto"/>
              </w:rPr>
            </w:pPr>
          </w:p>
        </w:tc>
        <w:tc>
          <w:tcPr>
            <w:tcW w:w="8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gridSpan w:val="2"/>
          </w:tcPr>
          <w:p>
            <w:pPr>
              <w:jc w:val="center"/>
              <w:ind w:left="483"/>
              <w:spacing w:after="0"/>
              <w:rPr>
                <w:sz w:val="20"/>
                <w:szCs w:val="20"/>
                <w:color w:val="auto"/>
              </w:rPr>
            </w:pPr>
            <w:r>
              <w:rPr>
                <w:rFonts w:ascii="Arial" w:cs="Arial" w:eastAsia="Arial" w:hAnsi="Arial"/>
                <w:sz w:val="14"/>
                <w:szCs w:val="14"/>
                <w:b w:val="1"/>
                <w:bCs w:val="1"/>
                <w:color w:val="auto"/>
                <w:w w:val="93"/>
              </w:rPr>
              <w:t>(Dollars in millions)</w:t>
            </w:r>
          </w:p>
        </w:tc>
        <w:tc>
          <w:tcPr>
            <w:tcW w:w="90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Universal Life Contracts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8320" w:type="dxa"/>
            <w:vAlign w:val="bottom"/>
          </w:tcPr>
          <w:p>
            <w:pPr>
              <w:ind w:left="20"/>
              <w:spacing w:after="0"/>
              <w:rPr>
                <w:sz w:val="20"/>
                <w:szCs w:val="20"/>
                <w:color w:val="auto"/>
              </w:rPr>
            </w:pPr>
            <w:r>
              <w:rPr>
                <w:rFonts w:ascii="Arial" w:cs="Arial" w:eastAsia="Arial" w:hAnsi="Arial"/>
                <w:sz w:val="16"/>
                <w:szCs w:val="16"/>
                <w:color w:val="auto"/>
              </w:rPr>
              <w:t>Total account value (3)</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63"/>
              <w:spacing w:after="0"/>
              <w:rPr>
                <w:sz w:val="20"/>
                <w:szCs w:val="20"/>
                <w:color w:val="auto"/>
              </w:rPr>
            </w:pPr>
            <w:r>
              <w:rPr>
                <w:rFonts w:ascii="Arial" w:cs="Arial" w:eastAsia="Arial" w:hAnsi="Arial"/>
                <w:sz w:val="16"/>
                <w:szCs w:val="16"/>
                <w:color w:val="auto"/>
              </w:rPr>
              <w:t>6,244</w:t>
            </w:r>
          </w:p>
        </w:tc>
        <w:tc>
          <w:tcPr>
            <w:tcW w:w="6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6,216</w:t>
            </w:r>
          </w:p>
        </w:tc>
      </w:tr>
      <w:tr>
        <w:trPr>
          <w:trHeight w:val="33"/>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amount at risk (6)</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75,304</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76,216</w:t>
            </w:r>
          </w:p>
        </w:tc>
      </w:tr>
      <w:tr>
        <w:trPr>
          <w:trHeight w:val="237"/>
        </w:trPr>
        <w:tc>
          <w:tcPr>
            <w:tcW w:w="20" w:type="dxa"/>
            <w:vAlign w:val="bottom"/>
          </w:tcPr>
          <w:p>
            <w:pPr>
              <w:spacing w:after="0"/>
              <w:rPr>
                <w:sz w:val="20"/>
                <w:szCs w:val="20"/>
                <w:color w:val="auto"/>
              </w:rPr>
            </w:pPr>
          </w:p>
        </w:tc>
        <w:tc>
          <w:tcPr>
            <w:tcW w:w="8320" w:type="dxa"/>
            <w:vAlign w:val="bottom"/>
          </w:tcPr>
          <w:p>
            <w:pPr>
              <w:ind w:left="20"/>
              <w:spacing w:after="0"/>
              <w:rPr>
                <w:sz w:val="20"/>
                <w:szCs w:val="20"/>
                <w:color w:val="auto"/>
              </w:rPr>
            </w:pPr>
            <w:r>
              <w:rPr>
                <w:rFonts w:ascii="Arial" w:cs="Arial" w:eastAsia="Arial" w:hAnsi="Arial"/>
                <w:sz w:val="16"/>
                <w:szCs w:val="16"/>
                <w:color w:val="auto"/>
              </w:rPr>
              <w:t>Average attained age of policyholders</w:t>
            </w:r>
          </w:p>
        </w:tc>
        <w:tc>
          <w:tcPr>
            <w:tcW w:w="360" w:type="dxa"/>
            <w:vAlign w:val="bottom"/>
          </w:tcPr>
          <w:p>
            <w:pPr>
              <w:spacing w:after="0"/>
              <w:rPr>
                <w:sz w:val="20"/>
                <w:szCs w:val="20"/>
                <w:color w:val="auto"/>
              </w:rPr>
            </w:pPr>
          </w:p>
        </w:tc>
        <w:tc>
          <w:tcPr>
            <w:tcW w:w="1160" w:type="dxa"/>
            <w:vAlign w:val="bottom"/>
          </w:tcPr>
          <w:p>
            <w:pPr>
              <w:jc w:val="right"/>
              <w:ind w:right="63"/>
              <w:spacing w:after="0"/>
              <w:rPr>
                <w:sz w:val="20"/>
                <w:szCs w:val="20"/>
                <w:color w:val="auto"/>
              </w:rPr>
            </w:pPr>
            <w:r>
              <w:rPr>
                <w:rFonts w:ascii="Arial" w:cs="Arial" w:eastAsia="Arial" w:hAnsi="Arial"/>
                <w:sz w:val="16"/>
                <w:szCs w:val="16"/>
                <w:color w:val="auto"/>
              </w:rPr>
              <w:t>64 years</w:t>
            </w:r>
          </w:p>
        </w:tc>
        <w:tc>
          <w:tcPr>
            <w:tcW w:w="66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63 years</w:t>
            </w:r>
          </w:p>
        </w:tc>
      </w:tr>
      <w:tr>
        <w:trPr>
          <w:trHeight w:val="33"/>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20" w:type="dxa"/>
            <w:vAlign w:val="bottom"/>
          </w:tcPr>
          <w:p>
            <w:pPr>
              <w:spacing w:after="0"/>
              <w:rPr>
                <w:sz w:val="24"/>
                <w:szCs w:val="24"/>
                <w:color w:val="auto"/>
              </w:rPr>
            </w:pPr>
          </w:p>
        </w:tc>
        <w:tc>
          <w:tcPr>
            <w:tcW w:w="8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83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Variable Life Contracts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account value (3)</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1,021</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960</w:t>
            </w:r>
          </w:p>
        </w:tc>
      </w:tr>
      <w:tr>
        <w:trPr>
          <w:trHeight w:val="237"/>
        </w:trPr>
        <w:tc>
          <w:tcPr>
            <w:tcW w:w="20" w:type="dxa"/>
            <w:vAlign w:val="bottom"/>
          </w:tcPr>
          <w:p>
            <w:pPr>
              <w:spacing w:after="0"/>
              <w:rPr>
                <w:sz w:val="20"/>
                <w:szCs w:val="20"/>
                <w:color w:val="auto"/>
              </w:rPr>
            </w:pPr>
          </w:p>
        </w:tc>
        <w:tc>
          <w:tcPr>
            <w:tcW w:w="8320" w:type="dxa"/>
            <w:vAlign w:val="bottom"/>
          </w:tcPr>
          <w:p>
            <w:pPr>
              <w:ind w:left="20"/>
              <w:spacing w:after="0"/>
              <w:rPr>
                <w:sz w:val="20"/>
                <w:szCs w:val="20"/>
                <w:color w:val="auto"/>
              </w:rPr>
            </w:pPr>
            <w:r>
              <w:rPr>
                <w:rFonts w:ascii="Arial" w:cs="Arial" w:eastAsia="Arial" w:hAnsi="Arial"/>
                <w:sz w:val="16"/>
                <w:szCs w:val="16"/>
                <w:color w:val="auto"/>
              </w:rPr>
              <w:t>Net amount at risk (6)</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63"/>
              <w:spacing w:after="0"/>
              <w:rPr>
                <w:sz w:val="20"/>
                <w:szCs w:val="20"/>
                <w:color w:val="auto"/>
              </w:rPr>
            </w:pPr>
            <w:r>
              <w:rPr>
                <w:rFonts w:ascii="Arial" w:cs="Arial" w:eastAsia="Arial" w:hAnsi="Arial"/>
                <w:sz w:val="16"/>
                <w:szCs w:val="16"/>
                <w:color w:val="auto"/>
              </w:rPr>
              <w:t>13,848</w:t>
            </w:r>
          </w:p>
        </w:tc>
        <w:tc>
          <w:tcPr>
            <w:tcW w:w="6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14,757</w:t>
            </w:r>
          </w:p>
        </w:tc>
      </w:tr>
      <w:tr>
        <w:trPr>
          <w:trHeight w:val="33"/>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Average attained age of policyholders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44 years</w:t>
            </w: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 years</w:t>
            </w:r>
          </w:p>
        </w:tc>
      </w:tr>
      <w:tr>
        <w:trPr>
          <w:trHeight w:val="182"/>
        </w:trPr>
        <w:tc>
          <w:tcPr>
            <w:tcW w:w="20" w:type="dxa"/>
            <w:vAlign w:val="bottom"/>
          </w:tcPr>
          <w:p>
            <w:pPr>
              <w:spacing w:after="0"/>
              <w:rPr>
                <w:sz w:val="15"/>
                <w:szCs w:val="15"/>
                <w:color w:val="auto"/>
              </w:rPr>
            </w:pPr>
          </w:p>
        </w:tc>
        <w:tc>
          <w:tcPr>
            <w:tcW w:w="8320" w:type="dxa"/>
            <w:vAlign w:val="bottom"/>
          </w:tcPr>
          <w:p>
            <w:pPr>
              <w:spacing w:after="0"/>
              <w:rPr>
                <w:sz w:val="20"/>
                <w:szCs w:val="20"/>
                <w:color w:val="auto"/>
              </w:rPr>
            </w:pPr>
            <w:r>
              <w:rPr>
                <w:rFonts w:ascii="Arial" w:cs="Arial" w:eastAsia="Arial" w:hAnsi="Arial"/>
                <w:sz w:val="14"/>
                <w:szCs w:val="14"/>
                <w:color w:val="auto"/>
              </w:rPr>
              <w:t>______________</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pacing w:after="0" w:line="73" w:lineRule="exact"/>
        <w:rPr>
          <w:sz w:val="20"/>
          <w:szCs w:val="20"/>
          <w:color w:val="auto"/>
        </w:rPr>
      </w:pPr>
    </w:p>
    <w:p>
      <w:pPr>
        <w:ind w:left="500" w:right="20" w:hanging="492"/>
        <w:spacing w:after="0" w:line="27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Company’s annuity contracts with guarantees may offer more than one type of guarantee in each contract. Therefore, the amounts listed above may not be mutually exclusive.</w:t>
      </w:r>
    </w:p>
    <w:p>
      <w:pPr>
        <w:spacing w:after="0" w:line="6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direct business, but excludes offsets from hedging or reinsurance, if any. Therefore, the net amount at risk presented reflects the economic exposures of living and death benefit guarantees associated with variable annuities, but not necessarily their impact on the Company. See Note 6 for a discussion of guaranteed minimum benefits which have been reinsured.</w:t>
      </w:r>
    </w:p>
    <w:p>
      <w:pPr>
        <w:spacing w:after="0" w:line="73"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the contract holder’s investments in the general account and separate account, if applicable.</w:t>
      </w:r>
    </w:p>
    <w:p>
      <w:pPr>
        <w:spacing w:after="0" w:line="11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Defined as the death benefit less the total account value, as of the balance sheet date. It represents the amount of the claim that the Company would incur if death claims were filed on all contracts on the balance sheet date and includes any additional contractual claims associated with riders purchased to assist with covering income taxes payable upon death.</w:t>
      </w:r>
    </w:p>
    <w:p>
      <w:pPr>
        <w:spacing w:after="0" w:line="73" w:lineRule="exact"/>
        <w:rPr>
          <w:rFonts w:ascii="Arial" w:cs="Arial" w:eastAsia="Arial" w:hAnsi="Arial"/>
          <w:sz w:val="18"/>
          <w:szCs w:val="18"/>
          <w:color w:val="auto"/>
        </w:rPr>
      </w:pPr>
    </w:p>
    <w:p>
      <w:pPr>
        <w:jc w:val="both"/>
        <w:ind w:left="500" w:hanging="492"/>
        <w:spacing w:after="0" w:line="302" w:lineRule="auto"/>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Defined as the amount (if any) that would be required to be added to the total account value to purchase a lifetime income stream, based on current annuity rates, equal to the minimum amount provided under the guaranteed benefit. This amount represents the Company’s potential economic exposure to such guarantees in the event all contract holders were to annuitize on the balance sheet date, even though the contracts contain terms that allow annuitization of the guaranteed amount only after the 10th anniversary of the contract, which not all contract holders have achieved.</w:t>
      </w:r>
    </w:p>
    <w:p>
      <w:pPr>
        <w:spacing w:after="0" w:line="46" w:lineRule="exact"/>
        <w:rPr>
          <w:rFonts w:ascii="Arial" w:cs="Arial" w:eastAsia="Arial" w:hAnsi="Arial"/>
          <w:sz w:val="16"/>
          <w:szCs w:val="16"/>
          <w:color w:val="auto"/>
        </w:rPr>
      </w:pPr>
    </w:p>
    <w:p>
      <w:pPr>
        <w:ind w:left="500" w:right="20" w:hanging="492"/>
        <w:spacing w:after="0" w:line="27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Defined as the guarantee amount less the account value, as of the balance sheet date. It represents the amount of the claim that the Company would incur if death claims were filed on all contracts on the balance sheet date.</w:t>
      </w:r>
    </w:p>
    <w:p>
      <w:pPr>
        <w:sectPr>
          <w:pgSz w:w="11900" w:h="16838" w:orient="portrait"/>
          <w:cols w:equalWidth="0" w:num="1">
            <w:col w:w="11420"/>
          </w:cols>
          <w:pgMar w:left="240" w:top="229"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20"/>
          </w:cols>
          <w:pgMar w:left="240" w:top="229" w:right="23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Insurance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 balances of contracts with guarantees were invested in separate account asset classes as follows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Fund Groupings: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200"/>
              <w:spacing w:after="0"/>
              <w:rPr>
                <w:sz w:val="20"/>
                <w:szCs w:val="20"/>
                <w:color w:val="auto"/>
              </w:rPr>
            </w:pPr>
            <w:r>
              <w:rPr>
                <w:rFonts w:ascii="Arial" w:cs="Arial" w:eastAsia="Arial" w:hAnsi="Arial"/>
                <w:sz w:val="16"/>
                <w:szCs w:val="16"/>
                <w:color w:val="auto"/>
              </w:rPr>
              <w:t>Balanced</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54,729</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52,170</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43,685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41,152</w:t>
            </w:r>
          </w:p>
        </w:tc>
      </w:tr>
      <w:tr>
        <w:trPr>
          <w:trHeight w:val="237"/>
        </w:trPr>
        <w:tc>
          <w:tcPr>
            <w:tcW w:w="8340" w:type="dxa"/>
            <w:vAlign w:val="bottom"/>
          </w:tcPr>
          <w:p>
            <w:pPr>
              <w:ind w:left="200"/>
              <w:spacing w:after="0"/>
              <w:rPr>
                <w:sz w:val="20"/>
                <w:szCs w:val="20"/>
                <w:color w:val="auto"/>
              </w:rPr>
            </w:pPr>
            <w:r>
              <w:rPr>
                <w:rFonts w:ascii="Arial" w:cs="Arial" w:eastAsia="Arial" w:hAnsi="Arial"/>
                <w:sz w:val="16"/>
                <w:szCs w:val="16"/>
                <w:color w:val="auto"/>
              </w:rPr>
              <w:t>Bond</w:t>
            </w:r>
          </w:p>
        </w:tc>
        <w:tc>
          <w:tcPr>
            <w:tcW w:w="36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6,082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6,086</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Money Market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605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703</w:t>
            </w:r>
          </w:p>
        </w:tc>
      </w:tr>
      <w:tr>
        <w:trPr>
          <w:trHeight w:val="217"/>
        </w:trPr>
        <w:tc>
          <w:tcPr>
            <w:tcW w:w="8340" w:type="dxa"/>
            <w:vAlign w:val="bottom"/>
          </w:tcPr>
          <w:p>
            <w:pPr>
              <w:ind w:left="36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105,101</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100,111</w:t>
            </w: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Obligations Under Funding Agreements</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has issued fixed and floating rate funding agreements, which are denominated in either U.S. dollars or foreign currencies, to certain special purpose entities that have issued either debt securities or commercial paper for which payment of interest and principal is secured by such funding agreements. During the years ended December 31, 2017, 2016 and 2015, the Company issued $0, $1.4 billion and $13.0 billion, respectively, and repaid $6 million, $3.4 billion and $14.4 billion, respectively, of such funding agreements. At December 31, 2017 and 2016, liabilities for funding agreements outstanding, which are included in policyholder account balances, were $141 million and $127 million, respectively.</w:t>
      </w:r>
    </w:p>
    <w:p>
      <w:pPr>
        <w:spacing w:after="0" w:line="6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Brighthouse Life Insurance Company is a member of the Federal Home Loan Bank (“FHLB”) of Pittsburgh and holds common stock in certain regional banks in the FHLB system. Holdings of FHLB common stock carried at cost at December 31, 2017 and 2016 were $71 million and $75 million, respectively.</w:t>
      </w:r>
    </w:p>
    <w:p>
      <w:pPr>
        <w:spacing w:after="0" w:line="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Brighthouse Life Insurance Company has also entered into funding agreements with FHLBs. The liabilities for these funding agreements are included in policyholder account balances. Information related to FHLB funding agreements was as follows at:</w:t>
      </w:r>
    </w:p>
    <w:p>
      <w:pPr>
        <w:spacing w:after="0" w:line="338"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23495</wp:posOffset>
            </wp:positionV>
            <wp:extent cx="15093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103" w:lineRule="exact"/>
        <w:rPr>
          <w:sz w:val="20"/>
          <w:szCs w:val="20"/>
          <w:color w:val="auto"/>
        </w:rPr>
      </w:pPr>
    </w:p>
    <w:p>
      <w:pPr>
        <w:ind w:left="9480"/>
        <w:spacing w:after="0"/>
        <w:tabs>
          <w:tab w:leader="none" w:pos="107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23495</wp:posOffset>
            </wp:positionV>
            <wp:extent cx="15093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89" w:lineRule="exact"/>
        <w:rPr>
          <w:sz w:val="20"/>
          <w:szCs w:val="20"/>
          <w:color w:val="auto"/>
        </w:rPr>
      </w:pPr>
    </w:p>
    <w:p>
      <w:pPr>
        <w:ind w:left="98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 w:lineRule="exact"/>
        <w:rPr>
          <w:sz w:val="20"/>
          <w:szCs w:val="20"/>
          <w:color w:val="auto"/>
        </w:rPr>
      </w:pPr>
    </w:p>
    <w:p>
      <w:pPr>
        <w:ind w:left="40"/>
        <w:spacing w:after="0"/>
        <w:tabs>
          <w:tab w:leader="none" w:pos="9060" w:val="left"/>
          <w:tab w:leader="none" w:pos="9820" w:val="left"/>
          <w:tab w:leader="none" w:pos="10300" w:val="left"/>
          <w:tab w:leader="none" w:pos="11040" w:val="left"/>
        </w:tabs>
        <w:rPr>
          <w:sz w:val="20"/>
          <w:szCs w:val="20"/>
          <w:color w:val="auto"/>
        </w:rPr>
      </w:pPr>
      <w:r>
        <w:rPr>
          <w:rFonts w:ascii="Arial" w:cs="Arial" w:eastAsia="Arial" w:hAnsi="Arial"/>
          <w:sz w:val="16"/>
          <w:szCs w:val="16"/>
          <w:color w:val="auto"/>
        </w:rPr>
        <w:t>Liabilities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595</w:t>
        <w:tab/>
        <w:t>$</w:t>
      </w:r>
      <w:r>
        <w:rPr>
          <w:sz w:val="20"/>
          <w:szCs w:val="20"/>
          <w:color w:val="auto"/>
        </w:rPr>
        <w:tab/>
      </w:r>
      <w:r>
        <w:rPr>
          <w:rFonts w:ascii="Arial" w:cs="Arial" w:eastAsia="Arial" w:hAnsi="Arial"/>
          <w:sz w:val="15"/>
          <w:szCs w:val="15"/>
          <w:color w:val="auto"/>
        </w:rPr>
        <w:t>645</w:t>
      </w:r>
    </w:p>
    <w:p>
      <w:pPr>
        <w:spacing w:after="0" w:line="1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Funding agreements are issued to FHLBs in exchange for cash. The FHLBs have been granted liens on certain assets, some of which are in their custody, including RMBS, to collateralize the Company’s obligations under the funding agreements. The Company is permitted to withdraw any portion of the collateral in the custody of the FHLBs as long as there is no event of default and the remaining qualified collateral is sufficient to satisfy the collateral maintenance level. Upon any event of default by the Company, the FHLBs recovery on the collateral is limited to the amount of the Company’s liabilities to the FHLBs.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Deferred Policy Acquisition Costs, Value of Business Acquired and Other Intangibles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 for a description of capitalized acquisition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Traditional Life Insurance Contracts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amortizes DAC and VOBA related to these contracts (primarily term insurance) over the appropriate premium paying period in proportion to the actual and expected future gross premiums that were set at contract issue. The expected premiums are based upon the premium requirement of each policy and assumptions for mortality, persistency and investment returns at policy issuance, or policy acquisition (as it relates to VOBA), include provisions for adverse deviation, and are consistent with the assumptions used to calculate future policy benefit liabilities. These assumptions are not revised after policy issuance or acquisition unless the DAC or VOBA balance is deemed to be unrecoverable from future expected profits. Absent a premium deficiency, variability in amortization after policy issuance or acquisition is caused only by variability in premium volumes.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22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Deferred Policy Acquisition Costs, Value of Business Acquired and Other Intangibles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and Variable Universal Life Contracts and Fixed and Variable Deferred Annuity Contracts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amortizes DAC and VOBA related to these contracts over the estimated lives of the contracts in proportion to actual and expected future gross profits. The amortization includes interest based on rates in effect at inception or acquisition of the contracts. The amount of future gross profits is dependent principally upon returns in excess of the amounts credited to policyholders, mortality, persistency, benefit elections and withdrawals, interest crediting rates, expenses to administer the business, creditworthiness of reinsurance counterparties, the effect of any hedges used and certain economic variables, such as inflation. Of these factors, the Company anticipates that investment returns, expenses, persistency and benefit elections and withdrawals are reasonably likely to significantly impact the rate of DAC and VOBA amortization. Each reporting period, the Company updates the estimated gross profits with the actual gross profits for that period. When the actual gross profits change from previously estimated gross profits, the cumulative DAC and VOBA amortization is re-estimated and adjusted by a cumulative charge or credit to current operations. When actual gross profits exceed those previously estimated, the DAC and VOBA amortization will increase, resulting in a current period charge to earnings. The opposite result occurs when the actual gross profits are below the previously estimated gross profits. Each reporting period, the Company also updates the actual amount of business remaining in-force, which impacts expected future gross profits. When expected future gross profits are below those previously estimated, the DAC and VOBA amortization will increase, resulting in a current period charge to earnings. The opposite result occurs when the expected future gross profits are above the previously estimated expected future gross profits. Each period, the Company also reviews the estimated gross profits for each block of business to determine the recoverability of DAC and VOBA balances.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Impacting Amortization</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Separate account rates of return on variable universal life contracts and variable deferred annuity contracts affect in-force account balances on such contracts each reporting period, which can result in significant fluctuations in amortization of DAC and VOBA. Returns that are higher than the Company’s long-term expectation produce higher account balances, which increases the Company’s future fee expectations and decreases future benefit payment expectations on minimum death and living benefit guarantees, resulting in higher expected future gross profits. The opposite result occurs when returns are lower than the Company’s long-term expectation. The Company’s practice to determine the impact of gross profits resulting from returns on separate accounts assumes that long-term appreciation in equity markets is not changed by short-term market fluctuations, but is only changed when sustained interim deviations are expected. The Company monitors these events and only changes the assumption when its long-term expectation changes.</w:t>
      </w:r>
    </w:p>
    <w:p>
      <w:pPr>
        <w:spacing w:after="0" w:line="5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also annually reviews other long-term assumptions underlying the projections of estimated gross profits. These assumptions primarily relate to investment returns, policyholder dividend scales, interest crediting rates, mortality, persistency, benefit elections and withdrawals and expenses to administer business. Management annually updates assumptions used in the calculation of estimated gross profits which may have significantly changed. If the update of assumptions causes expected future gross profits to increase, DAC and VOBA amortization will generally decrease, resulting in a current period increase to earnings. The opposite result occurs when the assumption update causes expected future gross profits to decrease.</w:t>
      </w:r>
    </w:p>
    <w:p>
      <w:pPr>
        <w:spacing w:after="0" w:line="5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Periodically, the Company modifies product benefits, features, rights or coverages that occur by the exchange of a contract for a new contract, or by amendment, endorsement, or rider to a contract, or by election or coverage within a contract. If such modification, referred to as an internal replacement, substantially changes the contract, the associated DAC or VOBA is written off immediately through income and any new deferrable costs associated with the replacement contract are deferred. If the modification does not substantially change the contract, the DAC or VOBA amortization on the original contract will continue and any acquisition costs associated with the related modification are expensed.</w:t>
      </w:r>
    </w:p>
    <w:p>
      <w:pPr>
        <w:spacing w:after="0" w:line="6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Amortization of DAC and VOBA is attributed to net investment gains (losses) and net derivative gains (losses), and to other expenses for the amount of gross profits originating from transactions other than investment gains and losses. Unrealized investment gains and losses represent the amount of DAC and VOBA that would have been amortized if such gains and losses had been recognized.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22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340" w:right="3780" w:hanging="332"/>
        <w:spacing w:after="0" w:line="678" w:lineRule="auto"/>
        <w:tabs>
          <w:tab w:leader="none" w:pos="196"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Deferred Policy Acquisition Costs, Value of Business Acquired and Other Intangibles (continued) </w:t>
      </w:r>
      <w:r>
        <w:rPr>
          <w:rFonts w:ascii="Arial" w:cs="Arial" w:eastAsia="Arial" w:hAnsi="Arial"/>
          <w:sz w:val="18"/>
          <w:szCs w:val="18"/>
          <w:color w:val="auto"/>
        </w:rPr>
        <w:t>Information regarding DAC and VOBA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DAC:</w:t>
            </w:r>
          </w:p>
        </w:tc>
        <w:tc>
          <w:tcPr>
            <w:tcW w:w="9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Balance at January 1,</w:t>
            </w:r>
          </w:p>
        </w:tc>
        <w:tc>
          <w:tcPr>
            <w:tcW w:w="96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5,667</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5,066</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5,097</w:t>
            </w: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Capitalizations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Amortization related to:</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investment gains (losses) and net derivative gains (losses)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w:t>
            </w: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Other expenses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(690)</w:t>
            </w:r>
          </w:p>
        </w:tc>
      </w:tr>
      <w:tr>
        <w:trPr>
          <w:trHeight w:val="33"/>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amortization</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(527)</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Unrealized investment gains (losses)</w:t>
            </w:r>
          </w:p>
        </w:tc>
        <w:tc>
          <w:tcPr>
            <w:tcW w:w="9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97</w:t>
            </w:r>
          </w:p>
        </w:tc>
      </w:tr>
      <w:tr>
        <w:trPr>
          <w:trHeight w:val="33"/>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5,015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5,066</w:t>
            </w:r>
          </w:p>
        </w:tc>
      </w:tr>
      <w:tr>
        <w:trPr>
          <w:trHeight w:val="20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VOBA:</w:t>
            </w:r>
          </w:p>
        </w:tc>
        <w:tc>
          <w:tcPr>
            <w:tcW w:w="9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6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1,</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763</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Amortization related to:</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investment gains (losses) and net derivative gains (losses)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Other expenses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33"/>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amortization</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Unrealized investment gains (losses)</w:t>
            </w:r>
          </w:p>
        </w:tc>
        <w:tc>
          <w:tcPr>
            <w:tcW w:w="9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94</w:t>
            </w:r>
          </w:p>
        </w:tc>
      </w:tr>
      <w:tr>
        <w:trPr>
          <w:trHeight w:val="33"/>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711</w:t>
            </w:r>
          </w:p>
        </w:tc>
      </w:tr>
      <w:tr>
        <w:trPr>
          <w:trHeight w:val="20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Total DAC and VOBA:</w:t>
            </w:r>
          </w:p>
        </w:tc>
        <w:tc>
          <w:tcPr>
            <w:tcW w:w="9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6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62"/>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5,623</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5,777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total DAC and VOBA by segment, as well as Corporate &amp; Other, was as follows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Annuities</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99"/>
              </w:rPr>
              <w:t>4,819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4,820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Life</w:t>
            </w:r>
          </w:p>
        </w:tc>
        <w:tc>
          <w:tcPr>
            <w:tcW w:w="960" w:type="dxa"/>
            <w:vAlign w:val="bottom"/>
          </w:tcPr>
          <w:p>
            <w:pPr>
              <w:spacing w:after="0"/>
              <w:rPr>
                <w:sz w:val="20"/>
                <w:szCs w:val="20"/>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671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787</w:t>
            </w:r>
          </w:p>
        </w:tc>
      </w:tr>
      <w:tr>
        <w:trPr>
          <w:trHeight w:val="33"/>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Run-off</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Corporate &amp; Other</w:t>
            </w:r>
          </w:p>
        </w:tc>
        <w:tc>
          <w:tcPr>
            <w:tcW w:w="960" w:type="dxa"/>
            <w:vAlign w:val="bottom"/>
          </w:tcPr>
          <w:p>
            <w:pPr>
              <w:spacing w:after="0"/>
              <w:rPr>
                <w:sz w:val="20"/>
                <w:szCs w:val="20"/>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148</w:t>
            </w:r>
          </w:p>
        </w:tc>
      </w:tr>
      <w:tr>
        <w:trPr>
          <w:trHeight w:val="33"/>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99"/>
              </w:rPr>
              <w:t>5,623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6,339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22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340" w:right="3780" w:hanging="332"/>
        <w:spacing w:after="0" w:line="678" w:lineRule="auto"/>
        <w:tabs>
          <w:tab w:leader="none" w:pos="196"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Deferred Policy Acquisition Costs, Value of Business Acquired and Other Intangibles (continued) </w:t>
      </w:r>
      <w:r>
        <w:rPr>
          <w:rFonts w:ascii="Arial" w:cs="Arial" w:eastAsia="Arial" w:hAnsi="Arial"/>
          <w:sz w:val="18"/>
          <w:szCs w:val="18"/>
          <w:color w:val="auto"/>
        </w:rPr>
        <w:t>Information regarding other intangibles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ind w:right="239"/>
              <w:spacing w:after="0"/>
              <w:rPr>
                <w:sz w:val="20"/>
                <w:szCs w:val="20"/>
                <w:color w:val="auto"/>
              </w:rPr>
            </w:pPr>
            <w:r>
              <w:rPr>
                <w:rFonts w:ascii="Arial" w:cs="Arial" w:eastAsia="Arial" w:hAnsi="Arial"/>
                <w:sz w:val="14"/>
                <w:szCs w:val="14"/>
                <w:b w:val="1"/>
                <w:bCs w:val="1"/>
                <w:color w:val="auto"/>
                <w:w w:val="92"/>
              </w:rPr>
              <w:t>Years Ended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DSI:</w:t>
            </w:r>
          </w:p>
        </w:tc>
        <w:tc>
          <w:tcPr>
            <w:tcW w:w="10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Balance at January 1,</w:t>
            </w:r>
          </w:p>
        </w:tc>
        <w:tc>
          <w:tcPr>
            <w:tcW w:w="102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432</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515</w:t>
            </w:r>
          </w:p>
        </w:tc>
        <w:tc>
          <w:tcPr>
            <w:tcW w:w="50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566</w:t>
            </w: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Capitalization</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Amortization</w:t>
            </w:r>
          </w:p>
        </w:tc>
        <w:tc>
          <w:tcPr>
            <w:tcW w:w="102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investment gains (losses)</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Balance at December 31,</w:t>
            </w:r>
          </w:p>
        </w:tc>
        <w:tc>
          <w:tcPr>
            <w:tcW w:w="1020" w:type="dxa"/>
            <w:vAlign w:val="bottom"/>
            <w:tcBorders>
              <w:top w:val="single" w:sz="8" w:color="auto"/>
            </w:tcBorders>
          </w:tcPr>
          <w:p>
            <w:pPr>
              <w:jc w:val="right"/>
              <w:ind w:right="820"/>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515</w:t>
            </w:r>
          </w:p>
        </w:tc>
      </w:tr>
      <w:tr>
        <w:trPr>
          <w:trHeight w:val="73"/>
        </w:trPr>
        <w:tc>
          <w:tcPr>
            <w:tcW w:w="674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177"/>
        </w:trPr>
        <w:tc>
          <w:tcPr>
            <w:tcW w:w="67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VODA:</w:t>
            </w:r>
          </w:p>
        </w:tc>
        <w:tc>
          <w:tcPr>
            <w:tcW w:w="10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74"/>
        </w:trPr>
        <w:tc>
          <w:tcPr>
            <w:tcW w:w="67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Balance at January 1,</w:t>
            </w:r>
          </w:p>
        </w:tc>
        <w:tc>
          <w:tcPr>
            <w:tcW w:w="102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120</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136</w:t>
            </w:r>
          </w:p>
        </w:tc>
        <w:tc>
          <w:tcPr>
            <w:tcW w:w="50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155</w:t>
            </w: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Balance at December 31,</w:t>
            </w:r>
          </w:p>
        </w:tc>
        <w:tc>
          <w:tcPr>
            <w:tcW w:w="1020" w:type="dxa"/>
            <w:vAlign w:val="bottom"/>
            <w:tcBorders>
              <w:top w:val="single" w:sz="8" w:color="auto"/>
            </w:tcBorders>
          </w:tcPr>
          <w:p>
            <w:pPr>
              <w:jc w:val="right"/>
              <w:ind w:right="820"/>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136</w:t>
            </w:r>
          </w:p>
        </w:tc>
      </w:tr>
      <w:tr>
        <w:trPr>
          <w:trHeight w:val="73"/>
        </w:trPr>
        <w:tc>
          <w:tcPr>
            <w:tcW w:w="674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242"/>
        </w:trPr>
        <w:tc>
          <w:tcPr>
            <w:tcW w:w="67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Accumulated amortization</w:t>
            </w:r>
          </w:p>
        </w:tc>
        <w:tc>
          <w:tcPr>
            <w:tcW w:w="102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155</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50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8560" w:type="dxa"/>
            <w:vAlign w:val="bottom"/>
            <w:gridSpan w:val="6"/>
          </w:tcPr>
          <w:p>
            <w:pPr>
              <w:ind w:left="340"/>
              <w:spacing w:after="0"/>
              <w:rPr>
                <w:sz w:val="20"/>
                <w:szCs w:val="20"/>
                <w:color w:val="auto"/>
              </w:rPr>
            </w:pPr>
            <w:r>
              <w:rPr>
                <w:rFonts w:ascii="Arial" w:cs="Arial" w:eastAsia="Arial" w:hAnsi="Arial"/>
                <w:sz w:val="18"/>
                <w:szCs w:val="18"/>
                <w:color w:val="auto"/>
                <w:w w:val="92"/>
              </w:rPr>
              <w:t>The estimated future amortization expense to be reported in other expenses for the next five years is as follows: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61"/>
        </w:trPr>
        <w:tc>
          <w:tcPr>
            <w:tcW w:w="6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VOBA</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VODA</w:t>
            </w:r>
          </w:p>
        </w:tc>
      </w:tr>
      <w:tr>
        <w:trPr>
          <w:trHeight w:val="250"/>
        </w:trPr>
        <w:tc>
          <w:tcPr>
            <w:tcW w:w="6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4"/>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10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2019</w:t>
            </w:r>
          </w:p>
        </w:tc>
        <w:tc>
          <w:tcPr>
            <w:tcW w:w="102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13</w:t>
            </w: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2021</w:t>
            </w:r>
          </w:p>
        </w:tc>
        <w:tc>
          <w:tcPr>
            <w:tcW w:w="102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0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r>
      <w:tr>
        <w:trPr>
          <w:trHeight w:val="33"/>
        </w:trPr>
        <w:tc>
          <w:tcPr>
            <w:tcW w:w="67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Reinsurance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enters into reinsurance agreements primarily as a purchaser of reinsurance for its various insurance products and also as a provider of reinsurance for some insurance products issued by New England Life Insurance Company (“NELICO”), former affiliates and unaffiliated companies. The Company participates in reinsurance activities in order to limit losses, minimize exposure to significant risks and provide additional capacity for future growth.</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Accounting for reinsurance requires extensive use of assumptions and estimates, particularly related to the future performance of the underlying business and the potential impact of counterparty credit risks. The Company periodically reviews actual and anticipated experience compared to the aforementioned assumptions used to establish assets and liabilities relating to ceded and assumed reinsurance and evaluates the financial strength of counterparties to its reinsurance agreements using criteria similar to that evaluated in the security impairment process discussed in Note 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Annuities and Life</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annuities, the Company reinsures portions of the living and death benefit guarantees issued in connection with certain variable annuities to unaffiliated reinsurers. Under these reinsurance agreements, the Company pays a reinsurance premium generally based on fees associated with the guarantees collected from policyholders, and receives reimbursement for benefits paid or accrued in excess of account values, subject to certain limitations. The value of embedded derivatives on the ceded risk is determined using a methodology consistent with the guarantees directly written by the Company with the exception of the input for nonperformance risk that reflects the credit of the reinsurer. The Company also assumes 100% of the living and death benefit guarantees issued in connection with certain variable annuities issued by NELICO.</w:t>
      </w:r>
    </w:p>
    <w:p>
      <w:pPr>
        <w:sectPr>
          <w:pgSz w:w="11900" w:h="16838" w:orient="portrait"/>
          <w:cols w:equalWidth="0" w:num="1">
            <w:col w:w="11420"/>
          </w:cols>
          <w:pgMar w:left="240" w:top="229" w:right="23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20"/>
          </w:cols>
          <w:pgMar w:left="240" w:top="229" w:right="239" w:bottom="1440" w:gutter="0" w:footer="0" w:header="0"/>
          <w:type w:val="continuous"/>
        </w:sectPr>
      </w:pPr>
    </w:p>
    <w:bookmarkStart w:id="109" w:name="page110"/>
    <w:bookmarkEnd w:id="10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Reinsurance (continued)</w:t>
      </w:r>
    </w:p>
    <w:p>
      <w:pPr>
        <w:spacing w:after="0" w:line="36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its life products, the Company has historically reinsured the mortality risk primarily on an excess of retention basis or on a quota share basis. The Company currently reinsures 90% of the mortality risk in excess of $2 million for most products. In addition to reinsuring mortality risk as described above, the Company reinsures other risks, as well as specific coverages. Placement of reinsurance is done primarily on an automatic basis and also on a facultative basis for risks with specified characteristics. On a case by case basis, the Company may retain up to $20 million per life and reinsure 100% of amounts in excess of the amount the Company retains. The Company also reinsures 90% of the risk associated with participating whole life policies to a former affiliate and assumes certain term life policies and universal life policies with secondary death benefit guarantees issued by a former affiliate. The Company evaluates its reinsurance programs routinely and may increase or decrease its retention at any time.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1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Company reinsures, through 100% quota share reinsurance agreements certain run-off long-term care and workers’ compensation business written by the Company. At December 31, 2017, the Company had $6.5 billion of reinsurance recoverables associated with our reinsured long-term care business. The reinsurer has established trust accounts for our benefit to secure their obligations under the reinsurance agreements.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Catastrophe Coverage</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has exposure to catastrophes which could contribute to significant fluctuations in the Company’s results of operations. The Company uses excess of retention and quota share reinsurance agreements to provide greater diversification of risk and minimize exposure to larger risks.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 Recoverables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reinsures its business through a diversified group of reinsurers. The Company analyzes recent trends in arbitration and litigation outcomes in disputes, if any, with its reinsurers. The Company monitors ratings and evaluates the financial strength of its reinsurers by analyzing their financial statements. In addition, the reinsurance recoverable balance due from each reinsurer is evaluated as part of the overall monitoring process. Recoverability of reinsurance recoverable balances is evaluated based on these analyses. The Company generally secures large reinsurance recoverable balances with various forms of collateral, including secured trusts, funds withheld accounts and irrevocable letters of credit. These reinsurance recoverable balances are stated net of allowances for uncollectible reinsurance, which at both December 31, 2017 and 2016, were not significant.</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secured certain reinsurance recoverable balances with various forms of collateral, including secured trusts, funds withheld accounts and irrevocable letters of credit. The Company had $2.4 billion and $2.6 billion of unsecured reinsurance recoverable balances with third-party reinsurers at December 31, 2017 and 2016, respectively.</w:t>
      </w:r>
    </w:p>
    <w:p>
      <w:pPr>
        <w:spacing w:after="0" w:line="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December 31, 2017, the Company had $9.1 billion of net ceded reinsurance recoverables with third-parties. Of this total, $7.9 billion, or 87%, were with the Company’s five largest ceded reinsurers, including $1.4 billion of net ceded reinsurance recoverables which were unsecured. At December 31, 2016, the Company had $9.1 billion of net ceded reinsurance recoverables with third-parties. Of this total, $7.8 billion, or 86%, were with the Company’s five largest ceded reinsurers, including $1.5 billion of net ceded reinsurance recoverables which were unsecured.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22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Reinsurance (continued)</w:t>
      </w:r>
    </w:p>
    <w:p>
      <w:pPr>
        <w:spacing w:after="0" w:line="3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amounts on the consolidated statements of operations include the impact of reinsurance. Information regarding the significant effects of reinsurance was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Premiums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Direct premiums</w:t>
            </w:r>
          </w:p>
        </w:tc>
        <w:tc>
          <w:tcPr>
            <w:tcW w:w="860" w:type="dxa"/>
            <w:vAlign w:val="bottom"/>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1,731</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2,226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2,404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Reinsurance assumed</w:t>
            </w:r>
          </w:p>
        </w:tc>
        <w:tc>
          <w:tcPr>
            <w:tcW w:w="8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24"/>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Reinsurance ceded</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(1,127)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(1,063)</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premiums</w:t>
            </w:r>
          </w:p>
        </w:tc>
        <w:tc>
          <w:tcPr>
            <w:tcW w:w="86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828</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1,637</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b w:val="1"/>
                <w:bCs w:val="1"/>
                <w:color w:val="auto"/>
              </w:rPr>
              <w:t>Universal life and investment-type product policy fees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80" w:type="dxa"/>
            <w:vAlign w:val="bottom"/>
            <w:gridSpan w:val="2"/>
            <w:vMerge w:val="continue"/>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70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Direct universal life and investment-type product policy fees</w:t>
            </w:r>
          </w:p>
        </w:tc>
        <w:tc>
          <w:tcPr>
            <w:tcW w:w="86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3,653</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3,582</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3,722</w:t>
            </w:r>
          </w:p>
        </w:tc>
        <w:tc>
          <w:tcPr>
            <w:tcW w:w="0" w:type="dxa"/>
            <w:vAlign w:val="bottom"/>
          </w:tcPr>
          <w:p>
            <w:pPr>
              <w:spacing w:after="0"/>
              <w:rPr>
                <w:sz w:val="1"/>
                <w:szCs w:val="1"/>
                <w:color w:val="auto"/>
              </w:rPr>
            </w:pPr>
          </w:p>
        </w:tc>
      </w:tr>
      <w:tr>
        <w:trPr>
          <w:trHeight w:val="224"/>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Reinsurance assumed</w:t>
            </w:r>
          </w:p>
        </w:tc>
        <w:tc>
          <w:tcPr>
            <w:tcW w:w="860" w:type="dxa"/>
            <w:vAlign w:val="bottom"/>
          </w:tcPr>
          <w:p>
            <w:pPr>
              <w:spacing w:after="0"/>
              <w:rPr>
                <w:sz w:val="19"/>
                <w:szCs w:val="19"/>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8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6"/>
                <w:szCs w:val="16"/>
                <w:color w:val="auto"/>
              </w:rPr>
              <w:t>Net universal life and investment-type product policy fees</w:t>
            </w:r>
          </w:p>
        </w:tc>
        <w:tc>
          <w:tcPr>
            <w:tcW w:w="860" w:type="dxa"/>
            <w:vAlign w:val="bottom"/>
            <w:tcBorders>
              <w:top w:val="single" w:sz="8" w:color="auto"/>
            </w:tcBorders>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3,156</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3,097</w:t>
            </w: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3,293</w:t>
            </w:r>
          </w:p>
        </w:tc>
        <w:tc>
          <w:tcPr>
            <w:tcW w:w="0" w:type="dxa"/>
            <w:vAlign w:val="bottom"/>
          </w:tcPr>
          <w:p>
            <w:pPr>
              <w:spacing w:after="0"/>
              <w:rPr>
                <w:sz w:val="1"/>
                <w:szCs w:val="1"/>
                <w:color w:val="auto"/>
              </w:rPr>
            </w:pPr>
          </w:p>
        </w:tc>
      </w:tr>
      <w:tr>
        <w:trPr>
          <w:trHeight w:val="73"/>
        </w:trPr>
        <w:tc>
          <w:tcPr>
            <w:tcW w:w="40" w:type="dxa"/>
            <w:vAlign w:val="bottom"/>
            <w:tcBorders>
              <w:bottom w:val="single" w:sz="8" w:color="CCEEFF"/>
            </w:tcBorders>
          </w:tcPr>
          <w:p>
            <w:pPr>
              <w:spacing w:after="0"/>
              <w:rPr>
                <w:sz w:val="6"/>
                <w:szCs w:val="6"/>
                <w:color w:val="auto"/>
              </w:rPr>
            </w:pPr>
          </w:p>
        </w:tc>
        <w:tc>
          <w:tcPr>
            <w:tcW w:w="704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80" w:type="dxa"/>
            <w:vAlign w:val="bottom"/>
            <w:gridSpan w:val="2"/>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Other revenues</w:t>
            </w:r>
          </w:p>
        </w:tc>
        <w:tc>
          <w:tcPr>
            <w:tcW w:w="860" w:type="dxa"/>
            <w:vAlign w:val="bottom"/>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70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540" w:type="dxa"/>
            <w:vAlign w:val="bottom"/>
            <w:tcBorders>
              <w:right w:val="single" w:sz="8" w:color="CCEEFF"/>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Direct other revenues</w:t>
            </w:r>
          </w:p>
        </w:tc>
        <w:tc>
          <w:tcPr>
            <w:tcW w:w="860" w:type="dxa"/>
            <w:vAlign w:val="bottom"/>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260</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Reinsurance assumed</w:t>
            </w:r>
          </w:p>
        </w:tc>
        <w:tc>
          <w:tcPr>
            <w:tcW w:w="8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4"/>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Reinsurance ceded</w:t>
            </w:r>
          </w:p>
        </w:tc>
        <w:tc>
          <w:tcPr>
            <w:tcW w:w="860" w:type="dxa"/>
            <w:vAlign w:val="bottom"/>
          </w:tcPr>
          <w:p>
            <w:pPr>
              <w:spacing w:after="0"/>
              <w:rPr>
                <w:sz w:val="19"/>
                <w:szCs w:val="19"/>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other revenues</w:t>
            </w:r>
          </w:p>
        </w:tc>
        <w:tc>
          <w:tcPr>
            <w:tcW w:w="86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b w:val="1"/>
                <w:bCs w:val="1"/>
                <w:color w:val="auto"/>
              </w:rPr>
              <w:t>Policyholder benefits and claims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80" w:type="dxa"/>
            <w:vAlign w:val="bottom"/>
            <w:gridSpan w:val="2"/>
            <w:vMerge w:val="continue"/>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70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BFE4FF"/>
            </w:tcBorders>
            <w:shd w:val="clear" w:color="auto" w:fill="BFE4FF"/>
          </w:tcPr>
          <w:p>
            <w:pPr>
              <w:spacing w:after="0"/>
              <w:rPr>
                <w:sz w:val="20"/>
                <w:szCs w:val="20"/>
                <w:color w:val="auto"/>
              </w:rPr>
            </w:pPr>
          </w:p>
        </w:tc>
        <w:tc>
          <w:tcPr>
            <w:tcW w:w="7040" w:type="dxa"/>
            <w:vAlign w:val="bottom"/>
            <w:tcBorders>
              <w:bottom w:val="single" w:sz="8" w:color="BFE4FF"/>
            </w:tcBorders>
            <w:shd w:val="clear" w:color="auto" w:fill="BFE4FF"/>
          </w:tcPr>
          <w:p>
            <w:pPr>
              <w:spacing w:after="0"/>
              <w:rPr>
                <w:sz w:val="20"/>
                <w:szCs w:val="20"/>
                <w:color w:val="auto"/>
              </w:rPr>
            </w:pPr>
            <w:r>
              <w:rPr>
                <w:rFonts w:ascii="Arial" w:cs="Arial" w:eastAsia="Arial" w:hAnsi="Arial"/>
                <w:sz w:val="16"/>
                <w:szCs w:val="16"/>
                <w:color w:val="auto"/>
                <w:shd w:val="clear" w:color="auto" w:fill="BFE4FF"/>
              </w:rPr>
              <w:t>Direct policyholder benefits and claims</w:t>
            </w:r>
          </w:p>
        </w:tc>
        <w:tc>
          <w:tcPr>
            <w:tcW w:w="860" w:type="dxa"/>
            <w:vAlign w:val="bottom"/>
            <w:tcBorders>
              <w:bottom w:val="single" w:sz="8" w:color="BFE4FF"/>
            </w:tcBorders>
            <w:shd w:val="clear" w:color="auto" w:fill="BFE4FF"/>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BFE4FF"/>
              <w:right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w w:val="99"/>
              </w:rPr>
              <w:t>5,080</w:t>
            </w:r>
          </w:p>
        </w:tc>
        <w:tc>
          <w:tcPr>
            <w:tcW w:w="120" w:type="dxa"/>
            <w:vAlign w:val="bottom"/>
          </w:tcPr>
          <w:p>
            <w:pPr>
              <w:spacing w:after="0"/>
              <w:rPr>
                <w:sz w:val="20"/>
                <w:szCs w:val="20"/>
                <w:color w:val="auto"/>
              </w:rPr>
            </w:pPr>
          </w:p>
        </w:tc>
        <w:tc>
          <w:tcPr>
            <w:tcW w:w="20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6,101</w:t>
            </w:r>
          </w:p>
        </w:tc>
        <w:tc>
          <w:tcPr>
            <w:tcW w:w="100" w:type="dxa"/>
            <w:vAlign w:val="bottom"/>
            <w:tcBorders>
              <w:bottom w:val="single" w:sz="8" w:color="BFE4FF"/>
            </w:tcBorders>
            <w:shd w:val="clear" w:color="auto" w:fill="BFE4FF"/>
          </w:tcPr>
          <w:p>
            <w:pPr>
              <w:spacing w:after="0"/>
              <w:rPr>
                <w:sz w:val="20"/>
                <w:szCs w:val="20"/>
                <w:color w:val="auto"/>
              </w:rPr>
            </w:pPr>
          </w:p>
        </w:tc>
        <w:tc>
          <w:tcPr>
            <w:tcW w:w="40" w:type="dxa"/>
            <w:vAlign w:val="bottom"/>
            <w:tcBorders>
              <w:bottom w:val="single" w:sz="8" w:color="BFE4FF"/>
            </w:tcBorders>
            <w:shd w:val="clear" w:color="auto" w:fill="BFE4FF"/>
          </w:tcPr>
          <w:p>
            <w:pPr>
              <w:spacing w:after="0"/>
              <w:rPr>
                <w:sz w:val="20"/>
                <w:szCs w:val="20"/>
                <w:color w:val="auto"/>
              </w:rPr>
            </w:pPr>
          </w:p>
        </w:tc>
        <w:tc>
          <w:tcPr>
            <w:tcW w:w="280" w:type="dxa"/>
            <w:vAlign w:val="bottom"/>
            <w:tcBorders>
              <w:bottom w:val="single" w:sz="8" w:color="BFE4FF"/>
            </w:tcBorders>
            <w:shd w:val="clear" w:color="auto" w:fill="BFE4FF"/>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4,944</w:t>
            </w:r>
          </w:p>
        </w:tc>
        <w:tc>
          <w:tcPr>
            <w:tcW w:w="0" w:type="dxa"/>
            <w:vAlign w:val="bottom"/>
          </w:tcPr>
          <w:p>
            <w:pPr>
              <w:spacing w:after="0"/>
              <w:rPr>
                <w:sz w:val="1"/>
                <w:szCs w:val="1"/>
                <w:color w:val="auto"/>
              </w:rPr>
            </w:pPr>
          </w:p>
        </w:tc>
      </w:tr>
      <w:tr>
        <w:trPr>
          <w:trHeight w:val="224"/>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Reinsurance assumed</w:t>
            </w:r>
          </w:p>
        </w:tc>
        <w:tc>
          <w:tcPr>
            <w:tcW w:w="860" w:type="dxa"/>
            <w:vAlign w:val="bottom"/>
          </w:tcPr>
          <w:p>
            <w:pPr>
              <w:spacing w:after="0"/>
              <w:rPr>
                <w:sz w:val="19"/>
                <w:szCs w:val="19"/>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Borders>
              <w:bottom w:val="single" w:sz="8" w:color="BFE4FF"/>
            </w:tcBorders>
            <w:shd w:val="clear" w:color="auto" w:fill="BFE4FF"/>
          </w:tcPr>
          <w:p>
            <w:pPr>
              <w:spacing w:after="0"/>
              <w:rPr>
                <w:sz w:val="22"/>
                <w:szCs w:val="22"/>
                <w:color w:val="auto"/>
              </w:rPr>
            </w:pPr>
          </w:p>
        </w:tc>
        <w:tc>
          <w:tcPr>
            <w:tcW w:w="7040" w:type="dxa"/>
            <w:vAlign w:val="bottom"/>
            <w:tcBorders>
              <w:bottom w:val="single" w:sz="8" w:color="BFE4FF"/>
            </w:tcBorders>
            <w:shd w:val="clear" w:color="auto" w:fill="BFE4FF"/>
          </w:tcPr>
          <w:p>
            <w:pPr>
              <w:spacing w:after="0"/>
              <w:rPr>
                <w:sz w:val="20"/>
                <w:szCs w:val="20"/>
                <w:color w:val="auto"/>
              </w:rPr>
            </w:pPr>
            <w:r>
              <w:rPr>
                <w:rFonts w:ascii="Arial" w:cs="Arial" w:eastAsia="Arial" w:hAnsi="Arial"/>
                <w:sz w:val="16"/>
                <w:szCs w:val="16"/>
                <w:color w:val="auto"/>
                <w:shd w:val="clear" w:color="auto" w:fill="BFE4FF"/>
              </w:rPr>
              <w:t>Reinsurance ceded</w:t>
            </w:r>
          </w:p>
        </w:tc>
        <w:tc>
          <w:tcPr>
            <w:tcW w:w="860" w:type="dxa"/>
            <w:vAlign w:val="bottom"/>
            <w:tcBorders>
              <w:bottom w:val="single" w:sz="8" w:color="BFE4FF"/>
            </w:tcBorders>
            <w:shd w:val="clear" w:color="auto" w:fill="BFE4FF"/>
          </w:tcPr>
          <w:p>
            <w:pPr>
              <w:spacing w:after="0"/>
              <w:rPr>
                <w:sz w:val="22"/>
                <w:szCs w:val="22"/>
                <w:color w:val="auto"/>
              </w:rPr>
            </w:pPr>
          </w:p>
        </w:tc>
        <w:tc>
          <w:tcPr>
            <w:tcW w:w="540" w:type="dxa"/>
            <w:vAlign w:val="bottom"/>
            <w:tcBorders>
              <w:bottom w:val="single" w:sz="8" w:color="BFE4FF"/>
              <w:right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w w:val="86"/>
              </w:rPr>
              <w:t>(1,575)</w:t>
            </w:r>
          </w:p>
        </w:tc>
        <w:tc>
          <w:tcPr>
            <w:tcW w:w="120" w:type="dxa"/>
            <w:vAlign w:val="bottom"/>
            <w:tcBorders>
              <w:bottom w:val="single" w:sz="8" w:color="BFE4FF"/>
            </w:tcBorders>
            <w:shd w:val="clear" w:color="auto" w:fill="BFE4FF"/>
          </w:tcPr>
          <w:p>
            <w:pPr>
              <w:spacing w:after="0"/>
              <w:rPr>
                <w:sz w:val="22"/>
                <w:szCs w:val="22"/>
                <w:color w:val="auto"/>
              </w:rPr>
            </w:pPr>
          </w:p>
        </w:tc>
        <w:tc>
          <w:tcPr>
            <w:tcW w:w="200" w:type="dxa"/>
            <w:vAlign w:val="bottom"/>
            <w:tcBorders>
              <w:bottom w:val="single" w:sz="8" w:color="BFE4FF"/>
            </w:tcBorders>
            <w:shd w:val="clear" w:color="auto" w:fill="BFE4FF"/>
          </w:tcPr>
          <w:p>
            <w:pPr>
              <w:spacing w:after="0"/>
              <w:rPr>
                <w:sz w:val="22"/>
                <w:szCs w:val="22"/>
                <w:color w:val="auto"/>
              </w:rPr>
            </w:pPr>
          </w:p>
        </w:tc>
        <w:tc>
          <w:tcPr>
            <w:tcW w:w="1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(2,490)</w:t>
            </w:r>
          </w:p>
        </w:tc>
        <w:tc>
          <w:tcPr>
            <w:tcW w:w="100" w:type="dxa"/>
            <w:vAlign w:val="bottom"/>
            <w:tcBorders>
              <w:bottom w:val="single" w:sz="8" w:color="BFE4FF"/>
            </w:tcBorders>
            <w:shd w:val="clear" w:color="auto" w:fill="BFE4FF"/>
          </w:tcPr>
          <w:p>
            <w:pPr>
              <w:spacing w:after="0"/>
              <w:rPr>
                <w:sz w:val="22"/>
                <w:szCs w:val="22"/>
                <w:color w:val="auto"/>
              </w:rPr>
            </w:pPr>
          </w:p>
        </w:tc>
        <w:tc>
          <w:tcPr>
            <w:tcW w:w="4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spacing w:after="0"/>
              <w:rPr>
                <w:sz w:val="22"/>
                <w:szCs w:val="22"/>
                <w:color w:val="auto"/>
              </w:rPr>
            </w:pPr>
          </w:p>
        </w:tc>
        <w:tc>
          <w:tcPr>
            <w:tcW w:w="10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(2,159)</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6"/>
                <w:szCs w:val="16"/>
                <w:color w:val="auto"/>
              </w:rPr>
              <w:t>Net policyholder benefits and claims</w:t>
            </w:r>
          </w:p>
        </w:tc>
        <w:tc>
          <w:tcPr>
            <w:tcW w:w="860" w:type="dxa"/>
            <w:vAlign w:val="bottom"/>
            <w:tcBorders>
              <w:top w:val="single" w:sz="8" w:color="auto"/>
            </w:tcBorders>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3,594</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3,738</w:t>
            </w: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3,087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amounts on the consolidated balance sheets include the impact of reinsurance. Information regarding the significant effects of reinsurance was as follows at: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441"/>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center"/>
              <w:ind w:right="63"/>
              <w:spacing w:after="0" w:line="15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Direct</w:t>
            </w:r>
          </w:p>
        </w:tc>
        <w:tc>
          <w:tcPr>
            <w:tcW w:w="240" w:type="dxa"/>
            <w:vAlign w:val="bottom"/>
          </w:tcPr>
          <w:p>
            <w:pPr>
              <w:spacing w:after="0"/>
              <w:rPr>
                <w:sz w:val="12"/>
                <w:szCs w:val="12"/>
                <w:color w:val="auto"/>
              </w:rPr>
            </w:pPr>
          </w:p>
        </w:tc>
        <w:tc>
          <w:tcPr>
            <w:tcW w:w="84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w w:val="91"/>
              </w:rPr>
              <w:t>Assumed</w:t>
            </w:r>
          </w:p>
        </w:tc>
        <w:tc>
          <w:tcPr>
            <w:tcW w:w="240" w:type="dxa"/>
            <w:vAlign w:val="bottom"/>
          </w:tcPr>
          <w:p>
            <w:pPr>
              <w:spacing w:after="0"/>
              <w:rPr>
                <w:sz w:val="12"/>
                <w:szCs w:val="12"/>
                <w:color w:val="auto"/>
              </w:rPr>
            </w:pPr>
          </w:p>
        </w:tc>
        <w:tc>
          <w:tcPr>
            <w:tcW w:w="68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w w:val="98"/>
              </w:rPr>
              <w:t>Ceded</w:t>
            </w:r>
          </w:p>
        </w:tc>
        <w:tc>
          <w:tcPr>
            <w:tcW w:w="2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2"/>
                <w:szCs w:val="12"/>
                <w:color w:val="auto"/>
              </w:rPr>
            </w:pPr>
          </w:p>
        </w:tc>
        <w:tc>
          <w:tcPr>
            <w:tcW w:w="72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Direct</w:t>
            </w:r>
          </w:p>
        </w:tc>
        <w:tc>
          <w:tcPr>
            <w:tcW w:w="240" w:type="dxa"/>
            <w:vAlign w:val="bottom"/>
          </w:tcPr>
          <w:p>
            <w:pPr>
              <w:spacing w:after="0"/>
              <w:rPr>
                <w:sz w:val="12"/>
                <w:szCs w:val="12"/>
                <w:color w:val="auto"/>
              </w:rPr>
            </w:pPr>
          </w:p>
        </w:tc>
        <w:tc>
          <w:tcPr>
            <w:tcW w:w="76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88"/>
              </w:rPr>
              <w:t>Assumed</w:t>
            </w:r>
          </w:p>
        </w:tc>
        <w:tc>
          <w:tcPr>
            <w:tcW w:w="240" w:type="dxa"/>
            <w:vAlign w:val="bottom"/>
          </w:tcPr>
          <w:p>
            <w:pPr>
              <w:spacing w:after="0"/>
              <w:rPr>
                <w:sz w:val="12"/>
                <w:szCs w:val="12"/>
                <w:color w:val="auto"/>
              </w:rPr>
            </w:pPr>
          </w:p>
        </w:tc>
        <w:tc>
          <w:tcPr>
            <w:tcW w:w="66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8"/>
              </w:rPr>
              <w:t>Ceded</w:t>
            </w:r>
          </w:p>
        </w:tc>
        <w:tc>
          <w:tcPr>
            <w:tcW w:w="240" w:type="dxa"/>
            <w:vAlign w:val="bottom"/>
          </w:tcPr>
          <w:p>
            <w:pPr>
              <w:spacing w:after="0"/>
              <w:rPr>
                <w:sz w:val="12"/>
                <w:szCs w:val="12"/>
                <w:color w:val="auto"/>
              </w:rPr>
            </w:pPr>
          </w:p>
        </w:tc>
        <w:tc>
          <w:tcPr>
            <w:tcW w:w="7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Sheet</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9"/>
              </w:rPr>
              <w:t>Sheet</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4"/>
          </w:tcPr>
          <w:p>
            <w:pPr>
              <w:jc w:val="right"/>
              <w:ind w:right="481"/>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780" w:type="dxa"/>
            <w:vAlign w:val="bottom"/>
          </w:tcPr>
          <w:p>
            <w:pPr>
              <w:ind w:left="40"/>
              <w:spacing w:after="0"/>
              <w:rPr>
                <w:sz w:val="20"/>
                <w:szCs w:val="20"/>
                <w:color w:val="auto"/>
              </w:rPr>
            </w:pPr>
            <w:r>
              <w:rPr>
                <w:rFonts w:ascii="Arial" w:cs="Arial" w:eastAsia="Arial" w:hAnsi="Arial"/>
                <w:sz w:val="16"/>
                <w:szCs w:val="16"/>
                <w:color w:val="auto"/>
              </w:rPr>
              <w:t>Premiums, reinsurance and other receivables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367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43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12,508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4"/>
              <w:spacing w:after="0"/>
              <w:rPr>
                <w:sz w:val="20"/>
                <w:szCs w:val="20"/>
                <w:color w:val="auto"/>
              </w:rPr>
            </w:pPr>
            <w:r>
              <w:rPr>
                <w:rFonts w:ascii="Arial" w:cs="Arial" w:eastAsia="Arial" w:hAnsi="Arial"/>
                <w:sz w:val="16"/>
                <w:szCs w:val="16"/>
                <w:color w:val="auto"/>
              </w:rPr>
              <w:t>12,918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1,161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23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12,669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13,853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780" w:type="dxa"/>
            <w:vAlign w:val="bottom"/>
          </w:tcPr>
          <w:p>
            <w:pPr>
              <w:ind w:left="40"/>
              <w:spacing w:after="0"/>
              <w:rPr>
                <w:sz w:val="20"/>
                <w:szCs w:val="20"/>
                <w:color w:val="auto"/>
              </w:rPr>
            </w:pPr>
            <w:r>
              <w:rPr>
                <w:rFonts w:ascii="Arial" w:cs="Arial" w:eastAsia="Arial" w:hAnsi="Arial"/>
                <w:sz w:val="16"/>
                <w:szCs w:val="16"/>
                <w:color w:val="auto"/>
              </w:rPr>
              <w:t>Policyholder account balances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36,359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710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4"/>
              <w:spacing w:after="0"/>
              <w:rPr>
                <w:sz w:val="20"/>
                <w:szCs w:val="20"/>
                <w:color w:val="auto"/>
              </w:rPr>
            </w:pPr>
            <w:r>
              <w:rPr>
                <w:rFonts w:ascii="Arial" w:cs="Arial" w:eastAsia="Arial" w:hAnsi="Arial"/>
                <w:sz w:val="16"/>
                <w:szCs w:val="16"/>
                <w:color w:val="auto"/>
              </w:rPr>
              <w:t>37,069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35,838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741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36,579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shd w:val="clear" w:color="auto" w:fill="BFE4FF"/>
              </w:rPr>
              <w:t>Other policy-related balances</w:t>
            </w:r>
          </w:p>
        </w:tc>
        <w:tc>
          <w:tcPr>
            <w:tcW w:w="160" w:type="dxa"/>
            <w:vAlign w:val="bottom"/>
            <w:tcBorders>
              <w:bottom w:val="single" w:sz="8" w:color="BFE4FF"/>
            </w:tcBorders>
            <w:shd w:val="clear" w:color="auto" w:fill="BFE4FF"/>
          </w:tcPr>
          <w:p>
            <w:pPr>
              <w:spacing w:after="0"/>
              <w:rPr>
                <w:sz w:val="21"/>
                <w:szCs w:val="21"/>
                <w:color w:val="auto"/>
              </w:rPr>
            </w:pPr>
          </w:p>
        </w:tc>
        <w:tc>
          <w:tcPr>
            <w:tcW w:w="680" w:type="dxa"/>
            <w:vAlign w:val="bottom"/>
            <w:tcBorders>
              <w:bottom w:val="single" w:sz="8" w:color="BFE4FF"/>
            </w:tcBorders>
            <w:shd w:val="clear" w:color="auto" w:fill="BFE4FF"/>
          </w:tcPr>
          <w:p>
            <w:pPr>
              <w:jc w:val="right"/>
              <w:ind w:right="61"/>
              <w:spacing w:after="0"/>
              <w:rPr>
                <w:sz w:val="20"/>
                <w:szCs w:val="20"/>
                <w:color w:val="auto"/>
              </w:rPr>
            </w:pPr>
            <w:r>
              <w:rPr>
                <w:rFonts w:ascii="Arial" w:cs="Arial" w:eastAsia="Arial" w:hAnsi="Arial"/>
                <w:sz w:val="16"/>
                <w:szCs w:val="16"/>
                <w:color w:val="auto"/>
              </w:rPr>
              <w:t>1,037</w:t>
            </w:r>
          </w:p>
        </w:tc>
        <w:tc>
          <w:tcPr>
            <w:tcW w:w="24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82"/>
              <w:spacing w:after="0"/>
              <w:rPr>
                <w:sz w:val="20"/>
                <w:szCs w:val="20"/>
                <w:color w:val="auto"/>
              </w:rPr>
            </w:pPr>
            <w:r>
              <w:rPr>
                <w:rFonts w:ascii="Arial" w:cs="Arial" w:eastAsia="Arial" w:hAnsi="Arial"/>
                <w:sz w:val="16"/>
                <w:szCs w:val="16"/>
                <w:color w:val="auto"/>
              </w:rPr>
              <w:t>1,683</w:t>
            </w:r>
          </w:p>
        </w:tc>
        <w:tc>
          <w:tcPr>
            <w:tcW w:w="240" w:type="dxa"/>
            <w:vAlign w:val="bottom"/>
            <w:tcBorders>
              <w:bottom w:val="single" w:sz="8" w:color="BFE4FF"/>
            </w:tcBorders>
            <w:shd w:val="clear" w:color="auto" w:fill="BFE4FF"/>
          </w:tcPr>
          <w:p>
            <w:pPr>
              <w:spacing w:after="0"/>
              <w:rPr>
                <w:sz w:val="21"/>
                <w:szCs w:val="21"/>
                <w:color w:val="auto"/>
              </w:rPr>
            </w:pPr>
          </w:p>
        </w:tc>
        <w:tc>
          <w:tcPr>
            <w:tcW w:w="680" w:type="dxa"/>
            <w:vAlign w:val="bottom"/>
            <w:tcBorders>
              <w:bottom w:val="single" w:sz="8" w:color="BFE4FF"/>
            </w:tcBorders>
            <w:shd w:val="clear" w:color="auto" w:fill="BFE4FF"/>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BFE4FF"/>
            </w:tcBorders>
            <w:shd w:val="clear" w:color="auto" w:fill="BFE4FF"/>
          </w:tcPr>
          <w:p>
            <w:pPr>
              <w:spacing w:after="0"/>
              <w:rPr>
                <w:sz w:val="21"/>
                <w:szCs w:val="21"/>
                <w:color w:val="auto"/>
              </w:rPr>
            </w:pPr>
          </w:p>
        </w:tc>
        <w:tc>
          <w:tcPr>
            <w:tcW w:w="680" w:type="dxa"/>
            <w:vAlign w:val="bottom"/>
            <w:tcBorders>
              <w:bottom w:val="single" w:sz="8" w:color="BFE4FF"/>
            </w:tcBorders>
            <w:shd w:val="clear" w:color="auto" w:fill="BFE4FF"/>
          </w:tcPr>
          <w:p>
            <w:pPr>
              <w:jc w:val="right"/>
              <w:ind w:right="44"/>
              <w:spacing w:after="0"/>
              <w:rPr>
                <w:sz w:val="20"/>
                <w:szCs w:val="20"/>
                <w:color w:val="auto"/>
              </w:rPr>
            </w:pPr>
            <w:r>
              <w:rPr>
                <w:rFonts w:ascii="Arial" w:cs="Arial" w:eastAsia="Arial" w:hAnsi="Arial"/>
                <w:sz w:val="16"/>
                <w:szCs w:val="16"/>
                <w:color w:val="auto"/>
              </w:rPr>
              <w:t>2,720</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jc w:val="right"/>
              <w:ind w:right="41"/>
              <w:spacing w:after="0"/>
              <w:rPr>
                <w:sz w:val="20"/>
                <w:szCs w:val="20"/>
                <w:color w:val="auto"/>
              </w:rPr>
            </w:pPr>
            <w:r>
              <w:rPr>
                <w:rFonts w:ascii="Arial" w:cs="Arial" w:eastAsia="Arial" w:hAnsi="Arial"/>
                <w:sz w:val="16"/>
                <w:szCs w:val="16"/>
                <w:color w:val="auto"/>
              </w:rPr>
              <w:t>1,035</w:t>
            </w:r>
          </w:p>
        </w:tc>
        <w:tc>
          <w:tcPr>
            <w:tcW w:w="2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ind w:right="42"/>
              <w:spacing w:after="0"/>
              <w:rPr>
                <w:sz w:val="20"/>
                <w:szCs w:val="20"/>
                <w:color w:val="auto"/>
              </w:rPr>
            </w:pPr>
            <w:r>
              <w:rPr>
                <w:rFonts w:ascii="Arial" w:cs="Arial" w:eastAsia="Arial" w:hAnsi="Arial"/>
                <w:sz w:val="16"/>
                <w:szCs w:val="16"/>
                <w:color w:val="auto"/>
              </w:rPr>
              <w:t>1,677</w:t>
            </w:r>
          </w:p>
        </w:tc>
        <w:tc>
          <w:tcPr>
            <w:tcW w:w="240" w:type="dxa"/>
            <w:vAlign w:val="bottom"/>
            <w:tcBorders>
              <w:bottom w:val="single" w:sz="8" w:color="BFE4FF"/>
            </w:tcBorders>
            <w:shd w:val="clear" w:color="auto" w:fill="BFE4FF"/>
          </w:tcPr>
          <w:p>
            <w:pPr>
              <w:spacing w:after="0"/>
              <w:rPr>
                <w:sz w:val="21"/>
                <w:szCs w:val="21"/>
                <w:color w:val="auto"/>
              </w:rPr>
            </w:pPr>
          </w:p>
        </w:tc>
        <w:tc>
          <w:tcPr>
            <w:tcW w:w="660" w:type="dxa"/>
            <w:vAlign w:val="bottom"/>
            <w:tcBorders>
              <w:bottom w:val="single" w:sz="8" w:color="BFE4FF"/>
            </w:tcBorders>
            <w:shd w:val="clear" w:color="auto" w:fill="BFE4FF"/>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ind w:right="23"/>
              <w:spacing w:after="0"/>
              <w:rPr>
                <w:sz w:val="20"/>
                <w:szCs w:val="20"/>
                <w:color w:val="auto"/>
              </w:rPr>
            </w:pPr>
            <w:r>
              <w:rPr>
                <w:rFonts w:ascii="Arial" w:cs="Arial" w:eastAsia="Arial" w:hAnsi="Arial"/>
                <w:sz w:val="16"/>
                <w:szCs w:val="16"/>
                <w:color w:val="auto"/>
              </w:rPr>
              <w:t>2,712</w:t>
            </w:r>
          </w:p>
        </w:tc>
        <w:tc>
          <w:tcPr>
            <w:tcW w:w="0" w:type="dxa"/>
            <w:vAlign w:val="bottom"/>
          </w:tcPr>
          <w:p>
            <w:pPr>
              <w:spacing w:after="0"/>
              <w:rPr>
                <w:sz w:val="1"/>
                <w:szCs w:val="1"/>
                <w:color w:val="auto"/>
              </w:rPr>
            </w:pPr>
          </w:p>
        </w:tc>
      </w:tr>
      <w:tr>
        <w:trPr>
          <w:trHeight w:val="224"/>
        </w:trPr>
        <w:tc>
          <w:tcPr>
            <w:tcW w:w="378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160" w:type="dxa"/>
            <w:vAlign w:val="bottom"/>
          </w:tcPr>
          <w:p>
            <w:pPr>
              <w:spacing w:after="0"/>
              <w:rPr>
                <w:sz w:val="19"/>
                <w:szCs w:val="19"/>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3,724</w:t>
            </w:r>
          </w:p>
        </w:tc>
        <w:tc>
          <w:tcPr>
            <w:tcW w:w="240" w:type="dxa"/>
            <w:vAlign w:val="bottom"/>
          </w:tcPr>
          <w:p>
            <w:pPr>
              <w:spacing w:after="0"/>
              <w:rPr>
                <w:sz w:val="19"/>
                <w:szCs w:val="19"/>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9"/>
                <w:szCs w:val="19"/>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701</w:t>
            </w:r>
          </w:p>
        </w:tc>
        <w:tc>
          <w:tcPr>
            <w:tcW w:w="240" w:type="dxa"/>
            <w:vAlign w:val="bottom"/>
          </w:tcPr>
          <w:p>
            <w:pPr>
              <w:spacing w:after="0"/>
              <w:rPr>
                <w:sz w:val="19"/>
                <w:szCs w:val="19"/>
                <w:color w:val="auto"/>
              </w:rPr>
            </w:pPr>
          </w:p>
        </w:tc>
        <w:tc>
          <w:tcPr>
            <w:tcW w:w="680" w:type="dxa"/>
            <w:vAlign w:val="bottom"/>
          </w:tcPr>
          <w:p>
            <w:pPr>
              <w:jc w:val="right"/>
              <w:ind w:right="44"/>
              <w:spacing w:after="0"/>
              <w:rPr>
                <w:sz w:val="20"/>
                <w:szCs w:val="20"/>
                <w:color w:val="auto"/>
              </w:rPr>
            </w:pPr>
            <w:r>
              <w:rPr>
                <w:rFonts w:ascii="Arial" w:cs="Arial" w:eastAsia="Arial" w:hAnsi="Arial"/>
                <w:sz w:val="16"/>
                <w:szCs w:val="16"/>
                <w:color w:val="auto"/>
              </w:rPr>
              <w:t>4,419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4,525</w:t>
            </w:r>
          </w:p>
        </w:tc>
        <w:tc>
          <w:tcPr>
            <w:tcW w:w="240" w:type="dxa"/>
            <w:vAlign w:val="bottom"/>
          </w:tcPr>
          <w:p>
            <w:pPr>
              <w:spacing w:after="0"/>
              <w:rPr>
                <w:sz w:val="19"/>
                <w:szCs w:val="19"/>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9"/>
                <w:szCs w:val="19"/>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907</w:t>
            </w:r>
          </w:p>
        </w:tc>
        <w:tc>
          <w:tcPr>
            <w:tcW w:w="240" w:type="dxa"/>
            <w:vAlign w:val="bottom"/>
          </w:tcPr>
          <w:p>
            <w:pPr>
              <w:spacing w:after="0"/>
              <w:rPr>
                <w:sz w:val="19"/>
                <w:szCs w:val="19"/>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5,445</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Effective December 1, 2016, the Company terminated two agreements with a third-party reinsurer which covered 90% of the liabilities on certain participating whole life insurance policies issued between April 1, 2000 and December 31, 2001 by MLIC. This termination resulted in a decrease in other invested assets of $713 million, a decrease in DAC and VOBA of $95 million, a decrease in future policy benefits of $654 million, and a decrease in other liabilities of $43 million. The Company recognized a loss of approximately $72 million, net of income tax, as a result of this transaction.</w:t>
      </w:r>
    </w:p>
    <w:p>
      <w:pPr>
        <w:sectPr>
          <w:pgSz w:w="11900" w:h="16838" w:orient="portrait"/>
          <w:cols w:equalWidth="0" w:num="1">
            <w:col w:w="11420"/>
          </w:cols>
          <w:pgMar w:left="240" w:top="229" w:right="239" w:bottom="1440" w:gutter="0" w:footer="0" w:header="0"/>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20"/>
          </w:cols>
          <w:pgMar w:left="240" w:top="229" w:right="23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Reinsurance (continued)</w:t>
      </w: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Reinsurance agreements that do not expose the Company to a reasonable possibility of a significant loss from insurance risk are recorded using the deposit method of accounting. The deposit assets on reinsurance were $1.4 billion and $1.5 billion at December 31, 2017 and 2016, respectively. The deposit liabilities on reinsurance were $198 million and $1 million at December 31, 2017 and 2016, respectively.</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Related Party Reinsurance Transactions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reinsurance agreements with its affiliate NELICO and certain MetLife, Inc. subsidiaries, including MLIC, General American Life Insurance Company, MetLife Europe d.a.c., MetLife Reinsurance Company of Vermont (“MRV”), Delaware American Life Insurance Company and American Life Insurance Company, all of which were related parties at December 31, 2017.</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the significant effects of reinsurance with NELICO and former MetLife affiliates included on the consolidated statements of operations was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70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r>
      <w:tr>
        <w:trPr>
          <w:trHeight w:val="196"/>
        </w:trPr>
        <w:tc>
          <w:tcPr>
            <w:tcW w:w="7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Premiums</w:t>
            </w: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920" w:type="dxa"/>
            <w:vAlign w:val="bottom"/>
          </w:tcPr>
          <w:p>
            <w:pPr>
              <w:jc w:val="right"/>
              <w:ind w:right="72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13</w:t>
            </w:r>
          </w:p>
        </w:tc>
        <w:tc>
          <w:tcPr>
            <w:tcW w:w="38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227</w:t>
            </w:r>
          </w:p>
        </w:tc>
      </w:tr>
      <w:tr>
        <w:trPr>
          <w:trHeight w:val="33"/>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9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(687)</w:t>
            </w:r>
          </w:p>
        </w:tc>
      </w:tr>
      <w:tr>
        <w:trPr>
          <w:trHeight w:val="217"/>
        </w:trPr>
        <w:tc>
          <w:tcPr>
            <w:tcW w:w="7080" w:type="dxa"/>
            <w:vAlign w:val="bottom"/>
          </w:tcPr>
          <w:p>
            <w:pPr>
              <w:ind w:left="200"/>
              <w:spacing w:after="0"/>
              <w:rPr>
                <w:sz w:val="20"/>
                <w:szCs w:val="20"/>
                <w:color w:val="auto"/>
              </w:rPr>
            </w:pPr>
            <w:r>
              <w:rPr>
                <w:rFonts w:ascii="Arial" w:cs="Arial" w:eastAsia="Arial" w:hAnsi="Arial"/>
                <w:sz w:val="16"/>
                <w:szCs w:val="16"/>
                <w:color w:val="auto"/>
              </w:rPr>
              <w:t>Net premiums</w:t>
            </w:r>
          </w:p>
        </w:tc>
        <w:tc>
          <w:tcPr>
            <w:tcW w:w="920" w:type="dxa"/>
            <w:vAlign w:val="bottom"/>
            <w:tcBorders>
              <w:top w:val="single" w:sz="8" w:color="auto"/>
            </w:tcBorders>
          </w:tcPr>
          <w:p>
            <w:pPr>
              <w:jc w:val="right"/>
              <w:ind w:right="720"/>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(524)</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(460)</w:t>
            </w:r>
          </w:p>
        </w:tc>
      </w:tr>
      <w:tr>
        <w:trPr>
          <w:trHeight w:val="73"/>
        </w:trPr>
        <w:tc>
          <w:tcPr>
            <w:tcW w:w="708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177"/>
        </w:trPr>
        <w:tc>
          <w:tcPr>
            <w:tcW w:w="708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Universal life and investment-type product policy fees</w:t>
            </w:r>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74"/>
        </w:trPr>
        <w:tc>
          <w:tcPr>
            <w:tcW w:w="70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920" w:type="dxa"/>
            <w:vAlign w:val="bottom"/>
          </w:tcPr>
          <w:p>
            <w:pPr>
              <w:jc w:val="right"/>
              <w:ind w:right="72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103</w:t>
            </w:r>
          </w:p>
        </w:tc>
        <w:tc>
          <w:tcPr>
            <w:tcW w:w="38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139</w:t>
            </w:r>
          </w:p>
        </w:tc>
      </w:tr>
      <w:tr>
        <w:trPr>
          <w:trHeight w:val="33"/>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9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17"/>
        </w:trPr>
        <w:tc>
          <w:tcPr>
            <w:tcW w:w="7080" w:type="dxa"/>
            <w:vAlign w:val="bottom"/>
          </w:tcPr>
          <w:p>
            <w:pPr>
              <w:ind w:left="200"/>
              <w:spacing w:after="0"/>
              <w:rPr>
                <w:sz w:val="20"/>
                <w:szCs w:val="20"/>
                <w:color w:val="auto"/>
              </w:rPr>
            </w:pPr>
            <w:r>
              <w:rPr>
                <w:rFonts w:ascii="Arial" w:cs="Arial" w:eastAsia="Arial" w:hAnsi="Arial"/>
                <w:sz w:val="16"/>
                <w:szCs w:val="16"/>
                <w:color w:val="auto"/>
              </w:rPr>
              <w:t>Net universal life and investment-type product policy fees</w:t>
            </w:r>
          </w:p>
        </w:tc>
        <w:tc>
          <w:tcPr>
            <w:tcW w:w="920" w:type="dxa"/>
            <w:vAlign w:val="bottom"/>
            <w:tcBorders>
              <w:top w:val="single" w:sz="8" w:color="auto"/>
            </w:tcBorders>
          </w:tcPr>
          <w:p>
            <w:pPr>
              <w:jc w:val="right"/>
              <w:ind w:right="720"/>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81</w:t>
            </w:r>
          </w:p>
        </w:tc>
      </w:tr>
      <w:tr>
        <w:trPr>
          <w:trHeight w:val="73"/>
        </w:trPr>
        <w:tc>
          <w:tcPr>
            <w:tcW w:w="708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177"/>
        </w:trPr>
        <w:tc>
          <w:tcPr>
            <w:tcW w:w="708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Other revenues</w:t>
            </w:r>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60"/>
        </w:trPr>
        <w:tc>
          <w:tcPr>
            <w:tcW w:w="70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920" w:type="dxa"/>
            <w:vAlign w:val="bottom"/>
          </w:tcPr>
          <w:p>
            <w:pPr>
              <w:jc w:val="right"/>
              <w:ind w:right="72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29</w:t>
            </w:r>
          </w:p>
        </w:tc>
        <w:tc>
          <w:tcPr>
            <w:tcW w:w="38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33"/>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9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348</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w:t>
            </w:r>
          </w:p>
        </w:tc>
      </w:tr>
      <w:tr>
        <w:trPr>
          <w:trHeight w:val="217"/>
        </w:trPr>
        <w:tc>
          <w:tcPr>
            <w:tcW w:w="7080" w:type="dxa"/>
            <w:vAlign w:val="bottom"/>
          </w:tcPr>
          <w:p>
            <w:pPr>
              <w:ind w:left="200"/>
              <w:spacing w:after="0"/>
              <w:rPr>
                <w:sz w:val="20"/>
                <w:szCs w:val="20"/>
                <w:color w:val="auto"/>
              </w:rPr>
            </w:pPr>
            <w:r>
              <w:rPr>
                <w:rFonts w:ascii="Arial" w:cs="Arial" w:eastAsia="Arial" w:hAnsi="Arial"/>
                <w:sz w:val="16"/>
                <w:szCs w:val="16"/>
                <w:color w:val="auto"/>
              </w:rPr>
              <w:t>Net other revenues</w:t>
            </w:r>
          </w:p>
        </w:tc>
        <w:tc>
          <w:tcPr>
            <w:tcW w:w="920" w:type="dxa"/>
            <w:vAlign w:val="bottom"/>
            <w:tcBorders>
              <w:top w:val="single" w:sz="8" w:color="auto"/>
            </w:tcBorders>
          </w:tcPr>
          <w:p>
            <w:pPr>
              <w:jc w:val="right"/>
              <w:ind w:right="720"/>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162</w:t>
            </w:r>
          </w:p>
        </w:tc>
      </w:tr>
      <w:tr>
        <w:trPr>
          <w:trHeight w:val="73"/>
        </w:trPr>
        <w:tc>
          <w:tcPr>
            <w:tcW w:w="708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177"/>
        </w:trPr>
        <w:tc>
          <w:tcPr>
            <w:tcW w:w="708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Policyholder benefits and claims</w:t>
            </w:r>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60"/>
        </w:trPr>
        <w:tc>
          <w:tcPr>
            <w:tcW w:w="70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920" w:type="dxa"/>
            <w:vAlign w:val="bottom"/>
          </w:tcPr>
          <w:p>
            <w:pPr>
              <w:jc w:val="right"/>
              <w:ind w:right="72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87</w:t>
            </w:r>
          </w:p>
        </w:tc>
        <w:tc>
          <w:tcPr>
            <w:tcW w:w="38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252</w:t>
            </w:r>
          </w:p>
        </w:tc>
      </w:tr>
      <w:tr>
        <w:trPr>
          <w:trHeight w:val="33"/>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9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w:t>
            </w:r>
          </w:p>
        </w:tc>
      </w:tr>
      <w:tr>
        <w:trPr>
          <w:trHeight w:val="217"/>
        </w:trPr>
        <w:tc>
          <w:tcPr>
            <w:tcW w:w="7080" w:type="dxa"/>
            <w:vAlign w:val="bottom"/>
          </w:tcPr>
          <w:p>
            <w:pPr>
              <w:ind w:left="200"/>
              <w:spacing w:after="0"/>
              <w:rPr>
                <w:sz w:val="20"/>
                <w:szCs w:val="20"/>
                <w:color w:val="auto"/>
              </w:rPr>
            </w:pPr>
            <w:r>
              <w:rPr>
                <w:rFonts w:ascii="Arial" w:cs="Arial" w:eastAsia="Arial" w:hAnsi="Arial"/>
                <w:sz w:val="16"/>
                <w:szCs w:val="16"/>
                <w:color w:val="auto"/>
              </w:rPr>
              <w:t>Net policyholder benefits and claims</w:t>
            </w:r>
          </w:p>
        </w:tc>
        <w:tc>
          <w:tcPr>
            <w:tcW w:w="920" w:type="dxa"/>
            <w:vAlign w:val="bottom"/>
            <w:tcBorders>
              <w:top w:val="single" w:sz="8" w:color="auto"/>
            </w:tcBorders>
          </w:tcPr>
          <w:p>
            <w:pPr>
              <w:jc w:val="right"/>
              <w:ind w:right="720"/>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(404)</w:t>
            </w:r>
          </w:p>
        </w:tc>
      </w:tr>
      <w:tr>
        <w:trPr>
          <w:trHeight w:val="33"/>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the significant effects of reinsurance with NELICO and former MetLife affiliates included on the consolidated balance sheets was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6"/>
              </w:rPr>
              <w:t>2016</w:t>
            </w:r>
          </w:p>
        </w:tc>
        <w:tc>
          <w:tcPr>
            <w:tcW w:w="800" w:type="dxa"/>
            <w:vAlign w:val="bottom"/>
            <w:tcBorders>
              <w:bottom w:val="single" w:sz="8" w:color="auto"/>
            </w:tcBorders>
          </w:tcPr>
          <w:p>
            <w:pPr>
              <w:spacing w:after="0"/>
              <w:rPr>
                <w:sz w:val="22"/>
                <w:szCs w:val="22"/>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5"/>
              </w:rPr>
              <w:t>Assumed</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Ceded</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5"/>
              </w:rPr>
              <w:t>Assumed</w:t>
            </w: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Ceded</w:t>
            </w:r>
          </w:p>
        </w:tc>
      </w:tr>
      <w:tr>
        <w:trPr>
          <w:trHeight w:val="250"/>
        </w:trPr>
        <w:tc>
          <w:tcPr>
            <w:tcW w:w="6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gridSpan w:val="4"/>
          </w:tcPr>
          <w:p>
            <w:pPr>
              <w:jc w:val="right"/>
              <w:ind w:right="541"/>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Premiums, reinsurance and other receivables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34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3,254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w:t>
            </w:r>
          </w:p>
        </w:tc>
        <w:tc>
          <w:tcPr>
            <w:tcW w:w="4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3,382</w:t>
            </w:r>
          </w:p>
        </w:tc>
      </w:tr>
      <w:tr>
        <w:trPr>
          <w:trHeight w:val="33"/>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Policyholder account balances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436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741</w:t>
            </w:r>
          </w:p>
        </w:tc>
        <w:tc>
          <w:tcPr>
            <w:tcW w:w="4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policy-related balances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1,683</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1,677</w:t>
            </w:r>
          </w:p>
        </w:tc>
        <w:tc>
          <w:tcPr>
            <w:tcW w:w="4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4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578</w:t>
            </w:r>
          </w:p>
        </w:tc>
      </w:tr>
    </w:tbl>
    <w:p>
      <w:pPr>
        <w:spacing w:after="0" w:line="200" w:lineRule="exact"/>
        <w:rPr>
          <w:sz w:val="20"/>
          <w:szCs w:val="20"/>
          <w:color w:val="auto"/>
        </w:rPr>
      </w:pPr>
    </w:p>
    <w:p>
      <w:pPr>
        <w:sectPr>
          <w:pgSz w:w="11900" w:h="16838" w:orient="portrait"/>
          <w:cols w:equalWidth="0" w:num="1">
            <w:col w:w="11420"/>
          </w:cols>
          <w:pgMar w:left="240" w:top="229" w:right="2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20"/>
          </w:cols>
          <w:pgMar w:left="240" w:top="229" w:right="239"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Reinsurance (continued)</w:t>
      </w:r>
    </w:p>
    <w:p>
      <w:pPr>
        <w:spacing w:after="0" w:line="36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assumed risks from NELICO and MLIC related to guaranteed minimum benefits written directly by the cedents. These assumed reinsurance agreements contain embedded derivatives and changes in their estimated fair value are also included within net derivative gains (losses). The embedded derivatives associated with the cessions are included within policyholder account balances and were $436 million and $741 million at December 31, 2017 and 2016, respectively. Net derivative gains (losses) associated with the embedded derivatives were $177 million, ($21) million and ($47) million for the years ended December 31, 2017, 2016 and 2015, respectively. In January 2017, MLIC recaptured these risks being reinsured by the Company. This recapture resulted in a decrease in investments and cash and cash equivalents of $568 million, a decrease in future policy benefits of $106 million, and a decrease in policyholder account balances of $460 million. In June 2017, there was an adjustment to the recapture amounts of this transaction, which resulted in an increase in premiums, reinsurance and other receivables of $140 million at June 30, 2017. The Company recognized a gain of $89 million, net of income tax, as a result of this transaction.</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cedes risks to MLIC related to guaranteed minimum benefits written directly by the Company. This ceded reinsurance agreement contains embedded derivatives and changes in the estimated fair value are also included within net derivative gains (losses). The embedded derivatives associated with this cession are included within premiums, reinsurance and other receivables and were $2 million and $171 million at December 31, 2017 and 2016, respectively. Net derivative gains (losses) associated with the embedded derivatives were ($126) million, $46 million, and $54 million for the years ended December 31, 2017, 2016 and 2015, respectively.</w:t>
      </w:r>
    </w:p>
    <w:p>
      <w:pPr>
        <w:spacing w:after="0" w:line="8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May 2017, the Company and BHNY recaptured from MLIC risks related to multiple life products ceded under yearly renewable term and coinsurance agreements. This recapture resulted in an increase in cash and cash equivalents of $214 million and a decrease in premiums, reinsurance and other receivables of $189 million. The Company recognized a gain of $17 million, net of income tax, as a result of reinsurance termination.</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January 2017, the Company recaptured risks related to certain variable annuities, including guaranteed minimum benefits, issued by BHNY ceded to MLIC. This recapture resulted in a decrease in cash and cash equivalents of $150 million, an increase in future policy benefits of $45 million, an increase in policyholder account balances of $168 million and a decrease in other liabilities of $359 million. The Company recognized no gain or loss as a result of this transaction.</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January 2017, the Company executed a novation and assignment agreement whereby it replaced MLIC as the reinsurer of certain variable annuities, including guaranteed minimum benefits, issued by NELICO. This novation and assignment resulted in an increase in cash and cash equivalents of $184 million, an increase in future policy benefits of $34 million, an increase in policyholder account balances of $219 million and a decrease in other liabilities of $68 million. The Company recognized no gain or loss as a result of this transaction.</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December 2016, the Company recaptured level premium term business previously reinsured to MRV. This recapture resulted in a decrease in cash and cash equivalents of $27 million, a decrease in premiums, reinsurance and other receivables of $94 million and a decrease in other liabilities of $158 million. The Company recognized a gain of $24 million, net of income tax, as a result of this recapture.</w:t>
      </w:r>
    </w:p>
    <w:p>
      <w:pPr>
        <w:spacing w:after="0" w:line="7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November 2016, the Company recaptured certain single premium deferred annuity contracts previously reinsured to MLIC. This recapture resulted in an increase in investments and cash and cash equivalents of $933 million and increase in DAC of $23 million, offset by a decrease in premiums, reinsurance and other receivables of $923 million. The Company recognized a gain of $22 million, net of income tax, as a result of this recapture.</w:t>
      </w:r>
    </w:p>
    <w:p>
      <w:pPr>
        <w:spacing w:after="0" w:line="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April 2016, the Company recaptured risks related to certain single premium deferred annuity contracts previously reinsured to MLIC. As a result of this recapture, the significant effects to the Company were an increase in investments and cash and cash equivalents of $4.3 billion and an increase in DAC of $87 million, offset by a decrease in premiums, reinsurance and other receivables of $4.0 billion. The Company recognized a gain of $246 million, net of income tax, as a result of this recapture.</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secured certain reinsurance recoverable balances with various forms of collateral, including secured trusts, funds withheld accounts and irrevocable letters of credit. The Company had $2.5 billion and $2.6 billion of unsecured related party reinsurance recoverable balances at December 31, 2017 and 2016, respectively.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22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Reinsurance (continued)</w:t>
      </w:r>
    </w:p>
    <w:p>
      <w:pPr>
        <w:spacing w:after="0" w:line="36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Related party reinsurance agreements that do not expose the Company to a reasonable possibility of a significant loss from insurance risk are recorded using the deposit method of accounting. The deposit assets on related party reinsurance were $1.3 billion and $1.4 billion at December 31, 2017 and 2016, respectively. The deposit liabilities on related party reinsurance were $198 million and $0 at December 31, 2017 and 2016,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9 for information about the fair value hierarchy for investments and the related valuation methodologies.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and Equity Securities AFS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and Equity Securities AFS by Sector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fixed maturity and equity securities AFS by sector at:</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5"/>
              </w:rPr>
              <w:t>December 31, 2017</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5"/>
              </w:rPr>
              <w:t>December 31, 2016</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3"/>
              </w:rPr>
              <w:t>Cost or</w:t>
            </w: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5"/>
              </w:rPr>
              <w:t>Gross Unrealized</w:t>
            </w: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Estimated</w:t>
            </w:r>
          </w:p>
        </w:tc>
        <w:tc>
          <w:tcPr>
            <w:tcW w:w="120" w:type="dxa"/>
            <w:vAlign w:val="bottom"/>
          </w:tcPr>
          <w:p>
            <w:pPr>
              <w:spacing w:after="0"/>
              <w:rPr>
                <w:sz w:val="22"/>
                <w:szCs w:val="2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Cost or</w:t>
            </w: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5"/>
              </w:rPr>
              <w:t>Gross Unrealized</w:t>
            </w: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center"/>
              <w:ind w:right="70"/>
              <w:spacing w:after="0"/>
              <w:rPr>
                <w:sz w:val="20"/>
                <w:szCs w:val="20"/>
                <w:color w:val="auto"/>
              </w:rPr>
            </w:pPr>
            <w:r>
              <w:rPr>
                <w:rFonts w:ascii="Arial" w:cs="Arial" w:eastAsia="Arial" w:hAnsi="Arial"/>
                <w:sz w:val="13"/>
                <w:szCs w:val="13"/>
                <w:b w:val="1"/>
                <w:bCs w:val="1"/>
                <w:color w:val="auto"/>
                <w:w w:val="86"/>
              </w:rPr>
              <w:t>Estimated</w:t>
            </w: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1"/>
              </w:rPr>
              <w:t>Amortized</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9"/>
              </w:rPr>
              <w:t>Temporary</w:t>
            </w:r>
          </w:p>
        </w:tc>
        <w:tc>
          <w:tcPr>
            <w:tcW w:w="140" w:type="dxa"/>
            <w:vAlign w:val="bottom"/>
          </w:tcPr>
          <w:p>
            <w:pPr>
              <w:spacing w:after="0"/>
              <w:rPr>
                <w:sz w:val="12"/>
                <w:szCs w:val="12"/>
                <w:color w:val="auto"/>
              </w:rPr>
            </w:pPr>
          </w:p>
        </w:tc>
        <w:tc>
          <w:tcPr>
            <w:tcW w:w="68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rPr>
              <w:t>OTTI</w:t>
            </w:r>
          </w:p>
        </w:tc>
        <w:tc>
          <w:tcPr>
            <w:tcW w:w="140" w:type="dxa"/>
            <w:vAlign w:val="bottom"/>
          </w:tcPr>
          <w:p>
            <w:pPr>
              <w:spacing w:after="0"/>
              <w:rPr>
                <w:sz w:val="12"/>
                <w:szCs w:val="12"/>
                <w:color w:val="auto"/>
              </w:rPr>
            </w:pPr>
          </w:p>
        </w:tc>
        <w:tc>
          <w:tcPr>
            <w:tcW w:w="92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1"/>
              </w:rPr>
              <w:t>Amortized</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Temporary</w:t>
            </w:r>
          </w:p>
        </w:tc>
        <w:tc>
          <w:tcPr>
            <w:tcW w:w="120" w:type="dxa"/>
            <w:vAlign w:val="bottom"/>
          </w:tcPr>
          <w:p>
            <w:pPr>
              <w:spacing w:after="0"/>
              <w:rPr>
                <w:sz w:val="12"/>
                <w:szCs w:val="12"/>
                <w:color w:val="auto"/>
              </w:rPr>
            </w:pPr>
          </w:p>
        </w:tc>
        <w:tc>
          <w:tcPr>
            <w:tcW w:w="6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OTTI</w:t>
            </w:r>
          </w:p>
        </w:tc>
        <w:tc>
          <w:tcPr>
            <w:tcW w:w="140" w:type="dxa"/>
            <w:vAlign w:val="bottom"/>
          </w:tcPr>
          <w:p>
            <w:pPr>
              <w:spacing w:after="0"/>
              <w:rPr>
                <w:sz w:val="12"/>
                <w:szCs w:val="12"/>
                <w:color w:val="auto"/>
              </w:rPr>
            </w:pPr>
          </w:p>
        </w:tc>
        <w:tc>
          <w:tcPr>
            <w:tcW w:w="760" w:type="dxa"/>
            <w:vAlign w:val="bottom"/>
          </w:tcPr>
          <w:p>
            <w:pPr>
              <w:jc w:val="center"/>
              <w:ind w:right="70"/>
              <w:spacing w:after="0" w:line="144" w:lineRule="exact"/>
              <w:rPr>
                <w:sz w:val="20"/>
                <w:szCs w:val="20"/>
                <w:color w:val="auto"/>
              </w:rPr>
            </w:pPr>
            <w:r>
              <w:rPr>
                <w:rFonts w:ascii="Arial" w:cs="Arial" w:eastAsia="Arial" w:hAnsi="Arial"/>
                <w:sz w:val="13"/>
                <w:szCs w:val="13"/>
                <w:b w:val="1"/>
                <w:bCs w:val="1"/>
                <w:color w:val="auto"/>
                <w:w w:val="92"/>
              </w:rPr>
              <w:t>Fair</w:t>
            </w: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9"/>
              </w:rPr>
              <w:t>Cost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w w:val="93"/>
              </w:rPr>
              <w:t>Gains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75"/>
              </w:rPr>
              <w:t>Losses</w:t>
            </w:r>
          </w:p>
        </w:tc>
        <w:tc>
          <w:tcPr>
            <w:tcW w:w="120" w:type="dxa"/>
            <w:vAlign w:val="bottom"/>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0"/>
              </w:rPr>
              <w:t>Losses (1)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2"/>
              </w:rPr>
              <w:t>Cost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3"/>
              </w:rPr>
              <w:t>Gains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75"/>
              </w:rPr>
              <w:t>Losses</w:t>
            </w:r>
          </w:p>
        </w:tc>
        <w:tc>
          <w:tcPr>
            <w:tcW w:w="100" w:type="dxa"/>
            <w:vAlign w:val="bottom"/>
          </w:tcPr>
          <w:p>
            <w:pPr>
              <w:spacing w:after="0"/>
              <w:rPr>
                <w:sz w:val="15"/>
                <w:szCs w:val="15"/>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3"/>
              </w:rPr>
              <w:t>Losses (1)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262"/>
        </w:trPr>
        <w:tc>
          <w:tcPr>
            <w:tcW w:w="2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00" w:type="dxa"/>
            <w:vAlign w:val="bottom"/>
            <w:gridSpan w:val="5"/>
          </w:tcPr>
          <w:p>
            <w:pPr>
              <w:ind w:left="52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Fixed maturity securities: (2)</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U.S. corporate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20,647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1,822</w:t>
            </w:r>
          </w:p>
        </w:tc>
        <w:tc>
          <w:tcPr>
            <w:tcW w:w="2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22,380</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20,663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1,287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21,665</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government and agency</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14,185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15,913</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11,872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1,281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12,916</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RMBS</w:t>
            </w:r>
          </w:p>
        </w:tc>
        <w:tc>
          <w:tcPr>
            <w:tcW w:w="140" w:type="dxa"/>
            <w:vAlign w:val="bottom"/>
          </w:tcPr>
          <w:p>
            <w:pPr>
              <w:spacing w:after="0"/>
              <w:rPr>
                <w:sz w:val="22"/>
                <w:szCs w:val="22"/>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7,588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7,817</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7,876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7,940</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corporate</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6,457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6,771</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6,071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6,123</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State and political subdivision</w:t>
            </w:r>
          </w:p>
        </w:tc>
        <w:tc>
          <w:tcPr>
            <w:tcW w:w="140" w:type="dxa"/>
            <w:vAlign w:val="bottom"/>
          </w:tcPr>
          <w:p>
            <w:pPr>
              <w:spacing w:after="0"/>
              <w:rPr>
                <w:sz w:val="22"/>
                <w:szCs w:val="22"/>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3,573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532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4,098</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3,520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3,858</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CMBS</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3,259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3,291</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3,687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3,696</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ABS</w:t>
            </w:r>
          </w:p>
        </w:tc>
        <w:tc>
          <w:tcPr>
            <w:tcW w:w="140" w:type="dxa"/>
            <w:vAlign w:val="bottom"/>
          </w:tcPr>
          <w:p>
            <w:pPr>
              <w:spacing w:after="0"/>
              <w:rPr>
                <w:sz w:val="22"/>
                <w:szCs w:val="22"/>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1,779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1,796</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2,600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2,598</w:t>
            </w: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government</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1,111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1,267</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1,103</w:t>
            </w:r>
          </w:p>
        </w:tc>
        <w:tc>
          <w:tcPr>
            <w:tcW w:w="0" w:type="dxa"/>
            <w:vAlign w:val="bottom"/>
          </w:tcPr>
          <w:p>
            <w:pPr>
              <w:spacing w:after="0"/>
              <w:rPr>
                <w:sz w:val="1"/>
                <w:szCs w:val="1"/>
                <w:color w:val="auto"/>
              </w:rPr>
            </w:pPr>
          </w:p>
        </w:tc>
      </w:tr>
      <w:tr>
        <w:trPr>
          <w:trHeight w:val="283"/>
        </w:trPr>
        <w:tc>
          <w:tcPr>
            <w:tcW w:w="21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Total fixed maturity securities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58,599</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5,083</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352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63,333</w:t>
            </w: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57,289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3,532</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923</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59,899</w:t>
            </w:r>
          </w:p>
        </w:tc>
        <w:tc>
          <w:tcPr>
            <w:tcW w:w="0" w:type="dxa"/>
            <w:vAlign w:val="bottom"/>
          </w:tcPr>
          <w:p>
            <w:pPr>
              <w:spacing w:after="0"/>
              <w:rPr>
                <w:sz w:val="1"/>
                <w:szCs w:val="1"/>
                <w:color w:val="auto"/>
              </w:rPr>
            </w:pPr>
          </w:p>
        </w:tc>
      </w:tr>
      <w:tr>
        <w:trPr>
          <w:trHeight w:val="144"/>
        </w:trPr>
        <w:tc>
          <w:tcPr>
            <w:tcW w:w="2180" w:type="dxa"/>
            <w:vAlign w:val="bottom"/>
            <w:shd w:val="clear" w:color="auto" w:fill="CCEEFF"/>
          </w:tcPr>
          <w:p>
            <w:pPr>
              <w:ind w:left="40"/>
              <w:spacing w:after="0" w:line="144" w:lineRule="exact"/>
              <w:rPr>
                <w:sz w:val="20"/>
                <w:szCs w:val="20"/>
                <w:color w:val="auto"/>
              </w:rPr>
            </w:pPr>
            <w:r>
              <w:rPr>
                <w:rFonts w:ascii="Arial" w:cs="Arial" w:eastAsia="Arial" w:hAnsi="Arial"/>
                <w:sz w:val="14"/>
                <w:szCs w:val="14"/>
                <w:color w:val="auto"/>
              </w:rPr>
              <w:t>Equity securities (2)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21</w:t>
            </w:r>
          </w:p>
        </w:tc>
        <w:tc>
          <w:tcPr>
            <w:tcW w:w="120" w:type="dxa"/>
            <w:vAlign w:val="bottom"/>
            <w:vMerge w:val="restart"/>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232</w:t>
            </w:r>
          </w:p>
        </w:tc>
        <w:tc>
          <w:tcPr>
            <w:tcW w:w="1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29</w:t>
            </w:r>
          </w:p>
        </w:tc>
        <w:tc>
          <w:tcPr>
            <w:tcW w:w="100" w:type="dxa"/>
            <w:vAlign w:val="bottom"/>
            <w:vMerge w:val="restart"/>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60"/>
        </w:trPr>
        <w:tc>
          <w:tcPr>
            <w:tcW w:w="218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5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5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5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5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-98425</wp:posOffset>
            </wp:positionV>
            <wp:extent cx="58661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93" w:lineRule="exact"/>
        <w:rPr>
          <w:sz w:val="20"/>
          <w:szCs w:val="20"/>
          <w:color w:val="auto"/>
        </w:rPr>
      </w:pPr>
    </w:p>
    <w:p>
      <w:pPr>
        <w:ind w:left="500" w:hanging="492"/>
        <w:spacing w:after="0" w:line="277"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Noncredit OTTI losses included in AOCI in an unrealized gain position are due to increases in estimated fair value subsequent to initial recognition of noncredit losses on such securities. See also “— Net Unrealized Investment Gains (Losses).”</w:t>
      </w:r>
    </w:p>
    <w:p>
      <w:pPr>
        <w:spacing w:after="0" w:line="62"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Redeemable preferred stock is reported within U.S. corporate and foreign corporate fixed maturity securities and non-redeemable preferred stock is reported within equity securities. Included within fixed maturity securities are Structured Securities.</w:t>
      </w:r>
    </w:p>
    <w:p>
      <w:pPr>
        <w:spacing w:after="0" w:line="62"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The Company held non-income producing fixed maturity securities with an estimated fair value of $3 million and $5 million with unrealized gains (losses) of ($2) million and less than $1 million at December 31, 2017 and 2016,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Maturities of Fixed Maturity Securities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amortized cost and estimated fair value of fixed maturity securities, by contractual maturity date, were as follows at December 31, 2017:</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Due in One</w:t>
            </w:r>
          </w:p>
        </w:tc>
        <w:tc>
          <w:tcPr>
            <w:tcW w:w="260" w:type="dxa"/>
            <w:vAlign w:val="bottom"/>
          </w:tcPr>
          <w:p>
            <w:pPr>
              <w:spacing w:after="0"/>
              <w:rPr>
                <w:sz w:val="14"/>
                <w:szCs w:val="14"/>
                <w:color w:val="auto"/>
              </w:rPr>
            </w:pPr>
          </w:p>
        </w:tc>
        <w:tc>
          <w:tcPr>
            <w:tcW w:w="1140" w:type="dxa"/>
            <w:vAlign w:val="bottom"/>
          </w:tcPr>
          <w:p>
            <w:pPr>
              <w:jc w:val="center"/>
              <w:ind w:right="84"/>
              <w:spacing w:after="0"/>
              <w:rPr>
                <w:sz w:val="20"/>
                <w:szCs w:val="20"/>
                <w:color w:val="auto"/>
              </w:rPr>
            </w:pPr>
            <w:r>
              <w:rPr>
                <w:rFonts w:ascii="Arial" w:cs="Arial" w:eastAsia="Arial" w:hAnsi="Arial"/>
                <w:sz w:val="14"/>
                <w:szCs w:val="14"/>
                <w:b w:val="1"/>
                <w:bCs w:val="1"/>
                <w:color w:val="auto"/>
                <w:w w:val="95"/>
              </w:rPr>
              <w:t>Due After One</w:t>
            </w:r>
          </w:p>
        </w:tc>
        <w:tc>
          <w:tcPr>
            <w:tcW w:w="240" w:type="dxa"/>
            <w:vAlign w:val="bottom"/>
          </w:tcPr>
          <w:p>
            <w:pPr>
              <w:spacing w:after="0"/>
              <w:rPr>
                <w:sz w:val="14"/>
                <w:szCs w:val="14"/>
                <w:color w:val="auto"/>
              </w:rPr>
            </w:pPr>
          </w:p>
        </w:tc>
        <w:tc>
          <w:tcPr>
            <w:tcW w:w="1160" w:type="dxa"/>
            <w:vAlign w:val="bottom"/>
          </w:tcPr>
          <w:p>
            <w:pPr>
              <w:jc w:val="right"/>
              <w:ind w:right="144"/>
              <w:spacing w:after="0"/>
              <w:rPr>
                <w:sz w:val="20"/>
                <w:szCs w:val="20"/>
                <w:color w:val="auto"/>
              </w:rPr>
            </w:pPr>
            <w:r>
              <w:rPr>
                <w:rFonts w:ascii="Arial" w:cs="Arial" w:eastAsia="Arial" w:hAnsi="Arial"/>
                <w:sz w:val="14"/>
                <w:szCs w:val="14"/>
                <w:b w:val="1"/>
                <w:bCs w:val="1"/>
                <w:color w:val="auto"/>
                <w:w w:val="96"/>
              </w:rPr>
              <w:t>Due After Five</w:t>
            </w:r>
          </w:p>
        </w:tc>
        <w:tc>
          <w:tcPr>
            <w:tcW w:w="200" w:type="dxa"/>
            <w:vAlign w:val="bottom"/>
          </w:tcPr>
          <w:p>
            <w:pPr>
              <w:spacing w:after="0"/>
              <w:rPr>
                <w:sz w:val="14"/>
                <w:szCs w:val="14"/>
                <w:color w:val="auto"/>
              </w:rPr>
            </w:pPr>
          </w:p>
        </w:tc>
        <w:tc>
          <w:tcPr>
            <w:tcW w:w="112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w w:val="98"/>
              </w:rPr>
              <w:t>Due After Ten</w:t>
            </w:r>
          </w:p>
        </w:tc>
        <w:tc>
          <w:tcPr>
            <w:tcW w:w="280" w:type="dxa"/>
            <w:vAlign w:val="bottom"/>
          </w:tcPr>
          <w:p>
            <w:pPr>
              <w:spacing w:after="0"/>
              <w:rPr>
                <w:sz w:val="14"/>
                <w:szCs w:val="14"/>
                <w:color w:val="auto"/>
              </w:rPr>
            </w:pPr>
          </w:p>
        </w:tc>
        <w:tc>
          <w:tcPr>
            <w:tcW w:w="106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Structured</w:t>
            </w:r>
          </w:p>
        </w:tc>
        <w:tc>
          <w:tcPr>
            <w:tcW w:w="280" w:type="dxa"/>
            <w:vAlign w:val="bottom"/>
          </w:tcPr>
          <w:p>
            <w:pPr>
              <w:spacing w:after="0"/>
              <w:rPr>
                <w:sz w:val="14"/>
                <w:szCs w:val="14"/>
                <w:color w:val="auto"/>
              </w:rPr>
            </w:pPr>
          </w:p>
        </w:tc>
        <w:tc>
          <w:tcPr>
            <w:tcW w:w="1060" w:type="dxa"/>
            <w:vAlign w:val="bottom"/>
          </w:tcPr>
          <w:p>
            <w:pPr>
              <w:jc w:val="center"/>
              <w:ind w:right="104"/>
              <w:spacing w:after="0"/>
              <w:rPr>
                <w:sz w:val="20"/>
                <w:szCs w:val="20"/>
                <w:color w:val="auto"/>
              </w:rPr>
            </w:pPr>
            <w:r>
              <w:rPr>
                <w:rFonts w:ascii="Arial" w:cs="Arial" w:eastAsia="Arial" w:hAnsi="Arial"/>
                <w:sz w:val="14"/>
                <w:szCs w:val="14"/>
                <w:b w:val="1"/>
                <w:bCs w:val="1"/>
                <w:color w:val="auto"/>
                <w:w w:val="91"/>
              </w:rPr>
              <w:t>Total Fixed</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4"/>
              </w:rPr>
              <w:t>Year Through</w:t>
            </w:r>
          </w:p>
        </w:tc>
        <w:tc>
          <w:tcPr>
            <w:tcW w:w="240" w:type="dxa"/>
            <w:vAlign w:val="bottom"/>
          </w:tcPr>
          <w:p>
            <w:pPr>
              <w:spacing w:after="0"/>
              <w:rPr>
                <w:sz w:val="12"/>
                <w:szCs w:val="12"/>
                <w:color w:val="auto"/>
              </w:rPr>
            </w:pPr>
          </w:p>
        </w:tc>
        <w:tc>
          <w:tcPr>
            <w:tcW w:w="1160" w:type="dxa"/>
            <w:vAlign w:val="bottom"/>
          </w:tcPr>
          <w:p>
            <w:pPr>
              <w:jc w:val="right"/>
              <w:ind w:right="424"/>
              <w:spacing w:after="0" w:line="149" w:lineRule="exact"/>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w w:val="97"/>
              </w:rPr>
              <w:t>Year or Less</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1"/>
              </w:rPr>
              <w:t>Five Years</w:t>
            </w: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7"/>
              </w:rPr>
              <w:t>Through Ten Years</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Years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Securities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44"/>
        </w:trPr>
        <w:tc>
          <w:tcPr>
            <w:tcW w:w="3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3"/>
          </w:tcPr>
          <w:p>
            <w:pPr>
              <w:jc w:val="right"/>
              <w:ind w:right="903"/>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300" w:type="dxa"/>
            <w:vAlign w:val="bottom"/>
          </w:tcPr>
          <w:p>
            <w:pPr>
              <w:spacing w:after="0"/>
              <w:rPr>
                <w:sz w:val="20"/>
                <w:szCs w:val="20"/>
                <w:color w:val="auto"/>
              </w:rPr>
            </w:pPr>
            <w:r>
              <w:rPr>
                <w:rFonts w:ascii="Arial" w:cs="Arial" w:eastAsia="Arial" w:hAnsi="Arial"/>
                <w:sz w:val="16"/>
                <w:szCs w:val="16"/>
                <w:color w:val="auto"/>
              </w:rPr>
              <w:t>Amortized cost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1,833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10,018</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84"/>
              <w:spacing w:after="0"/>
              <w:rPr>
                <w:sz w:val="20"/>
                <w:szCs w:val="20"/>
                <w:color w:val="auto"/>
              </w:rPr>
            </w:pPr>
            <w:r>
              <w:rPr>
                <w:rFonts w:ascii="Arial" w:cs="Arial" w:eastAsia="Arial" w:hAnsi="Arial"/>
                <w:sz w:val="16"/>
                <w:szCs w:val="16"/>
                <w:color w:val="auto"/>
              </w:rPr>
              <w:t>11,131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22,991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12,626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58,599</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6"/>
                <w:szCs w:val="16"/>
                <w:color w:val="auto"/>
              </w:rPr>
              <w:t>Estimated fair value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1,838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10,347</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84"/>
              <w:spacing w:after="0"/>
              <w:rPr>
                <w:sz w:val="20"/>
                <w:szCs w:val="20"/>
                <w:color w:val="auto"/>
              </w:rPr>
            </w:pPr>
            <w:r>
              <w:rPr>
                <w:rFonts w:ascii="Arial" w:cs="Arial" w:eastAsia="Arial" w:hAnsi="Arial"/>
                <w:sz w:val="16"/>
                <w:szCs w:val="16"/>
                <w:color w:val="auto"/>
              </w:rPr>
              <w:t>11,458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26,786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12,904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63,333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9" w:right="2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420"/>
          </w:cols>
          <w:pgMar w:left="240" w:top="229" w:right="239" w:bottom="1440" w:gutter="0" w:footer="0" w:header="0"/>
          <w:type w:val="continuous"/>
        </w:sectPr>
      </w:pPr>
    </w:p>
    <w:bookmarkStart w:id="114" w:name="page115"/>
    <w:bookmarkEnd w:id="1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 (continued)</w:t>
      </w:r>
    </w:p>
    <w:p>
      <w:pPr>
        <w:spacing w:after="0" w:line="364" w:lineRule="exact"/>
        <w:rPr>
          <w:sz w:val="20"/>
          <w:szCs w:val="20"/>
          <w:color w:val="auto"/>
        </w:rPr>
      </w:pPr>
    </w:p>
    <w:p>
      <w:pPr>
        <w:jc w:val="both"/>
        <w:ind w:left="180" w:right="20" w:firstLine="324"/>
        <w:spacing w:after="0" w:line="264" w:lineRule="auto"/>
        <w:rPr>
          <w:sz w:val="20"/>
          <w:szCs w:val="20"/>
          <w:color w:val="auto"/>
        </w:rPr>
      </w:pPr>
      <w:r>
        <w:rPr>
          <w:rFonts w:ascii="Arial" w:cs="Arial" w:eastAsia="Arial" w:hAnsi="Arial"/>
          <w:sz w:val="18"/>
          <w:szCs w:val="18"/>
          <w:color w:val="auto"/>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Continuous Gross Unrealized Losses for Fixed Maturity and Equity Securities AFS by Sector</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The following table presents the estimated fair value and gross unrealized losses of fixed maturity and equity securities AFS in an unrealized loss position, aggregated by sector and by length of time that the securities have been in a continuous unrealized loss position at:</w:t>
      </w:r>
    </w:p>
    <w:p>
      <w:pPr>
        <w:spacing w:after="0" w:line="356"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2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3"/>
                <w:szCs w:val="13"/>
                <w:b w:val="1"/>
                <w:bCs w:val="1"/>
                <w:color w:val="auto"/>
              </w:rPr>
              <w:t>December 31, 2017</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3"/>
                <w:szCs w:val="13"/>
                <w:b w:val="1"/>
                <w:bCs w:val="1"/>
                <w:color w:val="auto"/>
              </w:rPr>
              <w:t>December 31, 2016</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5"/>
          </w:tcPr>
          <w:p>
            <w:pPr>
              <w:ind w:left="220"/>
              <w:spacing w:after="0" w:line="144" w:lineRule="exact"/>
              <w:rPr>
                <w:sz w:val="20"/>
                <w:szCs w:val="20"/>
                <w:color w:val="auto"/>
              </w:rPr>
            </w:pPr>
            <w:r>
              <w:rPr>
                <w:rFonts w:ascii="Arial" w:cs="Arial" w:eastAsia="Arial" w:hAnsi="Arial"/>
                <w:sz w:val="13"/>
                <w:szCs w:val="13"/>
                <w:b w:val="1"/>
                <w:bCs w:val="1"/>
                <w:color w:val="auto"/>
              </w:rPr>
              <w:t>Equal to or Greater than</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4"/>
          </w:tcPr>
          <w:p>
            <w:pPr>
              <w:jc w:val="right"/>
              <w:ind w:right="230"/>
              <w:spacing w:after="0" w:line="144" w:lineRule="exact"/>
              <w:rPr>
                <w:sz w:val="20"/>
                <w:szCs w:val="20"/>
                <w:color w:val="auto"/>
              </w:rPr>
            </w:pPr>
            <w:r>
              <w:rPr>
                <w:rFonts w:ascii="Arial" w:cs="Arial" w:eastAsia="Arial" w:hAnsi="Arial"/>
                <w:sz w:val="13"/>
                <w:szCs w:val="13"/>
                <w:b w:val="1"/>
                <w:bCs w:val="1"/>
                <w:color w:val="auto"/>
                <w:w w:val="98"/>
              </w:rPr>
              <w:t>Equal to or Greater than 12</w:t>
            </w:r>
          </w:p>
        </w:tc>
        <w:tc>
          <w:tcPr>
            <w:tcW w:w="0" w:type="dxa"/>
            <w:vAlign w:val="bottom"/>
          </w:tcPr>
          <w:p>
            <w:pPr>
              <w:spacing w:after="0"/>
              <w:rPr>
                <w:sz w:val="1"/>
                <w:szCs w:val="1"/>
                <w:color w:val="auto"/>
              </w:rPr>
            </w:pPr>
          </w:p>
        </w:tc>
      </w:tr>
      <w:tr>
        <w:trPr>
          <w:trHeight w:val="174"/>
        </w:trPr>
        <w:tc>
          <w:tcPr>
            <w:tcW w:w="2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3"/>
                <w:szCs w:val="13"/>
                <w:b w:val="1"/>
                <w:bCs w:val="1"/>
                <w:color w:val="auto"/>
              </w:rPr>
              <w:t>Less than 12 Months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3"/>
                <w:szCs w:val="13"/>
                <w:b w:val="1"/>
                <w:bCs w:val="1"/>
                <w:color w:val="auto"/>
              </w:rPr>
              <w:t>12 Months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3"/>
                <w:szCs w:val="13"/>
                <w:b w:val="1"/>
                <w:bCs w:val="1"/>
                <w:color w:val="auto"/>
              </w:rPr>
              <w:t>Less than 12 Months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Months</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110"/>
              <w:spacing w:after="0" w:line="144" w:lineRule="exact"/>
              <w:rPr>
                <w:sz w:val="20"/>
                <w:szCs w:val="20"/>
                <w:color w:val="auto"/>
              </w:rPr>
            </w:pPr>
            <w:r>
              <w:rPr>
                <w:rFonts w:ascii="Arial" w:cs="Arial" w:eastAsia="Arial" w:hAnsi="Arial"/>
                <w:sz w:val="13"/>
                <w:szCs w:val="13"/>
                <w:b w:val="1"/>
                <w:bCs w:val="1"/>
                <w:color w:val="auto"/>
                <w:w w:val="90"/>
              </w:rPr>
              <w:t>Estimated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5"/>
              </w:rPr>
              <w:t>Gross</w:t>
            </w:r>
          </w:p>
        </w:tc>
        <w:tc>
          <w:tcPr>
            <w:tcW w:w="160" w:type="dxa"/>
            <w:vAlign w:val="bottom"/>
          </w:tcPr>
          <w:p>
            <w:pPr>
              <w:spacing w:after="0"/>
              <w:rPr>
                <w:sz w:val="12"/>
                <w:szCs w:val="12"/>
                <w:color w:val="auto"/>
              </w:rPr>
            </w:pPr>
          </w:p>
        </w:tc>
        <w:tc>
          <w:tcPr>
            <w:tcW w:w="840" w:type="dxa"/>
            <w:vAlign w:val="bottom"/>
          </w:tcPr>
          <w:p>
            <w:pPr>
              <w:jc w:val="center"/>
              <w:ind w:right="111"/>
              <w:spacing w:after="0" w:line="144" w:lineRule="exact"/>
              <w:rPr>
                <w:sz w:val="20"/>
                <w:szCs w:val="20"/>
                <w:color w:val="auto"/>
              </w:rPr>
            </w:pPr>
            <w:r>
              <w:rPr>
                <w:rFonts w:ascii="Arial" w:cs="Arial" w:eastAsia="Arial" w:hAnsi="Arial"/>
                <w:sz w:val="13"/>
                <w:szCs w:val="13"/>
                <w:b w:val="1"/>
                <w:bCs w:val="1"/>
                <w:color w:val="auto"/>
                <w:w w:val="86"/>
              </w:rPr>
              <w:t>Estimated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5"/>
              </w:rPr>
              <w:t>Gross</w:t>
            </w:r>
          </w:p>
        </w:tc>
        <w:tc>
          <w:tcPr>
            <w:tcW w:w="160" w:type="dxa"/>
            <w:vAlign w:val="bottom"/>
          </w:tcPr>
          <w:p>
            <w:pPr>
              <w:spacing w:after="0"/>
              <w:rPr>
                <w:sz w:val="12"/>
                <w:szCs w:val="12"/>
                <w:color w:val="auto"/>
              </w:rPr>
            </w:pPr>
          </w:p>
        </w:tc>
        <w:tc>
          <w:tcPr>
            <w:tcW w:w="820" w:type="dxa"/>
            <w:vAlign w:val="bottom"/>
          </w:tcPr>
          <w:p>
            <w:pPr>
              <w:jc w:val="center"/>
              <w:ind w:right="90"/>
              <w:spacing w:after="0" w:line="144" w:lineRule="exact"/>
              <w:rPr>
                <w:sz w:val="20"/>
                <w:szCs w:val="20"/>
                <w:color w:val="auto"/>
              </w:rPr>
            </w:pPr>
            <w:r>
              <w:rPr>
                <w:rFonts w:ascii="Arial" w:cs="Arial" w:eastAsia="Arial" w:hAnsi="Arial"/>
                <w:sz w:val="13"/>
                <w:szCs w:val="13"/>
                <w:b w:val="1"/>
                <w:bCs w:val="1"/>
                <w:color w:val="auto"/>
                <w:w w:val="86"/>
              </w:rPr>
              <w:t>Estimated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5"/>
              </w:rPr>
              <w:t>Gross</w:t>
            </w:r>
          </w:p>
        </w:tc>
        <w:tc>
          <w:tcPr>
            <w:tcW w:w="160" w:type="dxa"/>
            <w:vAlign w:val="bottom"/>
          </w:tcPr>
          <w:p>
            <w:pPr>
              <w:spacing w:after="0"/>
              <w:rPr>
                <w:sz w:val="12"/>
                <w:szCs w:val="12"/>
                <w:color w:val="auto"/>
              </w:rPr>
            </w:pPr>
          </w:p>
        </w:tc>
        <w:tc>
          <w:tcPr>
            <w:tcW w:w="840" w:type="dxa"/>
            <w:vAlign w:val="bottom"/>
          </w:tcPr>
          <w:p>
            <w:pPr>
              <w:jc w:val="center"/>
              <w:ind w:right="71"/>
              <w:spacing w:after="0" w:line="144" w:lineRule="exact"/>
              <w:rPr>
                <w:sz w:val="20"/>
                <w:szCs w:val="20"/>
                <w:color w:val="auto"/>
              </w:rPr>
            </w:pPr>
            <w:r>
              <w:rPr>
                <w:rFonts w:ascii="Arial" w:cs="Arial" w:eastAsia="Arial" w:hAnsi="Arial"/>
                <w:sz w:val="13"/>
                <w:szCs w:val="13"/>
                <w:b w:val="1"/>
                <w:bCs w:val="1"/>
                <w:color w:val="auto"/>
                <w:w w:val="86"/>
              </w:rPr>
              <w:t>Estimated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30"/>
              <w:spacing w:after="0" w:line="144" w:lineRule="exact"/>
              <w:rPr>
                <w:sz w:val="20"/>
                <w:szCs w:val="20"/>
                <w:color w:val="auto"/>
              </w:rPr>
            </w:pPr>
            <w:r>
              <w:rPr>
                <w:rFonts w:ascii="Arial" w:cs="Arial" w:eastAsia="Arial" w:hAnsi="Arial"/>
                <w:sz w:val="13"/>
                <w:szCs w:val="13"/>
                <w:b w:val="1"/>
                <w:bCs w:val="1"/>
                <w:color w:val="auto"/>
                <w:w w:val="79"/>
              </w:rPr>
              <w:t>Gross</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ind w:right="110"/>
              <w:spacing w:after="0" w:line="135"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60" w:type="dxa"/>
            <w:vAlign w:val="bottom"/>
          </w:tcPr>
          <w:p>
            <w:pPr>
              <w:spacing w:after="0"/>
              <w:rPr>
                <w:sz w:val="11"/>
                <w:szCs w:val="11"/>
                <w:color w:val="auto"/>
              </w:rPr>
            </w:pPr>
          </w:p>
        </w:tc>
        <w:tc>
          <w:tcPr>
            <w:tcW w:w="84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1"/>
              </w:rPr>
              <w:t>Unrealized</w:t>
            </w:r>
          </w:p>
        </w:tc>
        <w:tc>
          <w:tcPr>
            <w:tcW w:w="160" w:type="dxa"/>
            <w:vAlign w:val="bottom"/>
          </w:tcPr>
          <w:p>
            <w:pPr>
              <w:spacing w:after="0"/>
              <w:rPr>
                <w:sz w:val="11"/>
                <w:szCs w:val="11"/>
                <w:color w:val="auto"/>
              </w:rPr>
            </w:pPr>
          </w:p>
        </w:tc>
        <w:tc>
          <w:tcPr>
            <w:tcW w:w="82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92"/>
              </w:rPr>
              <w:t>Fair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Unrealized</w:t>
            </w:r>
          </w:p>
        </w:tc>
        <w:tc>
          <w:tcPr>
            <w:tcW w:w="160" w:type="dxa"/>
            <w:vAlign w:val="bottom"/>
          </w:tcPr>
          <w:p>
            <w:pPr>
              <w:spacing w:after="0"/>
              <w:rPr>
                <w:sz w:val="11"/>
                <w:szCs w:val="11"/>
                <w:color w:val="auto"/>
              </w:rPr>
            </w:pPr>
          </w:p>
        </w:tc>
        <w:tc>
          <w:tcPr>
            <w:tcW w:w="84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w w:val="88"/>
              </w:rPr>
              <w:t>Unrealized</w:t>
            </w:r>
          </w:p>
        </w:tc>
        <w:tc>
          <w:tcPr>
            <w:tcW w:w="0" w:type="dxa"/>
            <w:vAlign w:val="bottom"/>
          </w:tcPr>
          <w:p>
            <w:pPr>
              <w:spacing w:after="0"/>
              <w:rPr>
                <w:sz w:val="1"/>
                <w:szCs w:val="1"/>
                <w:color w:val="auto"/>
              </w:rPr>
            </w:pPr>
          </w:p>
        </w:tc>
      </w:tr>
      <w:tr>
        <w:trPr>
          <w:trHeight w:val="174"/>
        </w:trPr>
        <w:tc>
          <w:tcPr>
            <w:tcW w:w="2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75"/>
              </w:rPr>
              <w:t>Losses</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11"/>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0"/>
              </w:rPr>
              <w:t>Losses</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0"/>
              </w:rPr>
              <w:t>Losses</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75"/>
              </w:rPr>
              <w:t>Losses</w:t>
            </w:r>
          </w:p>
        </w:tc>
        <w:tc>
          <w:tcPr>
            <w:tcW w:w="0" w:type="dxa"/>
            <w:vAlign w:val="bottom"/>
          </w:tcPr>
          <w:p>
            <w:pPr>
              <w:spacing w:after="0"/>
              <w:rPr>
                <w:sz w:val="1"/>
                <w:szCs w:val="1"/>
                <w:color w:val="auto"/>
              </w:rPr>
            </w:pPr>
          </w:p>
        </w:tc>
      </w:tr>
      <w:tr>
        <w:trPr>
          <w:trHeight w:val="249"/>
        </w:trPr>
        <w:tc>
          <w:tcPr>
            <w:tcW w:w="2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40" w:type="dxa"/>
            <w:vAlign w:val="bottom"/>
            <w:gridSpan w:val="4"/>
          </w:tcPr>
          <w:p>
            <w:pPr>
              <w:jc w:val="right"/>
              <w:ind w:right="470"/>
              <w:spacing w:after="0"/>
              <w:rPr>
                <w:sz w:val="20"/>
                <w:szCs w:val="20"/>
                <w:color w:val="auto"/>
              </w:rPr>
            </w:pPr>
            <w:r>
              <w:rPr>
                <w:rFonts w:ascii="Arial" w:cs="Arial" w:eastAsia="Arial" w:hAnsi="Arial"/>
                <w:sz w:val="13"/>
                <w:szCs w:val="13"/>
                <w:b w:val="1"/>
                <w:bCs w:val="1"/>
                <w:color w:val="auto"/>
              </w:rPr>
              <w:t>(Dollars in millions)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maturity securities: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3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60" w:type="dxa"/>
            <w:vAlign w:val="bottom"/>
          </w:tcPr>
          <w:p>
            <w:pPr>
              <w:ind w:left="20"/>
              <w:spacing w:after="0"/>
              <w:rPr>
                <w:sz w:val="20"/>
                <w:szCs w:val="20"/>
                <w:color w:val="auto"/>
              </w:rPr>
            </w:pPr>
            <w:r>
              <w:rPr>
                <w:rFonts w:ascii="Arial" w:cs="Arial" w:eastAsia="Arial" w:hAnsi="Arial"/>
                <w:sz w:val="14"/>
                <w:szCs w:val="14"/>
                <w:color w:val="auto"/>
              </w:rPr>
              <w:t>U.S. corporate</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1,762</w:t>
            </w:r>
          </w:p>
        </w:tc>
        <w:tc>
          <w:tcPr>
            <w:tcW w:w="2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51"/>
              <w:spacing w:after="0"/>
              <w:rPr>
                <w:sz w:val="20"/>
                <w:szCs w:val="20"/>
                <w:color w:val="auto"/>
              </w:rPr>
            </w:pPr>
            <w:r>
              <w:rPr>
                <w:rFonts w:ascii="Arial" w:cs="Arial" w:eastAsia="Arial" w:hAnsi="Arial"/>
                <w:sz w:val="14"/>
                <w:szCs w:val="14"/>
                <w:color w:val="auto"/>
              </w:rPr>
              <w:t>1,413</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6"/>
                <w:szCs w:val="16"/>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ind w:right="30"/>
              <w:spacing w:after="0"/>
              <w:rPr>
                <w:sz w:val="20"/>
                <w:szCs w:val="20"/>
                <w:color w:val="auto"/>
              </w:rPr>
            </w:pPr>
            <w:r>
              <w:rPr>
                <w:rFonts w:ascii="Arial" w:cs="Arial" w:eastAsia="Arial" w:hAnsi="Arial"/>
                <w:sz w:val="14"/>
                <w:szCs w:val="14"/>
                <w:color w:val="auto"/>
              </w:rPr>
              <w:t>4,632</w:t>
            </w:r>
          </w:p>
        </w:tc>
        <w:tc>
          <w:tcPr>
            <w:tcW w:w="2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51"/>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699</w:t>
            </w:r>
          </w:p>
        </w:tc>
        <w:tc>
          <w:tcPr>
            <w:tcW w:w="30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50"/>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 and agency</w:t>
            </w: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4,764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1,573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4,396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3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60" w:type="dxa"/>
            <w:vAlign w:val="bottom"/>
          </w:tcPr>
          <w:p>
            <w:pPr>
              <w:ind w:left="20"/>
              <w:spacing w:after="0"/>
              <w:rPr>
                <w:sz w:val="20"/>
                <w:szCs w:val="20"/>
                <w:color w:val="auto"/>
              </w:rPr>
            </w:pPr>
            <w:r>
              <w:rPr>
                <w:rFonts w:ascii="Arial" w:cs="Arial" w:eastAsia="Arial" w:hAnsi="Arial"/>
                <w:sz w:val="14"/>
                <w:szCs w:val="14"/>
                <w:color w:val="auto"/>
              </w:rPr>
              <w:t>RMBS</w:t>
            </w:r>
          </w:p>
        </w:tc>
        <w:tc>
          <w:tcPr>
            <w:tcW w:w="180" w:type="dxa"/>
            <w:vAlign w:val="bottom"/>
          </w:tcPr>
          <w:p>
            <w:pPr>
              <w:spacing w:after="0"/>
              <w:rPr>
                <w:sz w:val="16"/>
                <w:szCs w:val="16"/>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2,308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51"/>
              <w:spacing w:after="0"/>
              <w:rPr>
                <w:sz w:val="20"/>
                <w:szCs w:val="20"/>
                <w:color w:val="auto"/>
              </w:rPr>
            </w:pPr>
            <w:r>
              <w:rPr>
                <w:rFonts w:ascii="Arial" w:cs="Arial" w:eastAsia="Arial" w:hAnsi="Arial"/>
                <w:sz w:val="14"/>
                <w:szCs w:val="14"/>
                <w:color w:val="auto"/>
              </w:rPr>
              <w:t>1,292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4"/>
                <w:szCs w:val="14"/>
                <w:color w:val="auto"/>
              </w:rPr>
              <w:t>3,457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51"/>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818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corporate</w:t>
            </w: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636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1,443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573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80"/>
        </w:trPr>
        <w:tc>
          <w:tcPr>
            <w:tcW w:w="23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60" w:type="dxa"/>
            <w:vAlign w:val="bottom"/>
          </w:tcPr>
          <w:p>
            <w:pPr>
              <w:ind w:left="20"/>
              <w:spacing w:after="0"/>
              <w:rPr>
                <w:sz w:val="20"/>
                <w:szCs w:val="20"/>
                <w:color w:val="auto"/>
              </w:rPr>
            </w:pPr>
            <w:r>
              <w:rPr>
                <w:rFonts w:ascii="Arial" w:cs="Arial" w:eastAsia="Arial" w:hAnsi="Arial"/>
                <w:sz w:val="14"/>
                <w:szCs w:val="14"/>
                <w:color w:val="auto"/>
              </w:rPr>
              <w:t>State and political subdivision</w:t>
            </w:r>
          </w:p>
        </w:tc>
        <w:tc>
          <w:tcPr>
            <w:tcW w:w="180" w:type="dxa"/>
            <w:vAlign w:val="bottom"/>
          </w:tcPr>
          <w:p>
            <w:pPr>
              <w:spacing w:after="0"/>
              <w:rPr>
                <w:sz w:val="16"/>
                <w:szCs w:val="16"/>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51"/>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4"/>
                <w:szCs w:val="14"/>
                <w:color w:val="auto"/>
              </w:rPr>
              <w:t>887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51"/>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603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1,553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80"/>
        </w:trPr>
        <w:tc>
          <w:tcPr>
            <w:tcW w:w="23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60" w:type="dxa"/>
            <w:vAlign w:val="bottom"/>
          </w:tcPr>
          <w:p>
            <w:pPr>
              <w:ind w:left="20"/>
              <w:spacing w:after="0"/>
              <w:rPr>
                <w:sz w:val="20"/>
                <w:szCs w:val="20"/>
                <w:color w:val="auto"/>
              </w:rPr>
            </w:pPr>
            <w:r>
              <w:rPr>
                <w:rFonts w:ascii="Arial" w:cs="Arial" w:eastAsia="Arial" w:hAnsi="Arial"/>
                <w:sz w:val="14"/>
                <w:szCs w:val="14"/>
                <w:color w:val="auto"/>
              </w:rPr>
              <w:t>ABS</w:t>
            </w:r>
          </w:p>
        </w:tc>
        <w:tc>
          <w:tcPr>
            <w:tcW w:w="180" w:type="dxa"/>
            <w:vAlign w:val="bottom"/>
          </w:tcPr>
          <w:p>
            <w:pPr>
              <w:spacing w:after="0"/>
              <w:rPr>
                <w:sz w:val="16"/>
                <w:szCs w:val="16"/>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vMerge w:val="restart"/>
          </w:tcPr>
          <w:p>
            <w:pPr>
              <w:jc w:val="right"/>
              <w:ind w:right="51"/>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4"/>
                <w:szCs w:val="14"/>
                <w:color w:val="auto"/>
              </w:rPr>
              <w:t>450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51"/>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461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government</w:t>
            </w: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242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236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360" w:type="dxa"/>
            <w:vAlign w:val="bottom"/>
          </w:tcPr>
          <w:p>
            <w:pPr>
              <w:ind w:left="180"/>
              <w:spacing w:after="0"/>
              <w:rPr>
                <w:sz w:val="20"/>
                <w:szCs w:val="20"/>
                <w:color w:val="auto"/>
              </w:rPr>
            </w:pPr>
            <w:r>
              <w:rPr>
                <w:rFonts w:ascii="Arial" w:cs="Arial" w:eastAsia="Arial" w:hAnsi="Arial"/>
                <w:sz w:val="14"/>
                <w:szCs w:val="14"/>
                <w:color w:val="auto"/>
              </w:rPr>
              <w:t>Total fixed maturity securities</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10,561</w:t>
            </w:r>
          </w:p>
        </w:tc>
        <w:tc>
          <w:tcPr>
            <w:tcW w:w="120" w:type="dxa"/>
            <w:vAlign w:val="bottom"/>
            <w:vMerge w:val="restart"/>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51"/>
              <w:spacing w:after="0"/>
              <w:rPr>
                <w:sz w:val="20"/>
                <w:szCs w:val="20"/>
                <w:color w:val="auto"/>
              </w:rPr>
            </w:pPr>
            <w:r>
              <w:rPr>
                <w:rFonts w:ascii="Arial" w:cs="Arial" w:eastAsia="Arial" w:hAnsi="Arial"/>
                <w:sz w:val="14"/>
                <w:szCs w:val="14"/>
                <w:color w:val="auto"/>
              </w:rPr>
              <w:t>5,403</w:t>
            </w:r>
          </w:p>
        </w:tc>
        <w:tc>
          <w:tcPr>
            <w:tcW w:w="100" w:type="dxa"/>
            <w:vAlign w:val="bottom"/>
            <w:vMerge w:val="restart"/>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4"/>
                <w:szCs w:val="14"/>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ind w:right="30"/>
              <w:spacing w:after="0"/>
              <w:rPr>
                <w:sz w:val="20"/>
                <w:szCs w:val="20"/>
                <w:color w:val="auto"/>
              </w:rPr>
            </w:pPr>
            <w:r>
              <w:rPr>
                <w:rFonts w:ascii="Arial" w:cs="Arial" w:eastAsia="Arial" w:hAnsi="Arial"/>
                <w:sz w:val="14"/>
                <w:szCs w:val="14"/>
                <w:color w:val="auto"/>
              </w:rPr>
              <w:t>17,060</w:t>
            </w:r>
          </w:p>
        </w:tc>
        <w:tc>
          <w:tcPr>
            <w:tcW w:w="120" w:type="dxa"/>
            <w:vAlign w:val="bottom"/>
            <w:vMerge w:val="restart"/>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51"/>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2,757</w:t>
            </w:r>
          </w:p>
        </w:tc>
        <w:tc>
          <w:tcPr>
            <w:tcW w:w="120" w:type="dxa"/>
            <w:vAlign w:val="bottom"/>
            <w:vMerge w:val="restart"/>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50"/>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00"/>
        </w:trPr>
        <w:tc>
          <w:tcPr>
            <w:tcW w:w="236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vMerge w:val="continue"/>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vMerge w:val="continue"/>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vMerge w:val="continue"/>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vMerge w:val="continue"/>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3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Equity securities:</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17</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10</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57</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40</w:t>
            </w:r>
          </w:p>
        </w:tc>
        <w:tc>
          <w:tcPr>
            <w:tcW w:w="30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60"/>
        </w:trPr>
        <w:tc>
          <w:tcPr>
            <w:tcW w:w="236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60" w:type="dxa"/>
            <w:vAlign w:val="bottom"/>
            <w:gridSpan w:val="2"/>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bottom w:val="single" w:sz="8" w:color="CCEEFF"/>
            </w:tcBorders>
            <w:vMerge w:val="restart"/>
          </w:tcPr>
          <w:p>
            <w:pPr>
              <w:ind w:left="20"/>
              <w:spacing w:after="0" w:line="157" w:lineRule="exact"/>
              <w:rPr>
                <w:sz w:val="20"/>
                <w:szCs w:val="20"/>
                <w:color w:val="auto"/>
              </w:rPr>
            </w:pPr>
            <w:r>
              <w:rPr>
                <w:rFonts w:ascii="Arial" w:cs="Arial" w:eastAsia="Arial" w:hAnsi="Arial"/>
                <w:sz w:val="14"/>
                <w:szCs w:val="14"/>
                <w:color w:val="auto"/>
              </w:rPr>
              <w:t>Total number of securities in an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3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914</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right"/>
              <w:ind w:right="51"/>
              <w:spacing w:after="0"/>
              <w:rPr>
                <w:sz w:val="20"/>
                <w:szCs w:val="20"/>
                <w:color w:val="auto"/>
              </w:rPr>
            </w:pPr>
            <w:r>
              <w:rPr>
                <w:rFonts w:ascii="Arial" w:cs="Arial" w:eastAsia="Arial" w:hAnsi="Arial"/>
                <w:sz w:val="14"/>
                <w:szCs w:val="14"/>
                <w:color w:val="auto"/>
              </w:rPr>
              <w:t>623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4"/>
                <w:szCs w:val="14"/>
                <w:color w:val="auto"/>
              </w:rPr>
              <w:t>1,711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360" w:type="dxa"/>
            <w:vAlign w:val="bottom"/>
          </w:tcPr>
          <w:p>
            <w:pPr>
              <w:ind w:left="180"/>
              <w:spacing w:after="0"/>
              <w:rPr>
                <w:sz w:val="20"/>
                <w:szCs w:val="20"/>
                <w:color w:val="auto"/>
              </w:rPr>
            </w:pPr>
            <w:r>
              <w:rPr>
                <w:rFonts w:ascii="Arial" w:cs="Arial" w:eastAsia="Arial" w:hAnsi="Arial"/>
                <w:sz w:val="14"/>
                <w:szCs w:val="14"/>
                <w:color w:val="auto"/>
              </w:rPr>
              <w:t>unrealized loss position</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Evaluation of AFS Securities for OTTI and Evaluating Temporarily Impaired AFS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Evaluation and Measurement Methodologies</w:t>
      </w:r>
    </w:p>
    <w:p>
      <w:pPr>
        <w:spacing w:after="0" w:line="117" w:lineRule="exact"/>
        <w:rPr>
          <w:sz w:val="20"/>
          <w:szCs w:val="20"/>
          <w:color w:val="auto"/>
        </w:rPr>
      </w:pPr>
    </w:p>
    <w:p>
      <w:pPr>
        <w:jc w:val="both"/>
        <w:ind w:left="340" w:firstLine="324"/>
        <w:spacing w:after="0" w:line="268" w:lineRule="auto"/>
        <w:rPr>
          <w:sz w:val="20"/>
          <w:szCs w:val="20"/>
          <w:color w:val="auto"/>
        </w:rPr>
      </w:pPr>
      <w:r>
        <w:rPr>
          <w:rFonts w:ascii="Arial" w:cs="Arial" w:eastAsia="Arial" w:hAnsi="Arial"/>
          <w:sz w:val="17"/>
          <w:szCs w:val="17"/>
          <w:color w:val="auto"/>
        </w:rPr>
        <w:t>Management considers a wide range of factors about the security issuer and uses its best judgment in evaluating the cause of the decline in the estimated fair value of the security and in assessing the prospects for near-term recovery. Inherent in management’s evaluation of the security are assumptions and estimates about the operations of the issuer and its future earnings potential. Considerations used in the impairment evaluation process include, but are not limited to: (i) the length of time and the extent to which the estimated fair value has been below cost or amortized cost; (ii) the potential for impairments when the issuer is experiencing significant financial difficulties; (iii) the potential for impairments in an entire industry sector or sub-sector; (iv) the potential for impairments in certain economically depressed geographic locations; (v) the potential for impairments where the issuer, series of issuers or industry has suffered a catastrophic loss or has exhausted natural resources; (vi) with respect to fixed maturity securities, whether the Company has the intent to sell or will more likely than not be required to sell a particular security before the decline in estimated fair value below amortized cost recovers; (vii) with respect to Structured Securities, changes in forecasted cash flows after considering the quality of underlying collateral, expected prepayment speeds, current and forecasted loss severity, consideration of the payment terms of the underlying assets backing a particular security, and the payment priority within the tranche structure of the security; (viii) the potential for impairments due to weakening of foreign currencies on non-functional currency denominated fixed maturity securities that are near maturity; and (ix) other subjective factors, including concentrations and information obtained from regulators and rating agencies.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22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Current Period Evaluation</w:t>
      </w:r>
    </w:p>
    <w:p>
      <w:pPr>
        <w:spacing w:after="0" w:line="117"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Based on the Company’s current evaluation of its AFS securities in an unrealized loss position in accordance with its impairment policy, and the Company’s current intentions and assessments (as applicable to the type of security) about holding, selling and any requirements to sell these securities, the Company concluded that these securities were not other-than-temporarily impaired at December 31, 2017.</w:t>
      </w:r>
    </w:p>
    <w:p>
      <w:pPr>
        <w:spacing w:after="0" w:line="5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Gross unrealized losses on fixed maturity securities decreased $573 million during the year ended December 31, 2017 to $349 million. The decrease in gross unrealized losses for the year ended December 31, 2017, was primarily attributable to narrowing credit spreads and decreasing longer-term interest rates.</w:t>
      </w:r>
    </w:p>
    <w:p>
      <w:pPr>
        <w:spacing w:after="0" w:line="73" w:lineRule="exact"/>
        <w:rPr>
          <w:sz w:val="20"/>
          <w:szCs w:val="20"/>
          <w:color w:val="auto"/>
        </w:rPr>
      </w:pPr>
    </w:p>
    <w:p>
      <w:pPr>
        <w:jc w:val="both"/>
        <w:ind w:left="340" w:firstLine="324"/>
        <w:spacing w:after="0" w:line="308" w:lineRule="auto"/>
        <w:rPr>
          <w:sz w:val="20"/>
          <w:szCs w:val="20"/>
          <w:color w:val="auto"/>
        </w:rPr>
      </w:pPr>
      <w:r>
        <w:rPr>
          <w:rFonts w:ascii="Arial" w:cs="Arial" w:eastAsia="Arial" w:hAnsi="Arial"/>
          <w:sz w:val="17"/>
          <w:szCs w:val="17"/>
          <w:color w:val="auto"/>
        </w:rPr>
        <w:t>At December 31, 2017, $5 million of the total $349 million of gross unrealized losses were from 10 fixed maturity securities with an unrealized loss position of 20% or more of amortized cost for six months or greater, of which $2 million were from investment grade fixed maturity securities.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Loans by Portfolio Segment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Mortgage loans are summarized as follows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w w:val="96"/>
              </w:rPr>
              <w:t>2016</w:t>
            </w:r>
          </w:p>
        </w:tc>
      </w:tr>
      <w:tr>
        <w:trPr>
          <w:trHeight w:val="152"/>
        </w:trPr>
        <w:tc>
          <w:tcPr>
            <w:tcW w:w="5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3"/>
          </w:tcPr>
          <w:p>
            <w:pPr>
              <w:jc w:val="right"/>
              <w:ind w:right="940"/>
              <w:spacing w:after="0" w:line="153" w:lineRule="exact"/>
              <w:rPr>
                <w:sz w:val="20"/>
                <w:szCs w:val="20"/>
                <w:color w:val="auto"/>
              </w:rPr>
            </w:pPr>
            <w:r>
              <w:rPr>
                <w:rFonts w:ascii="Arial" w:cs="Arial" w:eastAsia="Arial" w:hAnsi="Arial"/>
                <w:sz w:val="14"/>
                <w:szCs w:val="14"/>
                <w:b w:val="1"/>
                <w:bCs w:val="1"/>
                <w:color w:val="auto"/>
              </w:rPr>
              <w:t>Carrying</w:t>
            </w:r>
          </w:p>
        </w:tc>
        <w:tc>
          <w:tcPr>
            <w:tcW w:w="126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 of</w:t>
            </w:r>
          </w:p>
        </w:tc>
        <w:tc>
          <w:tcPr>
            <w:tcW w:w="420" w:type="dxa"/>
            <w:vAlign w:val="bottom"/>
          </w:tcPr>
          <w:p>
            <w:pPr>
              <w:spacing w:after="0"/>
              <w:rPr>
                <w:sz w:val="13"/>
                <w:szCs w:val="13"/>
                <w:color w:val="auto"/>
              </w:rPr>
            </w:pPr>
          </w:p>
        </w:tc>
        <w:tc>
          <w:tcPr>
            <w:tcW w:w="1000" w:type="dxa"/>
            <w:vAlign w:val="bottom"/>
          </w:tcPr>
          <w:p>
            <w:pPr>
              <w:jc w:val="right"/>
              <w:ind w:right="321"/>
              <w:spacing w:after="0" w:line="153" w:lineRule="exact"/>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jc w:val="right"/>
              <w:ind w:right="568"/>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5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80"/>
              <w:spacing w:after="0"/>
              <w:rPr>
                <w:sz w:val="20"/>
                <w:szCs w:val="20"/>
                <w:color w:val="auto"/>
              </w:rPr>
            </w:pPr>
            <w:r>
              <w:rPr>
                <w:rFonts w:ascii="Arial" w:cs="Arial" w:eastAsia="Arial" w:hAnsi="Arial"/>
                <w:sz w:val="14"/>
                <w:szCs w:val="14"/>
                <w:b w:val="1"/>
                <w:bCs w:val="1"/>
                <w:color w:val="auto"/>
              </w:rPr>
              <w:t>Value</w:t>
            </w:r>
          </w:p>
        </w:tc>
        <w:tc>
          <w:tcPr>
            <w:tcW w:w="12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Total</w:t>
            </w:r>
          </w:p>
        </w:tc>
      </w:tr>
      <w:tr>
        <w:trPr>
          <w:trHeight w:val="250"/>
        </w:trPr>
        <w:tc>
          <w:tcPr>
            <w:tcW w:w="5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80" w:type="dxa"/>
            <w:vAlign w:val="bottom"/>
            <w:gridSpan w:val="4"/>
          </w:tcPr>
          <w:p>
            <w:pPr>
              <w:jc w:val="right"/>
              <w:ind w:right="741"/>
              <w:spacing w:after="0"/>
              <w:rPr>
                <w:sz w:val="20"/>
                <w:szCs w:val="20"/>
                <w:color w:val="auto"/>
              </w:rPr>
            </w:pPr>
            <w:r>
              <w:rPr>
                <w:rFonts w:ascii="Arial" w:cs="Arial" w:eastAsia="Arial" w:hAnsi="Arial"/>
                <w:sz w:val="14"/>
                <w:szCs w:val="14"/>
                <w:b w:val="1"/>
                <w:bCs w:val="1"/>
                <w:color w:val="auto"/>
              </w:rPr>
              <w:t>(Dollars in millions)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loans:</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Commercial</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7,233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67.9 %</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6,497</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69.9 %</w:t>
            </w:r>
          </w:p>
        </w:tc>
      </w:tr>
      <w:tr>
        <w:trPr>
          <w:trHeight w:val="33"/>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Agricultural</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1,830</w:t>
            </w:r>
          </w:p>
        </w:tc>
        <w:tc>
          <w:tcPr>
            <w:tcW w:w="172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6"/>
                <w:szCs w:val="16"/>
                <w:color w:val="auto"/>
              </w:rPr>
              <w:t>19.7</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26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1,138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867</w:t>
            </w:r>
          </w:p>
        </w:tc>
        <w:tc>
          <w:tcPr>
            <w:tcW w:w="1720" w:type="dxa"/>
            <w:vAlign w:val="bottom"/>
            <w:gridSpan w:val="3"/>
          </w:tcPr>
          <w:p>
            <w:pPr>
              <w:jc w:val="right"/>
              <w:ind w:right="128"/>
              <w:spacing w:after="0"/>
              <w:rPr>
                <w:sz w:val="20"/>
                <w:szCs w:val="20"/>
                <w:color w:val="auto"/>
              </w:rPr>
            </w:pPr>
            <w:r>
              <w:rPr>
                <w:rFonts w:ascii="Arial" w:cs="Arial" w:eastAsia="Arial" w:hAnsi="Arial"/>
                <w:sz w:val="16"/>
                <w:szCs w:val="16"/>
                <w:color w:val="auto"/>
              </w:rPr>
              <w:t>9.3</w:t>
            </w:r>
          </w:p>
        </w:tc>
      </w:tr>
      <w:tr>
        <w:trPr>
          <w:trHeight w:val="33"/>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Subtotal (1)</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10,571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99.3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9,194</w:t>
            </w:r>
          </w:p>
        </w:tc>
        <w:tc>
          <w:tcPr>
            <w:tcW w:w="172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6"/>
                <w:szCs w:val="16"/>
                <w:color w:val="auto"/>
              </w:rPr>
              <w:t>98.9</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Valuation allowances (2)</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w:t>
            </w:r>
          </w:p>
        </w:tc>
        <w:tc>
          <w:tcPr>
            <w:tcW w:w="1720" w:type="dxa"/>
            <w:vAlign w:val="bottom"/>
            <w:gridSpan w:val="3"/>
          </w:tcPr>
          <w:p>
            <w:pPr>
              <w:jc w:val="right"/>
              <w:ind w:right="68"/>
              <w:spacing w:after="0"/>
              <w:rPr>
                <w:sz w:val="20"/>
                <w:szCs w:val="20"/>
                <w:color w:val="auto"/>
              </w:rPr>
            </w:pPr>
            <w:r>
              <w:rPr>
                <w:rFonts w:ascii="Arial" w:cs="Arial" w:eastAsia="Arial" w:hAnsi="Arial"/>
                <w:sz w:val="16"/>
                <w:szCs w:val="16"/>
                <w:color w:val="auto"/>
              </w:rPr>
              <w:t>(0.4)</w:t>
            </w:r>
          </w:p>
        </w:tc>
      </w:tr>
      <w:tr>
        <w:trPr>
          <w:trHeight w:val="33"/>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Subtotal mortgage loans, net</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10,525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98.9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9,154</w:t>
            </w:r>
          </w:p>
        </w:tc>
        <w:tc>
          <w:tcPr>
            <w:tcW w:w="172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6"/>
                <w:szCs w:val="16"/>
                <w:color w:val="auto"/>
              </w:rPr>
              <w:t>98.5</w:t>
            </w: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Commercial mortgage loans held by CSEs — FVO</w:t>
            </w:r>
          </w:p>
        </w:tc>
        <w:tc>
          <w:tcPr>
            <w:tcW w:w="26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w:t>
            </w:r>
          </w:p>
        </w:tc>
        <w:tc>
          <w:tcPr>
            <w:tcW w:w="1720" w:type="dxa"/>
            <w:vAlign w:val="bottom"/>
            <w:gridSpan w:val="3"/>
          </w:tcPr>
          <w:p>
            <w:pPr>
              <w:jc w:val="right"/>
              <w:ind w:right="128"/>
              <w:spacing w:after="0"/>
              <w:rPr>
                <w:sz w:val="20"/>
                <w:szCs w:val="20"/>
                <w:color w:val="auto"/>
              </w:rPr>
            </w:pPr>
            <w:r>
              <w:rPr>
                <w:rFonts w:ascii="Arial" w:cs="Arial" w:eastAsia="Arial" w:hAnsi="Arial"/>
                <w:sz w:val="16"/>
                <w:szCs w:val="16"/>
                <w:color w:val="auto"/>
              </w:rPr>
              <w:t>1.5</w:t>
            </w:r>
          </w:p>
        </w:tc>
      </w:tr>
      <w:tr>
        <w:trPr>
          <w:trHeight w:val="33"/>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0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mortgage loans, net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10,640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9,290</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500" w:hanging="492"/>
        <w:spacing w:after="0" w:line="255"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purchases unaffiliated mortgage loans under a master participation agreement from a former affiliate, simultaneously with the former affiliate’s origination or acquisition of mortgage loans. The aggregate amount of unaffiliated mortgage loan participation interests purchased by the Company from the former affiliate during the years ended December 31, 2017, 2016 and 2015 were $1.2 billion, $2.4 billion and $2.0 billion, respectively. In connection with the mortgage loan participations, the former affiliate collected mortgage loan principal and interest payments on the Company’s behalf and the former affiliate remitted such payments to the Company in the amount of $945 million, $1.6 billion and $1.0 billion during the years ended December 31, 2017, 2016 and 2015, respectively.</w:t>
      </w:r>
    </w:p>
    <w:p>
      <w:pPr>
        <w:spacing w:after="0" w:line="85" w:lineRule="exact"/>
        <w:rPr>
          <w:sz w:val="20"/>
          <w:szCs w:val="20"/>
          <w:color w:val="auto"/>
        </w:rPr>
      </w:pPr>
    </w:p>
    <w:p>
      <w:pPr>
        <w:ind w:left="500" w:firstLine="648"/>
        <w:spacing w:after="0" w:line="277" w:lineRule="auto"/>
        <w:rPr>
          <w:sz w:val="20"/>
          <w:szCs w:val="20"/>
          <w:color w:val="auto"/>
        </w:rPr>
      </w:pPr>
      <w:r>
        <w:rPr>
          <w:rFonts w:ascii="Arial" w:cs="Arial" w:eastAsia="Arial" w:hAnsi="Arial"/>
          <w:sz w:val="18"/>
          <w:szCs w:val="18"/>
          <w:color w:val="auto"/>
        </w:rPr>
        <w:t>Purchases of mortgage loans from third parties were $420 million and $619 million for the years ended December 31, 2017 and 2016, respectively, and were primarily comprised of residential mortgage loans.</w:t>
      </w:r>
    </w:p>
    <w:p>
      <w:pPr>
        <w:spacing w:after="0" w:line="62" w:lineRule="exact"/>
        <w:rPr>
          <w:sz w:val="20"/>
          <w:szCs w:val="20"/>
          <w:color w:val="auto"/>
        </w:rPr>
      </w:pPr>
    </w:p>
    <w:p>
      <w:pPr>
        <w:ind w:left="1140" w:right="4060" w:hanging="1132"/>
        <w:spacing w:after="0" w:line="375" w:lineRule="auto"/>
        <w:tabs>
          <w:tab w:leader="none" w:pos="49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valuation allowances were primarily from collective evaluation (non-specific loan related). See “— Variable Interest Entities” for discussion of CSEs.</w:t>
      </w:r>
    </w:p>
    <w:p>
      <w:pPr>
        <w:spacing w:after="0" w:line="1" w:lineRule="exact"/>
        <w:rPr>
          <w:sz w:val="20"/>
          <w:szCs w:val="20"/>
          <w:color w:val="auto"/>
        </w:rPr>
      </w:pPr>
    </w:p>
    <w:p>
      <w:pPr>
        <w:jc w:val="both"/>
        <w:ind w:left="500" w:firstLine="648"/>
        <w:spacing w:after="0" w:line="312" w:lineRule="auto"/>
        <w:rPr>
          <w:sz w:val="20"/>
          <w:szCs w:val="20"/>
          <w:color w:val="auto"/>
        </w:rPr>
      </w:pPr>
      <w:r>
        <w:rPr>
          <w:rFonts w:ascii="Arial" w:cs="Arial" w:eastAsia="Arial" w:hAnsi="Arial"/>
          <w:sz w:val="16"/>
          <w:szCs w:val="16"/>
          <w:color w:val="auto"/>
        </w:rPr>
        <w:t>See “— Related Party Investment Transactions” for discussion of related party mortgage loans. Information on commercial, agricultural and residential mortgage loans is presented in the tables below. Information on commercial mortgage loans held by CSEs - FVO is presented in Note 9. The Company elects the FVO for certain commercial mortgage loans and related long-term debt that are managed on a total return basis.</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420"/>
          </w:cols>
          <w:pgMar w:left="240" w:top="229" w:right="239" w:bottom="1440" w:gutter="0" w:footer="0" w:header="0"/>
          <w:type w:val="continuous"/>
        </w:sectPr>
      </w:pPr>
    </w:p>
    <w:bookmarkStart w:id="116" w:name="page117"/>
    <w:bookmarkEnd w:id="1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 (continued)</w:t>
      </w: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Valuation Allowance Methodology</w:t>
      </w:r>
    </w:p>
    <w:p>
      <w:pPr>
        <w:spacing w:after="0" w:line="117"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6"/>
          <w:szCs w:val="16"/>
          <w:color w:val="auto"/>
        </w:rPr>
        <w:t>Mortgage loans are considered to be impaired when it is probable that, based upon current information and events, the Company will be unable to collect all amounts due under the loan agreement. Specific valuation allowances are established using the same methodology for all three portfolio segments as the excess carrying value of a loan over either (i) the present value of expected future cash flows discounted at the loan’s original effective interest rate, (ii) the estimated fair value of the loan’s underlying collateral if the loan is in the process of foreclosure or otherwise collateral dependent, or</w:t>
      </w:r>
    </w:p>
    <w:p>
      <w:pPr>
        <w:spacing w:after="0" w:line="2" w:lineRule="exact"/>
        <w:rPr>
          <w:sz w:val="20"/>
          <w:szCs w:val="20"/>
          <w:color w:val="auto"/>
        </w:rPr>
      </w:pPr>
    </w:p>
    <w:p>
      <w:pPr>
        <w:jc w:val="both"/>
        <w:ind w:left="180" w:hanging="10"/>
        <w:spacing w:after="0" w:line="290" w:lineRule="auto"/>
        <w:tabs>
          <w:tab w:leader="none" w:pos="506"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loan’s observable market price. A common evaluation framework is used for establishing non-specific valuation allowances for all loan portfolio segments; however, a separate non-specific valuation allowance is calculated and maintained for each loan portfolio segment that is based on inputs unique to each loan portfolio segment. Non-specific valuation allowances are established for pools of loans with similar risk characteristics where a property-specific or market-specific risk has not been identified, but for which the Company expects to incur a credit loss. These evaluations are based upon several loan portfolio segment-specific factors, including the Company’s experience for loan losses, defaults and loss severity, and loss expectations for loans with similar risk characteristics. These evaluations are revised as conditions change and new information becomes available.</w:t>
      </w:r>
    </w:p>
    <w:p>
      <w:pPr>
        <w:spacing w:after="0" w:line="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Quality of Commercial Mortgage Loans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quality of commercial mortgage loans was as follows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Recorded Investment</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6"/>
          </w:tcPr>
          <w:p>
            <w:pPr>
              <w:jc w:val="center"/>
              <w:ind w:left="640"/>
              <w:spacing w:after="0"/>
              <w:rPr>
                <w:sz w:val="20"/>
                <w:szCs w:val="20"/>
                <w:color w:val="auto"/>
              </w:rPr>
            </w:pPr>
            <w:r>
              <w:rPr>
                <w:rFonts w:ascii="Arial" w:cs="Arial" w:eastAsia="Arial" w:hAnsi="Arial"/>
                <w:sz w:val="14"/>
                <w:szCs w:val="14"/>
                <w:b w:val="1"/>
                <w:bCs w:val="1"/>
                <w:color w:val="auto"/>
                <w:w w:val="92"/>
              </w:rPr>
              <w:t>Debt Service Coverage Ratios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Estimated</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gridSpan w:val="2"/>
            <w:vMerge w:val="restart"/>
          </w:tcPr>
          <w:p>
            <w:pPr>
              <w:ind w:left="500"/>
              <w:spacing w:after="0" w:line="139"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4"/>
                <w:szCs w:val="4"/>
                <w:color w:val="auto"/>
              </w:rPr>
            </w:pPr>
          </w:p>
        </w:tc>
        <w:tc>
          <w:tcPr>
            <w:tcW w:w="11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rPr>
              <w:t>Fair</w:t>
            </w:r>
          </w:p>
        </w:tc>
        <w:tc>
          <w:tcPr>
            <w:tcW w:w="1180" w:type="dxa"/>
            <w:vAlign w:val="bottom"/>
            <w:vMerge w:val="restart"/>
          </w:tcPr>
          <w:p>
            <w:pPr>
              <w:jc w:val="right"/>
              <w:ind w:right="360"/>
              <w:spacing w:after="0" w:line="13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65"/>
        </w:trPr>
        <w:tc>
          <w:tcPr>
            <w:tcW w:w="2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&gt; 1.20x</w:t>
            </w:r>
          </w:p>
        </w:tc>
        <w:tc>
          <w:tcPr>
            <w:tcW w:w="180" w:type="dxa"/>
            <w:vAlign w:val="bottom"/>
          </w:tcPr>
          <w:p>
            <w:pPr>
              <w:spacing w:after="0"/>
              <w:rPr>
                <w:sz w:val="5"/>
                <w:szCs w:val="5"/>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1.00x - 1.20x</w:t>
            </w:r>
          </w:p>
        </w:tc>
        <w:tc>
          <w:tcPr>
            <w:tcW w:w="300" w:type="dxa"/>
            <w:vAlign w:val="bottom"/>
          </w:tcPr>
          <w:p>
            <w:pPr>
              <w:spacing w:after="0"/>
              <w:rPr>
                <w:sz w:val="5"/>
                <w:szCs w:val="5"/>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&lt; 1.00x</w:t>
            </w:r>
          </w:p>
        </w:tc>
        <w:tc>
          <w:tcPr>
            <w:tcW w:w="300" w:type="dxa"/>
            <w:vAlign w:val="bottom"/>
          </w:tcPr>
          <w:p>
            <w:pPr>
              <w:spacing w:after="0"/>
              <w:rPr>
                <w:sz w:val="5"/>
                <w:szCs w:val="5"/>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4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40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2017</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Loan-to-value ratios: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than 65%</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6,493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6,654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65% to 75%</w:t>
            </w: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656</w:t>
            </w:r>
          </w:p>
        </w:tc>
        <w:tc>
          <w:tcPr>
            <w:tcW w:w="120" w:type="dxa"/>
            <w:vAlign w:val="bottom"/>
          </w:tcPr>
          <w:p>
            <w:pPr>
              <w:spacing w:after="0"/>
              <w:rPr>
                <w:sz w:val="20"/>
                <w:szCs w:val="20"/>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658</w:t>
            </w:r>
          </w:p>
        </w:tc>
        <w:tc>
          <w:tcPr>
            <w:tcW w:w="120" w:type="dxa"/>
            <w:vAlign w:val="bottom"/>
          </w:tcPr>
          <w:p>
            <w:pPr>
              <w:spacing w:after="0"/>
              <w:rPr>
                <w:sz w:val="20"/>
                <w:szCs w:val="20"/>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76% to 80%</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Greater than 80%</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2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6,851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7,233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7,392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20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December 31, 2016</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Loan-to-value ratios: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Less than 65%</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5,718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6,115</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6,197</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65% to 75%</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76% to 80%</w:t>
            </w:r>
          </w:p>
        </w:tc>
        <w:tc>
          <w:tcPr>
            <w:tcW w:w="2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Greater than 80%</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44"/>
        </w:trPr>
        <w:tc>
          <w:tcPr>
            <w:tcW w:w="2080" w:type="dxa"/>
            <w:vAlign w:val="bottom"/>
          </w:tcPr>
          <w:p>
            <w:pPr>
              <w:ind w:left="20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6,067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6,497</w:t>
            </w:r>
          </w:p>
        </w:tc>
        <w:tc>
          <w:tcPr>
            <w:tcW w:w="120" w:type="dxa"/>
            <w:vAlign w:val="bottom"/>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6,570</w:t>
            </w:r>
          </w:p>
        </w:tc>
        <w:tc>
          <w:tcPr>
            <w:tcW w:w="120" w:type="dxa"/>
            <w:vAlign w:val="bottom"/>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22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364"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Credit Quality of Agricultural Mortgage Loans</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credit quality of agricultural mortgage loans was as follows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264"/>
        </w:trPr>
        <w:tc>
          <w:tcPr>
            <w:tcW w:w="5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ind w:right="1305"/>
              <w:spacing w:after="0"/>
              <w:rPr>
                <w:sz w:val="20"/>
                <w:szCs w:val="20"/>
                <w:color w:val="auto"/>
              </w:rPr>
            </w:pPr>
            <w:r>
              <w:rPr>
                <w:rFonts w:ascii="Arial" w:cs="Arial" w:eastAsia="Arial" w:hAnsi="Arial"/>
                <w:sz w:val="14"/>
                <w:szCs w:val="14"/>
                <w:b w:val="1"/>
                <w:bCs w:val="1"/>
                <w:color w:val="auto"/>
                <w:w w:val="96"/>
              </w:rPr>
              <w:t>2016</w:t>
            </w:r>
          </w:p>
        </w:tc>
      </w:tr>
      <w:tr>
        <w:trPr>
          <w:trHeight w:val="152"/>
        </w:trPr>
        <w:tc>
          <w:tcPr>
            <w:tcW w:w="5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3"/>
          </w:tcPr>
          <w:p>
            <w:pPr>
              <w:jc w:val="center"/>
              <w:ind w:right="720"/>
              <w:spacing w:after="0" w:line="153" w:lineRule="exact"/>
              <w:rPr>
                <w:sz w:val="20"/>
                <w:szCs w:val="20"/>
                <w:color w:val="auto"/>
              </w:rPr>
            </w:pPr>
            <w:r>
              <w:rPr>
                <w:rFonts w:ascii="Arial" w:cs="Arial" w:eastAsia="Arial" w:hAnsi="Arial"/>
                <w:sz w:val="14"/>
                <w:szCs w:val="14"/>
                <w:b w:val="1"/>
                <w:bCs w:val="1"/>
                <w:color w:val="auto"/>
                <w:w w:val="92"/>
              </w:rPr>
              <w:t>Recorded</w:t>
            </w:r>
          </w:p>
        </w:tc>
        <w:tc>
          <w:tcPr>
            <w:tcW w:w="126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3"/>
                <w:szCs w:val="13"/>
                <w:color w:val="auto"/>
              </w:rPr>
            </w:pPr>
          </w:p>
        </w:tc>
        <w:tc>
          <w:tcPr>
            <w:tcW w:w="1020" w:type="dxa"/>
            <w:vAlign w:val="bottom"/>
          </w:tcPr>
          <w:p>
            <w:pPr>
              <w:jc w:val="right"/>
              <w:ind w:right="283"/>
              <w:spacing w:after="0" w:line="153" w:lineRule="exact"/>
              <w:rPr>
                <w:sz w:val="20"/>
                <w:szCs w:val="20"/>
                <w:color w:val="auto"/>
              </w:rPr>
            </w:pPr>
            <w:r>
              <w:rPr>
                <w:rFonts w:ascii="Arial" w:cs="Arial" w:eastAsia="Arial" w:hAnsi="Arial"/>
                <w:sz w:val="14"/>
                <w:szCs w:val="14"/>
                <w:b w:val="1"/>
                <w:bCs w:val="1"/>
                <w:color w:val="auto"/>
                <w:w w:val="99"/>
              </w:rPr>
              <w:t>Recorded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right"/>
              <w:ind w:right="545"/>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5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720"/>
              <w:spacing w:after="0"/>
              <w:rPr>
                <w:sz w:val="20"/>
                <w:szCs w:val="20"/>
                <w:color w:val="auto"/>
              </w:rPr>
            </w:pPr>
            <w:r>
              <w:rPr>
                <w:rFonts w:ascii="Arial" w:cs="Arial" w:eastAsia="Arial" w:hAnsi="Arial"/>
                <w:sz w:val="14"/>
                <w:szCs w:val="14"/>
                <w:b w:val="1"/>
                <w:bCs w:val="1"/>
                <w:color w:val="auto"/>
                <w:w w:val="91"/>
              </w:rPr>
              <w:t>Investment</w:t>
            </w:r>
          </w:p>
        </w:tc>
        <w:tc>
          <w:tcPr>
            <w:tcW w:w="12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w w:val="91"/>
              </w:rPr>
              <w:t>Investment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Total</w:t>
            </w:r>
          </w:p>
        </w:tc>
      </w:tr>
      <w:tr>
        <w:trPr>
          <w:trHeight w:val="250"/>
        </w:trPr>
        <w:tc>
          <w:tcPr>
            <w:tcW w:w="5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60" w:type="dxa"/>
            <w:vAlign w:val="bottom"/>
            <w:gridSpan w:val="4"/>
          </w:tcPr>
          <w:p>
            <w:pPr>
              <w:jc w:val="right"/>
              <w:ind w:right="743"/>
              <w:spacing w:after="0"/>
              <w:rPr>
                <w:sz w:val="20"/>
                <w:szCs w:val="20"/>
                <w:color w:val="auto"/>
              </w:rPr>
            </w:pPr>
            <w:r>
              <w:rPr>
                <w:rFonts w:ascii="Arial" w:cs="Arial" w:eastAsia="Arial" w:hAnsi="Arial"/>
                <w:sz w:val="14"/>
                <w:szCs w:val="14"/>
                <w:b w:val="1"/>
                <w:bCs w:val="1"/>
                <w:color w:val="auto"/>
              </w:rPr>
              <w:t>(Dollars in millions)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6"/>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Loan-to-value ratios:</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Less than 65%</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2,039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1,789</w:t>
            </w:r>
          </w:p>
        </w:tc>
        <w:tc>
          <w:tcPr>
            <w:tcW w:w="1700" w:type="dxa"/>
            <w:vAlign w:val="bottom"/>
            <w:gridSpan w:val="3"/>
          </w:tcPr>
          <w:p>
            <w:pPr>
              <w:jc w:val="right"/>
              <w:spacing w:after="0"/>
              <w:rPr>
                <w:sz w:val="20"/>
                <w:szCs w:val="20"/>
                <w:color w:val="auto"/>
              </w:rPr>
            </w:pPr>
            <w:r>
              <w:rPr>
                <w:rFonts w:ascii="Arial" w:cs="Arial" w:eastAsia="Arial" w:hAnsi="Arial"/>
                <w:sz w:val="16"/>
                <w:szCs w:val="16"/>
                <w:color w:val="auto"/>
              </w:rPr>
              <w:t>97.8%</w:t>
            </w:r>
          </w:p>
        </w:tc>
      </w:tr>
      <w:tr>
        <w:trPr>
          <w:trHeight w:val="33"/>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65% to 75%</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700" w:type="dxa"/>
            <w:vAlign w:val="bottom"/>
            <w:tcBorders>
              <w:bottom w:val="single" w:sz="8" w:color="CCEEFF"/>
            </w:tcBorders>
            <w:gridSpan w:val="3"/>
            <w:shd w:val="clear" w:color="auto" w:fill="CCEEFF"/>
          </w:tcPr>
          <w:p>
            <w:pPr>
              <w:jc w:val="right"/>
              <w:ind w:right="85"/>
              <w:spacing w:after="0"/>
              <w:rPr>
                <w:sz w:val="20"/>
                <w:szCs w:val="20"/>
                <w:color w:val="auto"/>
              </w:rPr>
            </w:pPr>
            <w:r>
              <w:rPr>
                <w:rFonts w:ascii="Arial" w:cs="Arial" w:eastAsia="Arial" w:hAnsi="Arial"/>
                <w:sz w:val="16"/>
                <w:szCs w:val="16"/>
                <w:color w:val="auto"/>
              </w:rPr>
              <w:t>2.2</w:t>
            </w:r>
          </w:p>
        </w:tc>
      </w:tr>
      <w:tr>
        <w:trPr>
          <w:trHeight w:val="244"/>
        </w:trPr>
        <w:tc>
          <w:tcPr>
            <w:tcW w:w="5120" w:type="dxa"/>
            <w:vAlign w:val="bottom"/>
          </w:tcPr>
          <w:p>
            <w:pPr>
              <w:ind w:left="20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2,200</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1,830</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estimated fair value of agricultural mortgage loans was $2.2 billion and $1.9 billion at December 31, 2017 and 2016, respectively.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Quality of Residential Mortgage Loans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quality of residential mortgage loans was as follows at: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5"/>
          </w:tcPr>
          <w:p>
            <w:pPr>
              <w:jc w:val="center"/>
              <w:ind w:right="740"/>
              <w:spacing w:after="0"/>
              <w:rPr>
                <w:sz w:val="20"/>
                <w:szCs w:val="20"/>
                <w:color w:val="auto"/>
              </w:rPr>
            </w:pPr>
            <w:r>
              <w:rPr>
                <w:rFonts w:ascii="Arial" w:cs="Arial" w:eastAsia="Arial" w:hAnsi="Arial"/>
                <w:sz w:val="14"/>
                <w:szCs w:val="14"/>
                <w:b w:val="1"/>
                <w:bCs w:val="1"/>
                <w:color w:val="auto"/>
                <w:w w:val="92"/>
              </w:rPr>
              <w:t>December 31,</w:t>
            </w:r>
          </w:p>
        </w:tc>
        <w:tc>
          <w:tcPr>
            <w:tcW w:w="1400" w:type="dxa"/>
            <w:vAlign w:val="bottom"/>
            <w:tcBorders>
              <w:bottom w:val="single" w:sz="8" w:color="auto"/>
            </w:tcBorders>
          </w:tcPr>
          <w:p>
            <w:pPr>
              <w:spacing w:after="0"/>
              <w:rPr>
                <w:sz w:val="16"/>
                <w:szCs w:val="16"/>
                <w:color w:val="auto"/>
              </w:rPr>
            </w:pPr>
          </w:p>
        </w:tc>
      </w:tr>
      <w:tr>
        <w:trPr>
          <w:trHeight w:val="264"/>
        </w:trPr>
        <w:tc>
          <w:tcPr>
            <w:tcW w:w="44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1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1400" w:type="dxa"/>
            <w:vAlign w:val="bottom"/>
            <w:tcBorders>
              <w:bottom w:val="single" w:sz="8" w:color="auto"/>
            </w:tcBorders>
          </w:tcPr>
          <w:p>
            <w:pPr>
              <w:spacing w:after="0"/>
              <w:rPr>
                <w:sz w:val="22"/>
                <w:szCs w:val="22"/>
                <w:color w:val="auto"/>
              </w:rPr>
            </w:pPr>
          </w:p>
        </w:tc>
      </w:tr>
      <w:tr>
        <w:trPr>
          <w:trHeight w:val="264"/>
        </w:trPr>
        <w:tc>
          <w:tcPr>
            <w:tcW w:w="44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w w:val="95"/>
              </w:rPr>
              <w:t>Recorded Investment</w:t>
            </w:r>
          </w:p>
        </w:tc>
        <w:tc>
          <w:tcPr>
            <w:tcW w:w="15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 of Total</w:t>
            </w:r>
          </w:p>
        </w:tc>
        <w:tc>
          <w:tcPr>
            <w:tcW w:w="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95"/>
              </w:rPr>
              <w:t>Recorded Investment</w:t>
            </w:r>
          </w:p>
        </w:tc>
        <w:tc>
          <w:tcPr>
            <w:tcW w:w="14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 of Total</w:t>
            </w:r>
          </w:p>
        </w:tc>
      </w:tr>
      <w:tr>
        <w:trPr>
          <w:trHeight w:val="196"/>
        </w:trPr>
        <w:tc>
          <w:tcPr>
            <w:tcW w:w="4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2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93"/>
              </w:rPr>
              <w:t>(Dollars in millions)</w:t>
            </w:r>
          </w:p>
        </w:tc>
        <w:tc>
          <w:tcPr>
            <w:tcW w:w="1400" w:type="dxa"/>
            <w:vAlign w:val="bottom"/>
          </w:tcPr>
          <w:p>
            <w:pPr>
              <w:spacing w:after="0"/>
              <w:rPr>
                <w:sz w:val="17"/>
                <w:szCs w:val="17"/>
                <w:color w:val="auto"/>
              </w:rPr>
            </w:pPr>
          </w:p>
        </w:tc>
      </w:tr>
      <w:tr>
        <w:trPr>
          <w:trHeight w:val="256"/>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Performance indicators:</w:t>
            </w: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6"/>
                <w:szCs w:val="16"/>
                <w:color w:val="auto"/>
              </w:rPr>
              <w:t>Performing</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23"/>
              <w:spacing w:after="0"/>
              <w:rPr>
                <w:sz w:val="20"/>
                <w:szCs w:val="20"/>
                <w:color w:val="auto"/>
              </w:rPr>
            </w:pPr>
            <w:r>
              <w:rPr>
                <w:rFonts w:ascii="Arial" w:cs="Arial" w:eastAsia="Arial" w:hAnsi="Arial"/>
                <w:sz w:val="16"/>
                <w:szCs w:val="16"/>
                <w:color w:val="auto"/>
              </w:rPr>
              <w:t>1,106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97.2%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23"/>
              <w:spacing w:after="0"/>
              <w:rPr>
                <w:sz w:val="20"/>
                <w:szCs w:val="20"/>
                <w:color w:val="auto"/>
              </w:rPr>
            </w:pPr>
            <w:r>
              <w:rPr>
                <w:rFonts w:ascii="Arial" w:cs="Arial" w:eastAsia="Arial" w:hAnsi="Arial"/>
                <w:sz w:val="16"/>
                <w:szCs w:val="16"/>
                <w:color w:val="auto"/>
              </w:rPr>
              <w:t>856</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98.7%</w:t>
            </w:r>
          </w:p>
        </w:tc>
      </w:tr>
      <w:tr>
        <w:trPr>
          <w:trHeight w:val="33"/>
        </w:trPr>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Nonperforming</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1.3</w:t>
            </w:r>
          </w:p>
        </w:tc>
      </w:tr>
      <w:tr>
        <w:trPr>
          <w:trHeight w:val="217"/>
        </w:trPr>
        <w:tc>
          <w:tcPr>
            <w:tcW w:w="4440" w:type="dxa"/>
            <w:vAlign w:val="bottom"/>
          </w:tcPr>
          <w:p>
            <w:pPr>
              <w:ind w:left="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1,138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867</w:t>
            </w:r>
          </w:p>
        </w:tc>
        <w:tc>
          <w:tcPr>
            <w:tcW w:w="12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4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right="1240" w:firstLine="324"/>
        <w:spacing w:after="0" w:line="375" w:lineRule="auto"/>
        <w:rPr>
          <w:sz w:val="20"/>
          <w:szCs w:val="20"/>
          <w:color w:val="auto"/>
        </w:rPr>
      </w:pPr>
      <w:r>
        <w:rPr>
          <w:rFonts w:ascii="Arial" w:cs="Arial" w:eastAsia="Arial" w:hAnsi="Arial"/>
          <w:sz w:val="18"/>
          <w:szCs w:val="18"/>
          <w:color w:val="auto"/>
        </w:rPr>
        <w:t xml:space="preserve">The estimated fair value of residential mortgage loans was $1.2 billion and $867 million at December 31, 2017 and 2016, respectively. </w:t>
      </w:r>
      <w:r>
        <w:rPr>
          <w:rFonts w:ascii="Arial" w:cs="Arial" w:eastAsia="Arial" w:hAnsi="Arial"/>
          <w:sz w:val="18"/>
          <w:szCs w:val="18"/>
          <w:b w:val="1"/>
          <w:bCs w:val="1"/>
          <w:i w:val="1"/>
          <w:iCs w:val="1"/>
          <w:u w:val="single" w:color="auto"/>
          <w:color w:val="auto"/>
        </w:rPr>
        <w:t>Past Due, Nonaccrual and Modified Mortgage Loans</w:t>
      </w:r>
    </w:p>
    <w:p>
      <w:pPr>
        <w:spacing w:after="0" w:line="1"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Company has a high quality, well performing, mortgage loan portfolio, with over 99% of all mortgage loans classified as performing at both December 31, 2017 and 2016. The Company defines delinquency consistent with industry practice, when mortgage loans are past due as follows: commercial and residential mortgage loans — 60 days and agricultural mortgage loans — 90 days. The Company had no commercial or agricultural mortgage loans past due and no commercial or agricultural mortgage loans in nonaccrual status at either December 31, 2017 or 2016. The recorded investment of residential mortgage loans past due and in nonaccrual status was $32 million and $11 million at December 31, 2017 and 2016, respectively. During the years ended December 31, 2017 and 2016, the Company did not have a significant amount of mortgage loans modified in a troubled debt restructuring.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Freestanding derivatives with positive estimated fair values and loans to affiliates comprise over 80% of other invested assets. See Note 8 for information about freestanding derivatives with positive estimated fair values and see “— Related Party Investment Transactions” for information regarding loans to affiliates. Other invested assets also includes tax credit and renewable energy partnerships and leveraged leases.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22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Leveraged Leases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Investment in leveraged leases consisted of the following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6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Rental receivables, net</w:t>
            </w:r>
          </w:p>
        </w:tc>
        <w:tc>
          <w:tcPr>
            <w:tcW w:w="102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Estimated residual values</w:t>
            </w:r>
          </w:p>
        </w:tc>
        <w:tc>
          <w:tcPr>
            <w:tcW w:w="1020" w:type="dxa"/>
            <w:vAlign w:val="bottom"/>
          </w:tcPr>
          <w:p>
            <w:pPr>
              <w:spacing w:after="0"/>
              <w:rPr>
                <w:sz w:val="20"/>
                <w:szCs w:val="20"/>
                <w:color w:val="auto"/>
              </w:rPr>
            </w:pPr>
          </w:p>
        </w:tc>
        <w:tc>
          <w:tcPr>
            <w:tcW w:w="480" w:type="dxa"/>
            <w:vAlign w:val="bottom"/>
          </w:tcPr>
          <w:p>
            <w:pPr>
              <w:jc w:val="right"/>
              <w:ind w:right="42"/>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14</w:t>
            </w:r>
          </w:p>
        </w:tc>
      </w:tr>
      <w:tr>
        <w:trPr>
          <w:trHeight w:val="33"/>
        </w:trPr>
        <w:tc>
          <w:tcPr>
            <w:tcW w:w="8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Subtotal</w:t>
            </w:r>
          </w:p>
        </w:tc>
        <w:tc>
          <w:tcPr>
            <w:tcW w:w="10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Unearned income</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8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Investment in leveraged leases, net of non-recourse debt</w:t>
            </w:r>
          </w:p>
        </w:tc>
        <w:tc>
          <w:tcPr>
            <w:tcW w:w="1020" w:type="dxa"/>
            <w:vAlign w:val="bottom"/>
            <w:tcBorders>
              <w:bottom w:val="single" w:sz="8" w:color="auto"/>
            </w:tcBorders>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69</w:t>
            </w:r>
          </w:p>
        </w:tc>
      </w:tr>
      <w:tr>
        <w:trPr>
          <w:trHeight w:val="20"/>
        </w:trPr>
        <w:tc>
          <w:tcPr>
            <w:tcW w:w="8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Rental receivables are generally due in periodic installments. The payment periods for leveraged leases generally range from one to 15 years. For rental receivables, the primary credit quality indicator is whether the rental receivable is performing or nonperforming, which is assessed monthly. The Company generally defines nonperforming rental receivables as those that are 90 days or more past due. At December 31, 2017 and 2016, all leverage leases were performing.</w:t>
      </w:r>
    </w:p>
    <w:p>
      <w:pPr>
        <w:spacing w:after="0" w:line="79" w:lineRule="exact"/>
        <w:rPr>
          <w:sz w:val="20"/>
          <w:szCs w:val="20"/>
          <w:color w:val="auto"/>
        </w:rPr>
      </w:pPr>
    </w:p>
    <w:p>
      <w:pPr>
        <w:ind w:right="900" w:firstLine="486"/>
        <w:spacing w:after="0" w:line="375" w:lineRule="auto"/>
        <w:rPr>
          <w:sz w:val="20"/>
          <w:szCs w:val="20"/>
          <w:color w:val="auto"/>
        </w:rPr>
      </w:pPr>
      <w:r>
        <w:rPr>
          <w:rFonts w:ascii="Arial" w:cs="Arial" w:eastAsia="Arial" w:hAnsi="Arial"/>
          <w:sz w:val="18"/>
          <w:szCs w:val="18"/>
          <w:color w:val="auto"/>
        </w:rPr>
        <w:t xml:space="preserve">The deferred income tax liability related to leveraged leases was $43 million and $74 million at December 31, 2017 and 2016, respectively. </w:t>
      </w:r>
      <w:r>
        <w:rPr>
          <w:rFonts w:ascii="Arial" w:cs="Arial" w:eastAsia="Arial" w:hAnsi="Arial"/>
          <w:sz w:val="18"/>
          <w:szCs w:val="18"/>
          <w:b w:val="1"/>
          <w:bCs w:val="1"/>
          <w:i w:val="1"/>
          <w:iCs w:val="1"/>
          <w:color w:val="auto"/>
        </w:rPr>
        <w:t>Cash Equivalents</w:t>
      </w:r>
    </w:p>
    <w:p>
      <w:pPr>
        <w:spacing w:after="0" w:line="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carrying value of cash equivalents, which includes securities and other investments with an original or remaining maturity of three months or less at the time of purchase, was $1.0 billion and $4.7 billion at December 31, 2017 and 2016,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Investment Gains (Losses)</w:t>
      </w:r>
    </w:p>
    <w:p>
      <w:pPr>
        <w:spacing w:after="0" w:line="171"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Unrealized investment gains (losses) on fixed maturity and equity securities AFS and the effect on DAC, VOBA, DSI and future policy benefits, that would result from the realization of the unrealized gains (losses), are included in net unrealized investment gains (losses) in AOCI.</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22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net unrealized investment gains (losses), included in AOCI,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8"/>
          </w:tcPr>
          <w:p>
            <w:pPr>
              <w:jc w:val="center"/>
              <w:ind w:left="540"/>
              <w:spacing w:after="0"/>
              <w:rPr>
                <w:sz w:val="20"/>
                <w:szCs w:val="20"/>
                <w:color w:val="auto"/>
              </w:rPr>
            </w:pPr>
            <w:r>
              <w:rPr>
                <w:rFonts w:ascii="Arial" w:cs="Arial" w:eastAsia="Arial" w:hAnsi="Arial"/>
                <w:sz w:val="14"/>
                <w:szCs w:val="14"/>
                <w:b w:val="1"/>
                <w:bCs w:val="1"/>
                <w:color w:val="auto"/>
                <w:w w:val="92"/>
              </w:rPr>
              <w:t>Years Ended December 31,</w:t>
            </w:r>
          </w:p>
        </w:tc>
        <w:tc>
          <w:tcPr>
            <w:tcW w:w="8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7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2,600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60" w:type="dxa"/>
            <w:vAlign w:val="bottom"/>
          </w:tcPr>
          <w:p>
            <w:pPr>
              <w:ind w:left="20"/>
              <w:spacing w:after="0"/>
              <w:rPr>
                <w:sz w:val="20"/>
                <w:szCs w:val="20"/>
                <w:color w:val="auto"/>
              </w:rPr>
            </w:pPr>
            <w:r>
              <w:rPr>
                <w:rFonts w:ascii="Arial" w:cs="Arial" w:eastAsia="Arial" w:hAnsi="Arial"/>
                <w:sz w:val="16"/>
                <w:szCs w:val="16"/>
                <w:color w:val="auto"/>
              </w:rPr>
              <w:t>Fixed maturity securities with noncredit OTTI losses included in AOCI</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fixed maturity securities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4,724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2,601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6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6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6"/>
                <w:szCs w:val="16"/>
                <w:color w:val="auto"/>
              </w:rPr>
              <w:t>Subtotal</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4,986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3,047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allocated from:</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60" w:type="dxa"/>
            <w:vAlign w:val="bottom"/>
          </w:tcPr>
          <w:p>
            <w:pPr>
              <w:ind w:left="20"/>
              <w:spacing w:after="0"/>
              <w:rPr>
                <w:sz w:val="20"/>
                <w:szCs w:val="20"/>
                <w:color w:val="auto"/>
              </w:rPr>
            </w:pPr>
            <w:r>
              <w:rPr>
                <w:rFonts w:ascii="Arial" w:cs="Arial" w:eastAsia="Arial" w:hAnsi="Arial"/>
                <w:sz w:val="16"/>
                <w:szCs w:val="16"/>
                <w:color w:val="auto"/>
              </w:rPr>
              <w:t>Future policy benefits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DAC and VOBA related to noncredit OTTI losses recognized in AOCI</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60" w:type="dxa"/>
            <w:vAlign w:val="bottom"/>
          </w:tcPr>
          <w:p>
            <w:pPr>
              <w:ind w:left="20"/>
              <w:spacing w:after="0"/>
              <w:rPr>
                <w:sz w:val="20"/>
                <w:szCs w:val="20"/>
                <w:color w:val="auto"/>
              </w:rPr>
            </w:pPr>
            <w:r>
              <w:rPr>
                <w:rFonts w:ascii="Arial" w:cs="Arial" w:eastAsia="Arial" w:hAnsi="Arial"/>
                <w:sz w:val="16"/>
                <w:szCs w:val="16"/>
                <w:color w:val="auto"/>
              </w:rPr>
              <w:t>DAC, VOBA and DSI</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Subtotal</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tcPr>
          <w:p>
            <w:pPr>
              <w:ind w:left="20"/>
              <w:spacing w:after="0"/>
              <w:rPr>
                <w:sz w:val="20"/>
                <w:szCs w:val="20"/>
                <w:color w:val="auto"/>
              </w:rPr>
            </w:pPr>
            <w:r>
              <w:rPr>
                <w:rFonts w:ascii="Arial" w:cs="Arial" w:eastAsia="Arial" w:hAnsi="Arial"/>
                <w:sz w:val="16"/>
                <w:szCs w:val="16"/>
                <w:color w:val="auto"/>
              </w:rPr>
              <w:t>Deferred income tax benefit (expense) related to noncredit OTTI losses recognized in AOCI</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 benefit (expense)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tcPr>
          <w:p>
            <w:pPr>
              <w:ind w:left="520"/>
              <w:spacing w:after="0"/>
              <w:rPr>
                <w:sz w:val="20"/>
                <w:szCs w:val="20"/>
                <w:color w:val="auto"/>
              </w:rPr>
            </w:pPr>
            <w:r>
              <w:rPr>
                <w:rFonts w:ascii="Arial" w:cs="Arial" w:eastAsia="Arial" w:hAnsi="Arial"/>
                <w:sz w:val="16"/>
                <w:szCs w:val="16"/>
                <w:color w:val="auto"/>
              </w:rPr>
              <w:t>Net unrealized investment gains (losses)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1,860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760" w:type="dxa"/>
            <w:vAlign w:val="bottom"/>
            <w:vMerge w:val="restart"/>
          </w:tcPr>
          <w:p>
            <w:pPr>
              <w:ind w:left="320"/>
              <w:spacing w:after="0"/>
              <w:rPr>
                <w:sz w:val="20"/>
                <w:szCs w:val="20"/>
                <w:color w:val="auto"/>
              </w:rPr>
            </w:pPr>
            <w:r>
              <w:rPr>
                <w:rFonts w:ascii="Arial" w:cs="Arial" w:eastAsia="Arial" w:hAnsi="Arial"/>
                <w:sz w:val="18"/>
                <w:szCs w:val="18"/>
                <w:color w:val="auto"/>
              </w:rPr>
              <w:t>The changes in net unrealized investment gains (losses) were as follows: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7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8"/>
          </w:tcPr>
          <w:p>
            <w:pPr>
              <w:jc w:val="center"/>
              <w:ind w:left="540"/>
              <w:spacing w:after="0"/>
              <w:rPr>
                <w:sz w:val="20"/>
                <w:szCs w:val="20"/>
                <w:color w:val="auto"/>
              </w:rPr>
            </w:pPr>
            <w:r>
              <w:rPr>
                <w:rFonts w:ascii="Arial" w:cs="Arial" w:eastAsia="Arial" w:hAnsi="Arial"/>
                <w:sz w:val="14"/>
                <w:szCs w:val="14"/>
                <w:b w:val="1"/>
                <w:bCs w:val="1"/>
                <w:color w:val="auto"/>
                <w:w w:val="92"/>
              </w:rPr>
              <w:t>Years Ended December 31,</w:t>
            </w: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7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January 1,</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2,628</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60" w:type="dxa"/>
            <w:vAlign w:val="bottom"/>
          </w:tcPr>
          <w:p>
            <w:pPr>
              <w:ind w:left="20"/>
              <w:spacing w:after="0"/>
              <w:rPr>
                <w:sz w:val="20"/>
                <w:szCs w:val="20"/>
                <w:color w:val="auto"/>
              </w:rPr>
            </w:pPr>
            <w:r>
              <w:rPr>
                <w:rFonts w:ascii="Arial" w:cs="Arial" w:eastAsia="Arial" w:hAnsi="Arial"/>
                <w:sz w:val="16"/>
                <w:szCs w:val="16"/>
                <w:color w:val="auto"/>
              </w:rPr>
              <w:t>Fixed maturity securities on which noncredit OTTI losses have been recognized</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Unrealized investment gains (losses) during the year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60" w:type="dxa"/>
            <w:vAlign w:val="bottom"/>
          </w:tcPr>
          <w:p>
            <w:pPr>
              <w:ind w:left="20"/>
              <w:spacing w:after="0"/>
              <w:rPr>
                <w:sz w:val="20"/>
                <w:szCs w:val="20"/>
                <w:color w:val="auto"/>
              </w:rPr>
            </w:pPr>
            <w:r>
              <w:rPr>
                <w:rFonts w:ascii="Arial" w:cs="Arial" w:eastAsia="Arial" w:hAnsi="Arial"/>
                <w:sz w:val="16"/>
                <w:szCs w:val="16"/>
                <w:color w:val="auto"/>
              </w:rPr>
              <w:t>Unrealized investment gains (losses) relating to:</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Future policy benefits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60" w:type="dxa"/>
            <w:vAlign w:val="bottom"/>
          </w:tcPr>
          <w:p>
            <w:pPr>
              <w:ind w:left="180"/>
              <w:spacing w:after="0"/>
              <w:rPr>
                <w:sz w:val="20"/>
                <w:szCs w:val="20"/>
                <w:color w:val="auto"/>
              </w:rPr>
            </w:pPr>
            <w:r>
              <w:rPr>
                <w:rFonts w:ascii="Arial" w:cs="Arial" w:eastAsia="Arial" w:hAnsi="Arial"/>
                <w:sz w:val="16"/>
                <w:szCs w:val="16"/>
                <w:color w:val="auto"/>
              </w:rPr>
              <w:t>DAC and VOBA related to noncredit OTTI losses recognized in AOCI</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DAC, VOBA and DSI</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60" w:type="dxa"/>
            <w:vAlign w:val="bottom"/>
          </w:tcPr>
          <w:p>
            <w:pPr>
              <w:ind w:left="180"/>
              <w:spacing w:after="0"/>
              <w:rPr>
                <w:sz w:val="20"/>
                <w:szCs w:val="20"/>
                <w:color w:val="auto"/>
              </w:rPr>
            </w:pPr>
            <w:r>
              <w:rPr>
                <w:rFonts w:ascii="Arial" w:cs="Arial" w:eastAsia="Arial" w:hAnsi="Arial"/>
                <w:sz w:val="16"/>
                <w:szCs w:val="16"/>
                <w:color w:val="auto"/>
              </w:rPr>
              <w:t>Deferred income tax benefit (expense) related to noncredit OTTI losses recognized in AOCI</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 benefit (expense)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0" w:type="dxa"/>
            <w:vAlign w:val="bottom"/>
            <w:tcBorders>
              <w:bottom w:val="single" w:sz="8" w:color="CCEEFF"/>
            </w:tcBorders>
          </w:tcPr>
          <w:p>
            <w:pPr>
              <w:spacing w:after="0"/>
              <w:rPr>
                <w:sz w:val="24"/>
                <w:szCs w:val="24"/>
                <w:color w:val="auto"/>
              </w:rPr>
            </w:pPr>
          </w:p>
        </w:tc>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 at December 31,</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1,860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1,277</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1,620</w:t>
            </w:r>
          </w:p>
        </w:tc>
        <w:tc>
          <w:tcPr>
            <w:tcW w:w="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net unrealized investment gains (losses)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583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investments in any counterparty that were greater than 10% of the Company’s equity, other than the U.S. government and its agencies, at both December 31, 2017 and 2016.</w:t>
      </w:r>
    </w:p>
    <w:p>
      <w:pPr>
        <w:sectPr>
          <w:pgSz w:w="11900" w:h="16838" w:orient="portrait"/>
          <w:cols w:equalWidth="0" w:num="1">
            <w:col w:w="11420"/>
          </w:cols>
          <w:pgMar w:left="240" w:top="229"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420"/>
          </w:cols>
          <w:pgMar w:left="240" w:top="229" w:right="239"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Elements of the securities lending program are presented below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Securities on loan: (1)</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Amortized cost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3,085</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5,895</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Estimated fair value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3,748</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6,555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collateral received from counterparties (2)</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3,791</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6,642</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Security collateral received from counterparties (3)</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29</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Reinvestment portfolio — estimated fair value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3,823</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6,571</w:t>
            </w:r>
          </w:p>
        </w:tc>
      </w:tr>
      <w:tr>
        <w:trPr>
          <w:trHeight w:val="197"/>
        </w:trPr>
        <w:tc>
          <w:tcPr>
            <w:tcW w:w="8340" w:type="dxa"/>
            <w:vAlign w:val="bottom"/>
          </w:tcPr>
          <w:p>
            <w:pPr>
              <w:spacing w:after="0"/>
              <w:rPr>
                <w:sz w:val="20"/>
                <w:szCs w:val="20"/>
                <w:color w:val="auto"/>
              </w:rPr>
            </w:pPr>
            <w:r>
              <w:rPr>
                <w:rFonts w:ascii="Arial" w:cs="Arial" w:eastAsia="Arial" w:hAnsi="Arial"/>
                <w:sz w:val="14"/>
                <w:szCs w:val="14"/>
                <w:color w:val="auto"/>
              </w:rPr>
              <w:t>______________</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92"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Included within fixed maturity securities.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Included within payables for collateral under securities loaned and other transactions.</w:t>
      </w:r>
    </w:p>
    <w:p>
      <w:pPr>
        <w:spacing w:after="0" w:line="11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Security collateral received from counterparties may not be sold or re-pledged, unless the counterparty is in default, and is not reflected on the consolidated financial statements.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cash collateral liability by loaned security type and remaining tenor of the agreements were as follows at:</w:t>
      </w:r>
    </w:p>
    <w:p>
      <w:pPr>
        <w:spacing w:after="0" w:line="392" w:lineRule="exact"/>
        <w:rPr>
          <w:sz w:val="20"/>
          <w:szCs w:val="20"/>
          <w:color w:val="auto"/>
        </w:rPr>
      </w:pPr>
    </w:p>
    <w:p>
      <w:pPr>
        <w:ind w:left="5240"/>
        <w:spacing w:after="0"/>
        <w:tabs>
          <w:tab w:leader="none" w:pos="8940" w:val="left"/>
        </w:tabs>
        <w:rPr>
          <w:sz w:val="20"/>
          <w:szCs w:val="20"/>
          <w:color w:val="auto"/>
        </w:rPr>
      </w:pPr>
      <w:r>
        <w:rPr>
          <w:rFonts w:ascii="Arial" w:cs="Arial" w:eastAsia="Arial" w:hAnsi="Arial"/>
          <w:sz w:val="14"/>
          <w:szCs w:val="14"/>
          <w:b w:val="1"/>
          <w:bCs w:val="1"/>
          <w:color w:val="auto"/>
        </w:rPr>
        <w:t>December 31, 2017</w:t>
      </w:r>
      <w:r>
        <w:rPr>
          <w:sz w:val="20"/>
          <w:szCs w:val="20"/>
          <w:color w:val="auto"/>
        </w:rPr>
        <w:tab/>
      </w:r>
      <w:r>
        <w:rPr>
          <w:rFonts w:ascii="Arial" w:cs="Arial" w:eastAsia="Arial" w:hAnsi="Arial"/>
          <w:sz w:val="12"/>
          <w:szCs w:val="12"/>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23495</wp:posOffset>
            </wp:positionV>
            <wp:extent cx="46564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656455"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55" w:lineRule="exact"/>
        <w:rPr>
          <w:sz w:val="20"/>
          <w:szCs w:val="20"/>
          <w:color w:val="auto"/>
        </w:rPr>
      </w:pPr>
    </w:p>
    <w:p>
      <w:pPr>
        <w:jc w:val="center"/>
        <w:ind w:left="3580"/>
        <w:spacing w:after="0"/>
        <w:rPr>
          <w:sz w:val="20"/>
          <w:szCs w:val="20"/>
          <w:color w:val="auto"/>
        </w:rPr>
      </w:pPr>
      <w:r>
        <w:rPr>
          <w:rFonts w:ascii="Arial" w:cs="Arial" w:eastAsia="Arial" w:hAnsi="Arial"/>
          <w:sz w:val="12"/>
          <w:szCs w:val="12"/>
          <w:b w:val="1"/>
          <w:bCs w:val="1"/>
          <w:color w:val="auto"/>
        </w:rPr>
        <w:t>Remaining Tenor of Securities Lending</w:t>
      </w:r>
    </w:p>
    <w:p>
      <w:pPr>
        <w:spacing w:after="0" w:line="27" w:lineRule="exact"/>
        <w:rPr>
          <w:sz w:val="20"/>
          <w:szCs w:val="20"/>
          <w:color w:val="auto"/>
        </w:rPr>
      </w:pPr>
    </w:p>
    <w:p>
      <w:pPr>
        <w:jc w:val="center"/>
        <w:ind w:left="3580"/>
        <w:spacing w:after="0"/>
        <w:rPr>
          <w:sz w:val="20"/>
          <w:szCs w:val="20"/>
          <w:color w:val="auto"/>
        </w:rPr>
      </w:pPr>
      <w:r>
        <w:rPr>
          <w:rFonts w:ascii="Arial" w:cs="Arial" w:eastAsia="Arial" w:hAnsi="Arial"/>
          <w:sz w:val="14"/>
          <w:szCs w:val="14"/>
          <w:b w:val="1"/>
          <w:bCs w:val="1"/>
          <w:color w:val="auto"/>
        </w:rPr>
        <w:t>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13335</wp:posOffset>
            </wp:positionV>
            <wp:extent cx="17754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1100"/>
        <w:spacing w:after="0"/>
        <w:rPr>
          <w:sz w:val="20"/>
          <w:szCs w:val="20"/>
          <w:color w:val="auto"/>
        </w:rPr>
      </w:pPr>
      <w:r>
        <w:rPr>
          <w:rFonts w:ascii="Arial" w:cs="Arial" w:eastAsia="Arial" w:hAnsi="Arial"/>
          <w:sz w:val="12"/>
          <w:szCs w:val="12"/>
          <w:b w:val="1"/>
          <w:bCs w:val="1"/>
          <w:color w:val="auto"/>
        </w:rPr>
        <w:t>Remaining Tenor of Securities Lending</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13335</wp:posOffset>
            </wp:positionV>
            <wp:extent cx="16808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7180" w:space="720"/>
            <w:col w:w="3520"/>
          </w:cols>
          <w:pgMar w:left="240" w:top="229"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Open (1)</w:t>
            </w:r>
          </w:p>
        </w:tc>
        <w:tc>
          <w:tcPr>
            <w:tcW w:w="12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1 Month</w:t>
            </w:r>
          </w:p>
        </w:tc>
        <w:tc>
          <w:tcPr>
            <w:tcW w:w="12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1 to 6</w:t>
            </w:r>
          </w:p>
        </w:tc>
        <w:tc>
          <w:tcPr>
            <w:tcW w:w="18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Open (1)</w:t>
            </w: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1 Month</w:t>
            </w:r>
          </w:p>
        </w:tc>
        <w:tc>
          <w:tcPr>
            <w:tcW w:w="12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1 to 6</w:t>
            </w:r>
          </w:p>
        </w:tc>
        <w:tc>
          <w:tcPr>
            <w:tcW w:w="180" w:type="dxa"/>
            <w:vAlign w:val="bottom"/>
          </w:tcPr>
          <w:p>
            <w:pPr>
              <w:spacing w:after="0"/>
              <w:rPr>
                <w:sz w:val="14"/>
                <w:szCs w:val="14"/>
                <w:color w:val="auto"/>
              </w:rPr>
            </w:pPr>
          </w:p>
        </w:tc>
        <w:tc>
          <w:tcPr>
            <w:tcW w:w="6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or Less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Months</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or Less</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Months</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gridSpan w:val="5"/>
          </w:tcPr>
          <w:p>
            <w:pPr>
              <w:ind w:left="20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collateral liability by loaned security type:</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U.S. government and agency</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1,626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964</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1,201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3,791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2,129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1,906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1,743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5,778</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corporate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Agency RMBS</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corporate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Foreign government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3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964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3,791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2,129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2,496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6,642</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right="20" w:hanging="492"/>
        <w:spacing w:after="0" w:line="277"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related loaned security could be returned to the Company on the next business day which would require the Company to immediately return the cash collateral.</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under normal market conditions, or both. The estimated fair value of the securities on loan related to the cash collateral on open at December 31, 2017 was $1.6 billion, all of which were U.S. government and agency securities which, if put back to the Company, could be immediately sold to satisfy the cash requirement.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229" w:right="239" w:bottom="1440" w:gutter="0" w:footer="0" w:header="0"/>
          <w:type w:val="continuous"/>
        </w:sectPr>
      </w:pPr>
    </w:p>
    <w:bookmarkStart w:id="121" w:name="page122"/>
    <w:bookmarkEnd w:id="1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 (continued)</w:t>
      </w:r>
    </w:p>
    <w:p>
      <w:pPr>
        <w:spacing w:after="0" w:line="3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reinvestment portfolio acquired with the cash collateral consisted principally of fixed maturity securities (including agency RMBS, U.S. government and agency securities, ABS, U.S. and foreign corporate securities, and non-agency RMBS) with 59% invested in agency RMBS, U.S. government and agency securities, cash equivalents, short-term investments or held in cash at December 31, 2017. If the securities on loan or the reinvestment portfolio become less liquid, the Company has the liquidity resources of most of its general account available to meet any potential cash demands when securities on loan are put back to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Invested Assets on Deposit, Held in Trust and Pledged as Collateral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Invested assets on deposit, held in trust and pledged as collateral are presented below at estimated fair value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8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Invested assets on deposit (regulatory deposits) (1)</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8,259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7,644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Invested assets held in trust (reinsurance agreements) (2)</w:t>
            </w:r>
          </w:p>
        </w:tc>
        <w:tc>
          <w:tcPr>
            <w:tcW w:w="920" w:type="dxa"/>
            <w:vAlign w:val="bottom"/>
          </w:tcPr>
          <w:p>
            <w:pPr>
              <w:spacing w:after="0"/>
              <w:rPr>
                <w:sz w:val="20"/>
                <w:szCs w:val="20"/>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2,634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9,054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Invested assets pledged as collateral (3)</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3,199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3,548</w:t>
            </w:r>
          </w:p>
        </w:tc>
        <w:tc>
          <w:tcPr>
            <w:tcW w:w="0" w:type="dxa"/>
            <w:vAlign w:val="bottom"/>
          </w:tcPr>
          <w:p>
            <w:pPr>
              <w:spacing w:after="0"/>
              <w:rPr>
                <w:sz w:val="1"/>
                <w:szCs w:val="1"/>
                <w:color w:val="auto"/>
              </w:rPr>
            </w:pP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invested assets on deposit, held in trust, and pledged as collateral</w:t>
            </w:r>
          </w:p>
        </w:tc>
        <w:tc>
          <w:tcPr>
            <w:tcW w:w="92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14,092</w:t>
            </w: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20,246</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34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hanging="492"/>
        <w:spacing w:after="0" w:line="277"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has assets, primarily fixed maturity securities, on deposit with governmental authorities relating to certain policy holder liabilities, of which $34 million of the assets on deposit balance represents restricted cash at both December 31, 2017 and 2016.</w:t>
      </w:r>
    </w:p>
    <w:p>
      <w:pPr>
        <w:spacing w:after="0" w:line="6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has assets, primarily fixed maturity securities, held in trust relating to certain reinsurance transactions. $42 million and $15 million of the assets held in trust balance represents restricted cash at December 31, 2017 and 2016, respectively.</w:t>
      </w:r>
    </w:p>
    <w:p>
      <w:pPr>
        <w:spacing w:after="0" w:line="62"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has pledged invested assets in connection with various agreements and transactions, including funding agreements (see Note 4) and derivative transactions (see Note 8).</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 Securities Lending” for information regarding securities on loan.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Purchased Credit Impaired Investments</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Investments acquired with evidence of credit quality deterioration since origination and for which it is probable at the acquisition date that the Company will be unable to collect all contractually required payments are classified as purchased credit impaired (“PCI”) investments. For each investment, the excess of the cash flows expected to be collected as of the acquisition date over its acquisition date fair value is referred to as the accretable yield and is recognized as net investment income on an effective yield basis. If subsequently, based on current information and events, it is probable that there is a significant increase in cash flows previously expected to be collected or if actual cash flows are significantly greater than cash flows previously expected to be collected, the accretable yield is adjusted prospectively. The excess of the contractually required payments (including interest) as of the acquisition date over the cash flows expected to be collected as of the acquisition date is referred to as the nonaccretable difference, and this amount is not expected to be realized as net investment income. Decreases in cash flows expected to be collected can result in OTTI.</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22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PCI fixed maturity securities were as follows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principal and interest balance (1)</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1,237</w:t>
            </w:r>
          </w:p>
        </w:tc>
        <w:tc>
          <w:tcPr>
            <w:tcW w:w="5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1,458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Carrying value (2)</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64"/>
              <w:spacing w:after="0"/>
              <w:rPr>
                <w:sz w:val="20"/>
                <w:szCs w:val="20"/>
                <w:color w:val="auto"/>
              </w:rPr>
            </w:pPr>
            <w:r>
              <w:rPr>
                <w:rFonts w:ascii="Arial" w:cs="Arial" w:eastAsia="Arial" w:hAnsi="Arial"/>
                <w:sz w:val="16"/>
                <w:szCs w:val="16"/>
                <w:color w:val="auto"/>
              </w:rPr>
              <w:t>1,020</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1,113</w:t>
            </w:r>
          </w:p>
        </w:tc>
      </w:tr>
      <w:tr>
        <w:trPr>
          <w:trHeight w:val="197"/>
        </w:trPr>
        <w:tc>
          <w:tcPr>
            <w:tcW w:w="8340" w:type="dxa"/>
            <w:vAlign w:val="bottom"/>
          </w:tcPr>
          <w:p>
            <w:pPr>
              <w:jc w:val="right"/>
              <w:ind w:right="7242"/>
              <w:spacing w:after="0"/>
              <w:rPr>
                <w:sz w:val="20"/>
                <w:szCs w:val="20"/>
                <w:color w:val="auto"/>
              </w:rPr>
            </w:pPr>
            <w:r>
              <w:rPr>
                <w:rFonts w:ascii="Arial" w:cs="Arial" w:eastAsia="Arial" w:hAnsi="Arial"/>
                <w:sz w:val="14"/>
                <w:szCs w:val="14"/>
                <w:color w:val="auto"/>
                <w:w w:val="91"/>
              </w:rPr>
              <w:t>______________</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r>
    </w:tbl>
    <w:p>
      <w:pPr>
        <w:spacing w:after="0" w:line="92"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Represents the contractually required payments, which is the sum of contractual principal, whether or not currently due, and accrued interest.</w:t>
      </w:r>
    </w:p>
    <w:p>
      <w:pPr>
        <w:spacing w:after="0" w:line="128" w:lineRule="exact"/>
        <w:rPr>
          <w:rFonts w:ascii="Arial" w:cs="Arial" w:eastAsia="Arial" w:hAnsi="Arial"/>
          <w:sz w:val="17"/>
          <w:szCs w:val="17"/>
          <w:color w:val="auto"/>
        </w:rPr>
      </w:pPr>
    </w:p>
    <w:p>
      <w:pPr>
        <w:ind w:left="500" w:hanging="492"/>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Estimated fair value plus accrued interest.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about PCI fixed maturity securities acquired during the periods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262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8320" w:type="dxa"/>
            <w:vAlign w:val="bottom"/>
          </w:tcPr>
          <w:p>
            <w:pPr>
              <w:spacing w:after="0"/>
              <w:rPr>
                <w:sz w:val="22"/>
                <w:szCs w:val="22"/>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8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580" w:type="dxa"/>
            <w:vAlign w:val="bottom"/>
            <w:gridSpan w:val="2"/>
          </w:tcPr>
          <w:p>
            <w:pPr>
              <w:jc w:val="right"/>
              <w:ind w:right="601"/>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Contractually required payments (including interest)</w:t>
            </w:r>
          </w:p>
        </w:tc>
        <w:tc>
          <w:tcPr>
            <w:tcW w:w="1040" w:type="dxa"/>
            <w:vAlign w:val="bottom"/>
            <w:tcBorders>
              <w:bottom w:val="single" w:sz="8" w:color="CCEEFF"/>
            </w:tcBorders>
            <w:shd w:val="clear" w:color="auto" w:fill="CCEEFF"/>
          </w:tcPr>
          <w:p>
            <w:pPr>
              <w:jc w:val="right"/>
              <w:ind w:right="86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w:t>
            </w:r>
          </w:p>
        </w:tc>
        <w:tc>
          <w:tcPr>
            <w:tcW w:w="11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w:t>
            </w:r>
          </w:p>
        </w:tc>
      </w:tr>
      <w:tr>
        <w:trPr>
          <w:trHeight w:val="237"/>
        </w:trPr>
        <w:tc>
          <w:tcPr>
            <w:tcW w:w="20" w:type="dxa"/>
            <w:vAlign w:val="bottom"/>
          </w:tcPr>
          <w:p>
            <w:pPr>
              <w:spacing w:after="0"/>
              <w:rPr>
                <w:sz w:val="20"/>
                <w:szCs w:val="20"/>
                <w:color w:val="auto"/>
              </w:rPr>
            </w:pPr>
          </w:p>
        </w:tc>
        <w:tc>
          <w:tcPr>
            <w:tcW w:w="8320" w:type="dxa"/>
            <w:vAlign w:val="bottom"/>
          </w:tcPr>
          <w:p>
            <w:pPr>
              <w:ind w:left="20"/>
              <w:spacing w:after="0"/>
              <w:rPr>
                <w:sz w:val="20"/>
                <w:szCs w:val="20"/>
                <w:color w:val="auto"/>
              </w:rPr>
            </w:pPr>
            <w:r>
              <w:rPr>
                <w:rFonts w:ascii="Arial" w:cs="Arial" w:eastAsia="Arial" w:hAnsi="Arial"/>
                <w:sz w:val="16"/>
                <w:szCs w:val="16"/>
                <w:color w:val="auto"/>
              </w:rPr>
              <w:t>Cash flows expected to be collected (1)</w:t>
            </w:r>
          </w:p>
        </w:tc>
        <w:tc>
          <w:tcPr>
            <w:tcW w:w="1040" w:type="dxa"/>
            <w:vAlign w:val="bottom"/>
          </w:tcPr>
          <w:p>
            <w:pPr>
              <w:jc w:val="right"/>
              <w:ind w:right="863"/>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61"/>
              <w:spacing w:after="0"/>
              <w:rPr>
                <w:sz w:val="20"/>
                <w:szCs w:val="20"/>
                <w:color w:val="auto"/>
              </w:rPr>
            </w:pPr>
            <w:r>
              <w:rPr>
                <w:rFonts w:ascii="Arial" w:cs="Arial" w:eastAsia="Arial" w:hAnsi="Arial"/>
                <w:sz w:val="16"/>
                <w:szCs w:val="16"/>
                <w:color w:val="auto"/>
              </w:rPr>
              <w:t>3</w:t>
            </w:r>
          </w:p>
        </w:tc>
        <w:tc>
          <w:tcPr>
            <w:tcW w:w="1100" w:type="dxa"/>
            <w:vAlign w:val="bottom"/>
          </w:tcPr>
          <w:p>
            <w:pPr>
              <w:jc w:val="right"/>
              <w:ind w:right="821"/>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483</w:t>
            </w:r>
          </w:p>
        </w:tc>
      </w:tr>
      <w:tr>
        <w:trPr>
          <w:trHeight w:val="33"/>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Fair value of investments acquired</w:t>
            </w:r>
          </w:p>
        </w:tc>
        <w:tc>
          <w:tcPr>
            <w:tcW w:w="1040" w:type="dxa"/>
            <w:vAlign w:val="bottom"/>
            <w:tcBorders>
              <w:bottom w:val="single" w:sz="8" w:color="CCEEFF"/>
            </w:tcBorders>
            <w:shd w:val="clear" w:color="auto" w:fill="CCEEFF"/>
          </w:tcPr>
          <w:p>
            <w:pPr>
              <w:jc w:val="right"/>
              <w:ind w:right="86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w:t>
            </w:r>
          </w:p>
        </w:tc>
        <w:tc>
          <w:tcPr>
            <w:tcW w:w="11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w:t>
            </w:r>
          </w:p>
        </w:tc>
      </w:tr>
      <w:tr>
        <w:trPr>
          <w:trHeight w:val="182"/>
        </w:trPr>
        <w:tc>
          <w:tcPr>
            <w:tcW w:w="20" w:type="dxa"/>
            <w:vAlign w:val="bottom"/>
          </w:tcPr>
          <w:p>
            <w:pPr>
              <w:spacing w:after="0"/>
              <w:rPr>
                <w:sz w:val="15"/>
                <w:szCs w:val="15"/>
                <w:color w:val="auto"/>
              </w:rPr>
            </w:pPr>
          </w:p>
        </w:tc>
        <w:tc>
          <w:tcPr>
            <w:tcW w:w="8320" w:type="dxa"/>
            <w:vAlign w:val="bottom"/>
          </w:tcPr>
          <w:p>
            <w:pPr>
              <w:jc w:val="right"/>
              <w:ind w:right="7241"/>
              <w:spacing w:after="0"/>
              <w:rPr>
                <w:sz w:val="20"/>
                <w:szCs w:val="20"/>
                <w:color w:val="auto"/>
              </w:rPr>
            </w:pPr>
            <w:r>
              <w:rPr>
                <w:rFonts w:ascii="Arial" w:cs="Arial" w:eastAsia="Arial" w:hAnsi="Arial"/>
                <w:sz w:val="14"/>
                <w:szCs w:val="14"/>
                <w:color w:val="auto"/>
                <w:w w:val="89"/>
              </w:rPr>
              <w:t>______________</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r>
    </w:tbl>
    <w:p>
      <w:pPr>
        <w:spacing w:after="0" w:line="73" w:lineRule="exact"/>
        <w:rPr>
          <w:sz w:val="20"/>
          <w:szCs w:val="20"/>
          <w:color w:val="auto"/>
        </w:rPr>
      </w:pPr>
    </w:p>
    <w:p>
      <w:pPr>
        <w:ind w:left="340" w:right="3980" w:hanging="332"/>
        <w:spacing w:after="0" w:line="483" w:lineRule="auto"/>
        <w:tabs>
          <w:tab w:leader="none" w:pos="502"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Represents undiscounted principal and interest cash flow expectations, at the date of acquisition. The following table presents activity for the accretable yield on PCI fixed maturity securities for: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162"/>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r>
      <w:tr>
        <w:trPr>
          <w:trHeight w:val="250"/>
        </w:trPr>
        <w:tc>
          <w:tcPr>
            <w:tcW w:w="8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0" w:type="dxa"/>
            <w:vAlign w:val="bottom"/>
            <w:gridSpan w:val="3"/>
          </w:tcPr>
          <w:p>
            <w:pPr>
              <w:jc w:val="right"/>
              <w:ind w:right="602"/>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Accretable yield, January 1,</w:t>
            </w:r>
          </w:p>
        </w:tc>
        <w:tc>
          <w:tcPr>
            <w:tcW w:w="1020" w:type="dxa"/>
            <w:vAlign w:val="bottom"/>
            <w:tcBorders>
              <w:bottom w:val="single" w:sz="8" w:color="CCEEFF"/>
            </w:tcBorders>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Investments purchased</w:t>
            </w:r>
          </w:p>
        </w:tc>
        <w:tc>
          <w:tcPr>
            <w:tcW w:w="1020" w:type="dxa"/>
            <w:vAlign w:val="bottom"/>
          </w:tcPr>
          <w:p>
            <w:pPr>
              <w:spacing w:after="0"/>
              <w:rPr>
                <w:sz w:val="20"/>
                <w:szCs w:val="20"/>
                <w:color w:val="auto"/>
              </w:rPr>
            </w:pPr>
          </w:p>
        </w:tc>
        <w:tc>
          <w:tcPr>
            <w:tcW w:w="4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142</w:t>
            </w:r>
          </w:p>
        </w:tc>
      </w:tr>
      <w:tr>
        <w:trPr>
          <w:trHeight w:val="33"/>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Accretion recognized in earnings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Disposals</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Reclassification (to) from nonaccretable difference</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Accretable yield, December 31,</w:t>
            </w:r>
          </w:p>
        </w:tc>
        <w:tc>
          <w:tcPr>
            <w:tcW w:w="1020" w:type="dxa"/>
            <w:vAlign w:val="bottom"/>
            <w:tcBorders>
              <w:top w:val="single" w:sz="8" w:color="auto"/>
              <w:bottom w:val="single" w:sz="8" w:color="auto"/>
            </w:tcBorders>
          </w:tcPr>
          <w:p>
            <w:pPr>
              <w:jc w:val="right"/>
              <w:ind w:right="843"/>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419</w:t>
            </w:r>
          </w:p>
        </w:tc>
      </w:tr>
      <w:tr>
        <w:trPr>
          <w:trHeight w:val="20"/>
        </w:trPr>
        <w:tc>
          <w:tcPr>
            <w:tcW w:w="8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Collectively Significant Equity Method Investments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holds investments in real estate joint ventures, real estate funds and other limited partnership interests consisting of leveraged buy-out funds, hedge funds, private equity funds, joint ventures and other funds. The portion of these investments accounted for under the equity method had a carrying value of $2.2 billion at December 31, 2017. The Company’s maximum exposure to loss related to these equity method investments is limited to the carrying value of these investments plus unfunded commitments of $1.1 billion at December 31, 2017. Except for certain real estate joint ventures, the Company’s investments in real estate funds and other limited partnership interests are generally of a passive nature in that the Company does not participate in the management of the entities.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described in Note 1, the Company generally records its share of earnings in its equity method investments using a three-month lag methodology and within net investment income. Aggregate net investment income from these equity method investments exceeded 10% of the Company’s consolidated pre-tax income (loss) for two of the three most recent annual periods: 2017 and 2015. This aggregated summarized financial data does not represent the Company’s proportionate share of the assets, liabilities, or earnings of such entities.</w:t>
      </w:r>
    </w:p>
    <w:p>
      <w:pPr>
        <w:sectPr>
          <w:pgSz w:w="11900" w:h="16838" w:orient="portrait"/>
          <w:cols w:equalWidth="0" w:num="1">
            <w:col w:w="11420"/>
          </w:cols>
          <w:pgMar w:left="240" w:top="229"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420"/>
          </w:cols>
          <w:pgMar w:left="240" w:top="229" w:right="239" w:bottom="1440"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 (continued)</w:t>
      </w:r>
    </w:p>
    <w:p>
      <w:pPr>
        <w:spacing w:after="0" w:line="3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aggregated summarized financial data presented below reflects the latest available financial information and is as of and for the years ended December 31, 2017, 2016 and 2015. Aggregate total assets of these entities totaled $328.9 billion and $285.1 billion at December 31, 2017 and 2016, respectively. Aggregate total liabilities of these entities totaled $39.8 billion and $26.3 billion at December 31, 2017 and 2016, respectively. Aggregate net income (loss) of these entities totaled $36.2 billion, $21.3 billion and $13.7 billion for the years ended December 31, 2017, 2016 and 2015, respectively. Aggregate net income (loss) from the underlying entities in which the Company invests is primarily comprised of investment income, including recurring investment income and realized and unrealized investment gains (losses).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invested in legal entities that are VIEs. In certain instances, the Company holds both the power to direct the most significant activities of the entity, as well as an economic interest in the entity and, as such, is deemed to be the primary beneficiary or consolidator of the entity. The determination of the VIE’s primary beneficiary requires an evaluation of the contractual and implied rights and obligations associated with each party’s relationship with or involvement in the entity, an estimate of the entity’s expected losses and expected residual returns and the allocation of such estimates to each party involved in the entity.</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Consolidated VIEs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Creditors or beneficial interest holders of VIEs where the Company is the primary beneficiary have no recourse to the general credit of the Company, as the Company’s obligation to the VIEs is limited to the amount of its committed investment.</w:t>
      </w:r>
    </w:p>
    <w:p>
      <w:pPr>
        <w:spacing w:after="0" w:line="62"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following table presents the total assets and total liabilities relating to VIEs for which the Company has concluded that it is the primary beneficiary and which are consolidated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8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MRSC (collateral financing arrangement ) (1)</w:t>
            </w:r>
          </w:p>
        </w:tc>
        <w:tc>
          <w:tcPr>
            <w:tcW w:w="102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3,422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CSEs: (2)</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200"/>
              <w:spacing w:after="0"/>
              <w:rPr>
                <w:sz w:val="20"/>
                <w:szCs w:val="20"/>
                <w:color w:val="auto"/>
              </w:rPr>
            </w:pPr>
            <w:r>
              <w:rPr>
                <w:rFonts w:ascii="Arial" w:cs="Arial" w:eastAsia="Arial" w:hAnsi="Arial"/>
                <w:sz w:val="16"/>
                <w:szCs w:val="16"/>
                <w:color w:val="auto"/>
              </w:rPr>
              <w:t>Mortgage loans (commercial mortgage loans)</w:t>
            </w:r>
          </w:p>
        </w:tc>
        <w:tc>
          <w:tcPr>
            <w:tcW w:w="1020" w:type="dxa"/>
            <w:vAlign w:val="bottom"/>
          </w:tcPr>
          <w:p>
            <w:pPr>
              <w:spacing w:after="0"/>
              <w:rPr>
                <w:sz w:val="20"/>
                <w:szCs w:val="20"/>
                <w:color w:val="auto"/>
              </w:rPr>
            </w:pPr>
          </w:p>
        </w:tc>
        <w:tc>
          <w:tcPr>
            <w:tcW w:w="480" w:type="dxa"/>
            <w:vAlign w:val="bottom"/>
          </w:tcPr>
          <w:p>
            <w:pPr>
              <w:jc w:val="right"/>
              <w:ind w:right="41"/>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Accrued investment income</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assets</w:t>
            </w:r>
          </w:p>
        </w:tc>
        <w:tc>
          <w:tcPr>
            <w:tcW w:w="1020" w:type="dxa"/>
            <w:vAlign w:val="bottom"/>
            <w:tcBorders>
              <w:top w:val="single" w:sz="8" w:color="auto"/>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10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200"/>
              <w:spacing w:after="0"/>
              <w:rPr>
                <w:sz w:val="20"/>
                <w:szCs w:val="20"/>
                <w:color w:val="auto"/>
              </w:rPr>
            </w:pPr>
            <w:r>
              <w:rPr>
                <w:rFonts w:ascii="Arial" w:cs="Arial" w:eastAsia="Arial" w:hAnsi="Arial"/>
                <w:sz w:val="16"/>
                <w:szCs w:val="16"/>
                <w:color w:val="auto"/>
              </w:rPr>
              <w:t>Long-term debt</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4"/>
        </w:trPr>
        <w:tc>
          <w:tcPr>
            <w:tcW w:w="8340" w:type="dxa"/>
            <w:vAlign w:val="bottom"/>
          </w:tcPr>
          <w:p>
            <w:pPr>
              <w:ind w:left="360"/>
              <w:spacing w:after="0"/>
              <w:rPr>
                <w:sz w:val="20"/>
                <w:szCs w:val="20"/>
                <w:color w:val="auto"/>
              </w:rPr>
            </w:pPr>
            <w:r>
              <w:rPr>
                <w:rFonts w:ascii="Arial" w:cs="Arial" w:eastAsia="Arial" w:hAnsi="Arial"/>
                <w:sz w:val="16"/>
                <w:szCs w:val="16"/>
                <w:color w:val="auto"/>
              </w:rPr>
              <w:t>Total liabilities</w:t>
            </w:r>
          </w:p>
        </w:tc>
        <w:tc>
          <w:tcPr>
            <w:tcW w:w="1020" w:type="dxa"/>
            <w:vAlign w:val="bottom"/>
            <w:tcBorders>
              <w:top w:val="single" w:sz="8" w:color="auto"/>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4"/>
                <w:szCs w:val="14"/>
                <w:color w:val="auto"/>
              </w:rPr>
              <w:t>______________</w:t>
            </w: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34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 April 2017, these assets were liquidated and the proceeds were used to repay the MRSC collateral financing arrangement (see Note 3).</w:t>
      </w:r>
    </w:p>
    <w:p>
      <w:pPr>
        <w:spacing w:after="0" w:line="128" w:lineRule="exact"/>
        <w:rPr>
          <w:rFonts w:ascii="Arial" w:cs="Arial" w:eastAsia="Arial" w:hAnsi="Arial"/>
          <w:sz w:val="17"/>
          <w:szCs w:val="17"/>
          <w:color w:val="auto"/>
        </w:rPr>
      </w:pPr>
    </w:p>
    <w:p>
      <w:pPr>
        <w:jc w:val="both"/>
        <w:ind w:left="500" w:hanging="492"/>
        <w:spacing w:after="0" w:line="312" w:lineRule="auto"/>
        <w:tabs>
          <w:tab w:leader="none" w:pos="5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consolidates entities that are structured as CMBS. The assets of these entities can only be used to settle their respective liabilities, and under no circumstances is the Company liable for any principal or interest shortfalls should any arise. The Company’s exposure was limited to that of its remaining investment in these entities of $86 million and $95 million at estimated fair value at December 31, 2017 and 2016, respectively.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22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Unconsolidated VIEs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carrying amount and maximum exposure to loss relating to VIEs in which the Company holds a significant variable interest but is not the primary beneficiary and which have not been consolidated were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6"/>
              </w:rPr>
              <w:t>2017</w:t>
            </w:r>
          </w:p>
        </w:tc>
        <w:tc>
          <w:tcPr>
            <w:tcW w:w="12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9"/>
              </w:rPr>
              <w:t>2016</w:t>
            </w: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9"/>
              </w:rPr>
              <w:t>Maximum</w:t>
            </w:r>
          </w:p>
        </w:tc>
        <w:tc>
          <w:tcPr>
            <w:tcW w:w="380" w:type="dxa"/>
            <w:vAlign w:val="bottom"/>
          </w:tcPr>
          <w:p>
            <w:pPr>
              <w:spacing w:after="0"/>
              <w:rPr>
                <w:sz w:val="13"/>
                <w:szCs w:val="13"/>
                <w:color w:val="auto"/>
              </w:rPr>
            </w:pPr>
          </w:p>
        </w:tc>
        <w:tc>
          <w:tcPr>
            <w:tcW w:w="98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center"/>
              <w:ind w:right="162"/>
              <w:spacing w:after="0" w:line="153"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Exposure</w:t>
            </w:r>
          </w:p>
        </w:tc>
        <w:tc>
          <w:tcPr>
            <w:tcW w:w="3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0"/>
              </w:rPr>
              <w:t>to Loss (1)</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0"/>
              </w:rPr>
              <w:t>to Loss (1)</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maturity securities AFS:</w:t>
            </w: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6"/>
                <w:szCs w:val="16"/>
                <w:color w:val="auto"/>
              </w:rPr>
              <w:t>Structured Securities (2)</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11,136</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11,136</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12,809</w:t>
            </w:r>
          </w:p>
        </w:tc>
        <w:tc>
          <w:tcPr>
            <w:tcW w:w="4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12,809</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U.S. and foreign corporate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Other limited partnership interests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2,460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2,287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joint ventures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Other investments (3)</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13,217</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14,176</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14,913</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15,720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1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312" w:lineRule="auto"/>
        <w:tabs>
          <w:tab w:leader="none" w:pos="5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maximum exposure to loss relating to fixed maturity and equity securities AFS is equal to their carrying amounts or the carrying amounts of retained interests. The maximum exposure to loss relating to other limited partnership interests and real estate joint ventures is equal to the carrying amounts plus any unfunded commitments. Such a maximum loss would be expected to occur only upon bankruptcy of the issuer or investee.</w:t>
      </w:r>
    </w:p>
    <w:p>
      <w:pPr>
        <w:spacing w:after="0" w:line="38"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these variable interests, the Company’s involvement is limited to that of a passive investor in mortgage-backed or asset-backed securities issued by trusts that do not have substantial equity.</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investments are comprised of other invested assets and non-redeemable preferred stock.</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As described in Note 14, the Company makes commitments to fund partnership investments in the normal course of business. Excluding these commitments, the Company did not provide financial or other support to investees designated as VIEs during the years ended December 31, 2017, 2016 and 2015.</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22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net investment income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income:</w:t>
            </w:r>
          </w:p>
        </w:tc>
        <w:tc>
          <w:tcPr>
            <w:tcW w:w="9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Fixed maturity securities</w:t>
            </w:r>
          </w:p>
        </w:tc>
        <w:tc>
          <w:tcPr>
            <w:tcW w:w="96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2,347</w:t>
            </w: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2,567</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2,398</w:t>
            </w: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Equity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Mortgage loans</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442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367</w:t>
            </w: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Policy loans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Real estate and real estate joint ventures</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108</w:t>
            </w: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limited partnership interests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w:t>
            </w: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Cash, cash equivalents and short-term investments</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w:t>
            </w: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r>
      <w:tr>
        <w:trPr>
          <w:trHeight w:val="217"/>
        </w:trPr>
        <w:tc>
          <w:tcPr>
            <w:tcW w:w="6740" w:type="dxa"/>
            <w:vAlign w:val="bottom"/>
          </w:tcPr>
          <w:p>
            <w:pPr>
              <w:ind w:left="360"/>
              <w:spacing w:after="0"/>
              <w:rPr>
                <w:sz w:val="20"/>
                <w:szCs w:val="20"/>
                <w:color w:val="auto"/>
              </w:rPr>
            </w:pPr>
            <w:r>
              <w:rPr>
                <w:rFonts w:ascii="Arial" w:cs="Arial" w:eastAsia="Arial" w:hAnsi="Arial"/>
                <w:sz w:val="16"/>
                <w:szCs w:val="16"/>
                <w:color w:val="auto"/>
              </w:rPr>
              <w:t>Subtotal</w:t>
            </w:r>
          </w:p>
        </w:tc>
        <w:tc>
          <w:tcPr>
            <w:tcW w:w="9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3,140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3,273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3,111</w:t>
            </w: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Less: Investment expenses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w:t>
            </w:r>
          </w:p>
        </w:tc>
      </w:tr>
      <w:tr>
        <w:trPr>
          <w:trHeight w:val="217"/>
        </w:trPr>
        <w:tc>
          <w:tcPr>
            <w:tcW w:w="6740" w:type="dxa"/>
            <w:vAlign w:val="bottom"/>
          </w:tcPr>
          <w:p>
            <w:pPr>
              <w:ind w:left="360"/>
              <w:spacing w:after="0"/>
              <w:rPr>
                <w:sz w:val="20"/>
                <w:szCs w:val="20"/>
                <w:color w:val="auto"/>
              </w:rPr>
            </w:pPr>
            <w:r>
              <w:rPr>
                <w:rFonts w:ascii="Arial" w:cs="Arial" w:eastAsia="Arial" w:hAnsi="Arial"/>
                <w:sz w:val="16"/>
                <w:szCs w:val="16"/>
                <w:color w:val="auto"/>
              </w:rPr>
              <w:t>Subtotal, net</w:t>
            </w:r>
          </w:p>
        </w:tc>
        <w:tc>
          <w:tcPr>
            <w:tcW w:w="9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2,965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3,100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2,985</w:t>
            </w: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FVO CSEs — interest income — commercial mortgage loans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r>
      <w:tr>
        <w:trPr>
          <w:trHeight w:val="244"/>
        </w:trPr>
        <w:tc>
          <w:tcPr>
            <w:tcW w:w="6740" w:type="dxa"/>
            <w:vAlign w:val="bottom"/>
          </w:tcPr>
          <w:p>
            <w:pPr>
              <w:ind w:left="520"/>
              <w:spacing w:after="0"/>
              <w:rPr>
                <w:sz w:val="20"/>
                <w:szCs w:val="20"/>
                <w:color w:val="auto"/>
              </w:rPr>
            </w:pPr>
            <w:r>
              <w:rPr>
                <w:rFonts w:ascii="Arial" w:cs="Arial" w:eastAsia="Arial" w:hAnsi="Arial"/>
                <w:sz w:val="16"/>
                <w:szCs w:val="16"/>
                <w:color w:val="auto"/>
              </w:rPr>
              <w:t>Net investment income</w:t>
            </w:r>
          </w:p>
        </w:tc>
        <w:tc>
          <w:tcPr>
            <w:tcW w:w="96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2,973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3,111</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3,001</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 Variable Interest Entities” for discussion of CSEs.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 Related Party Investment Transactions” for discussion of related party net investment income and investment expenses.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22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Gains (Losses)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Components of Net Investment Gains (Losses)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net investment gains (losses)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gains (losses) on fixed maturity securities:</w:t>
            </w:r>
          </w:p>
        </w:tc>
        <w:tc>
          <w:tcPr>
            <w:tcW w:w="10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Total OTTI losses recognized — by sector and industry:</w:t>
            </w: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U.S. and foreign corporate securities — by industry:</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520"/>
              <w:spacing w:after="0"/>
              <w:rPr>
                <w:sz w:val="20"/>
                <w:szCs w:val="20"/>
                <w:color w:val="auto"/>
              </w:rPr>
            </w:pPr>
            <w:r>
              <w:rPr>
                <w:rFonts w:ascii="Arial" w:cs="Arial" w:eastAsia="Arial" w:hAnsi="Arial"/>
                <w:sz w:val="16"/>
                <w:szCs w:val="16"/>
                <w:color w:val="auto"/>
              </w:rPr>
              <w:t>Industrial</w:t>
            </w:r>
          </w:p>
        </w:tc>
        <w:tc>
          <w:tcPr>
            <w:tcW w:w="1040" w:type="dxa"/>
            <w:vAlign w:val="bottom"/>
          </w:tcPr>
          <w:p>
            <w:pPr>
              <w:jc w:val="right"/>
              <w:ind w:right="842"/>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Consumer</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6740" w:type="dxa"/>
            <w:vAlign w:val="bottom"/>
          </w:tcPr>
          <w:p>
            <w:pPr>
              <w:ind w:left="520"/>
              <w:spacing w:after="0"/>
              <w:rPr>
                <w:sz w:val="20"/>
                <w:szCs w:val="20"/>
                <w:color w:val="auto"/>
              </w:rPr>
            </w:pPr>
            <w:r>
              <w:rPr>
                <w:rFonts w:ascii="Arial" w:cs="Arial" w:eastAsia="Arial" w:hAnsi="Arial"/>
                <w:sz w:val="16"/>
                <w:szCs w:val="16"/>
                <w:color w:val="auto"/>
              </w:rPr>
              <w:t>Utility</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6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U.S. and foreign corporate securities</w:t>
            </w:r>
          </w:p>
        </w:tc>
        <w:tc>
          <w:tcPr>
            <w:tcW w:w="10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386"/>
        </w:trPr>
        <w:tc>
          <w:tcPr>
            <w:tcW w:w="6740" w:type="dxa"/>
            <w:vAlign w:val="bottom"/>
          </w:tcPr>
          <w:p>
            <w:pPr>
              <w:ind w:left="360"/>
              <w:spacing w:after="0"/>
              <w:rPr>
                <w:sz w:val="20"/>
                <w:szCs w:val="20"/>
                <w:color w:val="auto"/>
              </w:rPr>
            </w:pPr>
            <w:r>
              <w:rPr>
                <w:rFonts w:ascii="Arial" w:cs="Arial" w:eastAsia="Arial" w:hAnsi="Arial"/>
                <w:sz w:val="16"/>
                <w:szCs w:val="16"/>
                <w:color w:val="auto"/>
              </w:rPr>
              <w:t>RMBS</w:t>
            </w:r>
          </w:p>
        </w:tc>
        <w:tc>
          <w:tcPr>
            <w:tcW w:w="1040" w:type="dxa"/>
            <w:vAlign w:val="bottom"/>
          </w:tcPr>
          <w:p>
            <w:pPr>
              <w:spacing w:after="0"/>
              <w:rPr>
                <w:sz w:val="24"/>
                <w:szCs w:val="24"/>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419"/>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State and political subdivision</w:t>
            </w:r>
          </w:p>
        </w:tc>
        <w:tc>
          <w:tcPr>
            <w:tcW w:w="10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OTTI losses on fixed maturity securities recognized in earnings</w:t>
            </w: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33"/>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Fixed maturity securities — net gains (losses) on sales and disposals</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7"/>
        </w:trPr>
        <w:tc>
          <w:tcPr>
            <w:tcW w:w="6740" w:type="dxa"/>
            <w:vAlign w:val="bottom"/>
          </w:tcPr>
          <w:p>
            <w:pPr>
              <w:ind w:left="360"/>
              <w:spacing w:after="0"/>
              <w:rPr>
                <w:sz w:val="20"/>
                <w:szCs w:val="20"/>
                <w:color w:val="auto"/>
              </w:rPr>
            </w:pPr>
            <w:r>
              <w:rPr>
                <w:rFonts w:ascii="Arial" w:cs="Arial" w:eastAsia="Arial" w:hAnsi="Arial"/>
                <w:sz w:val="16"/>
                <w:szCs w:val="16"/>
                <w:color w:val="auto"/>
              </w:rPr>
              <w:t>Total gains (losses) on fixed maturity securities</w:t>
            </w: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r>
      <w:tr>
        <w:trPr>
          <w:trHeight w:val="33"/>
        </w:trPr>
        <w:tc>
          <w:tcPr>
            <w:tcW w:w="6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gains (losses) on equity securities:</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OTTI losses on equity securities recognized in earnings</w:t>
            </w:r>
          </w:p>
        </w:tc>
        <w:tc>
          <w:tcPr>
            <w:tcW w:w="10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Equity securities — net gains (losses) on sales and disposals</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17"/>
        </w:trPr>
        <w:tc>
          <w:tcPr>
            <w:tcW w:w="6740" w:type="dxa"/>
            <w:vAlign w:val="bottom"/>
          </w:tcPr>
          <w:p>
            <w:pPr>
              <w:ind w:left="360"/>
              <w:spacing w:after="0"/>
              <w:rPr>
                <w:sz w:val="20"/>
                <w:szCs w:val="20"/>
                <w:color w:val="auto"/>
              </w:rPr>
            </w:pPr>
            <w:r>
              <w:rPr>
                <w:rFonts w:ascii="Arial" w:cs="Arial" w:eastAsia="Arial" w:hAnsi="Arial"/>
                <w:sz w:val="16"/>
                <w:szCs w:val="16"/>
                <w:color w:val="auto"/>
              </w:rPr>
              <w:t>Total gains (losses) on equity securities</w:t>
            </w: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6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loans</w:t>
            </w:r>
          </w:p>
        </w:tc>
        <w:tc>
          <w:tcPr>
            <w:tcW w:w="10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Real estate and real estate joint ventures</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98</w:t>
            </w:r>
          </w:p>
        </w:tc>
      </w:tr>
      <w:tr>
        <w:trPr>
          <w:trHeight w:val="33"/>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limited partnership interests</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Other</w:t>
            </w:r>
          </w:p>
        </w:tc>
        <w:tc>
          <w:tcPr>
            <w:tcW w:w="10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6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Subtotal</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color w:val="auto"/>
              </w:rPr>
              <w:t>FVO CSEs:</w:t>
            </w:r>
          </w:p>
        </w:tc>
        <w:tc>
          <w:tcPr>
            <w:tcW w:w="10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Commercial mortgage loans</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Long-term debt - related to commercial mortgage loans</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Non-investment portfolio gains (losses)</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6740" w:type="dxa"/>
            <w:vAlign w:val="bottom"/>
          </w:tcPr>
          <w:p>
            <w:pPr>
              <w:ind w:left="520"/>
              <w:spacing w:after="0"/>
              <w:rPr>
                <w:sz w:val="20"/>
                <w:szCs w:val="20"/>
                <w:color w:val="auto"/>
              </w:rPr>
            </w:pPr>
            <w:r>
              <w:rPr>
                <w:rFonts w:ascii="Arial" w:cs="Arial" w:eastAsia="Arial" w:hAnsi="Arial"/>
                <w:sz w:val="16"/>
                <w:szCs w:val="16"/>
                <w:color w:val="auto"/>
              </w:rPr>
              <w:t>Subtotal</w:t>
            </w: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6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net investment gains (losses)</w:t>
            </w:r>
          </w:p>
        </w:tc>
        <w:tc>
          <w:tcPr>
            <w:tcW w:w="1040" w:type="dxa"/>
            <w:vAlign w:val="bottom"/>
            <w:shd w:val="clear" w:color="auto" w:fill="CCEEFF"/>
          </w:tcPr>
          <w:p>
            <w:pPr>
              <w:jc w:val="right"/>
              <w:ind w:right="842"/>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 Variable Interest Entities” for discussion of CSEs.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 Related Party Investment Transactions” for discussion of related party net investment gains (losses) related to transfers of invested assets.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22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Sales or Disposals and Impairments of Fixed Maturity and Equity Securities</w:t>
      </w:r>
    </w:p>
    <w:p>
      <w:pPr>
        <w:spacing w:after="0" w:line="117" w:lineRule="exact"/>
        <w:rPr>
          <w:sz w:val="20"/>
          <w:szCs w:val="20"/>
          <w:color w:val="auto"/>
        </w:rPr>
      </w:pPr>
    </w:p>
    <w:p>
      <w:pPr>
        <w:ind w:left="180" w:firstLine="324"/>
        <w:spacing w:after="0" w:line="342" w:lineRule="auto"/>
        <w:rPr>
          <w:sz w:val="20"/>
          <w:szCs w:val="20"/>
          <w:color w:val="auto"/>
        </w:rPr>
      </w:pPr>
      <w:r>
        <w:rPr>
          <w:rFonts w:ascii="Arial" w:cs="Arial" w:eastAsia="Arial" w:hAnsi="Arial"/>
          <w:sz w:val="16"/>
          <w:szCs w:val="16"/>
          <w:color w:val="auto"/>
        </w:rPr>
        <w:t>Investment gains and losses on sales of securities are determined on a specific identification basis. Proceeds from sales or disposals of fixed maturity and equity securities and the components of fixed maturity and equity securities net investment gains (losses) were as shown in the table below.</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Years Ended December 31,</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4"/>
                <w:szCs w:val="14"/>
                <w:b w:val="1"/>
                <w:bCs w:val="1"/>
                <w:color w:val="auto"/>
              </w:rPr>
              <w:t>Fixed Maturity Securities</w:t>
            </w: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Equity Securities</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gridSpan w:val="3"/>
          </w:tcPr>
          <w:p>
            <w:pPr>
              <w:jc w:val="right"/>
              <w:ind w:right="441"/>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11,974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39,210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32,085</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601"/>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Gross investment gains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00" w:type="dxa"/>
            <w:vAlign w:val="bottom"/>
            <w:vMerge w:val="continue"/>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7"/>
                <w:szCs w:val="17"/>
                <w:color w:val="auto"/>
              </w:rPr>
            </w:pPr>
          </w:p>
        </w:tc>
        <w:tc>
          <w:tcPr>
            <w:tcW w:w="780" w:type="dxa"/>
            <w:vAlign w:val="bottom"/>
          </w:tcPr>
          <w:p>
            <w:pPr>
              <w:jc w:val="right"/>
              <w:ind w:right="601"/>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investment losses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OTTI losses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investment gains (losses)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01"/>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Loss Rollforward</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The table below presents a rollforward of the cumulative credit loss component of OTTI loss recognized in earnings on fixed maturity securities still held for which a portion of the OTTI loss was recognized in OCI:</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82"/>
              <w:spacing w:after="0"/>
              <w:rPr>
                <w:sz w:val="20"/>
                <w:szCs w:val="20"/>
                <w:color w:val="auto"/>
              </w:rPr>
            </w:pPr>
            <w:r>
              <w:rPr>
                <w:rFonts w:ascii="Arial" w:cs="Arial" w:eastAsia="Arial" w:hAnsi="Arial"/>
                <w:sz w:val="14"/>
                <w:szCs w:val="14"/>
                <w:b w:val="1"/>
                <w:bCs w:val="1"/>
                <w:color w:val="auto"/>
              </w:rPr>
              <w:t>Years Ended December 31,</w:t>
            </w:r>
          </w:p>
        </w:tc>
        <w:tc>
          <w:tcPr>
            <w:tcW w:w="42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r>
      <w:tr>
        <w:trPr>
          <w:trHeight w:val="250"/>
        </w:trPr>
        <w:tc>
          <w:tcPr>
            <w:tcW w:w="8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gridSpan w:val="3"/>
          </w:tcPr>
          <w:p>
            <w:pPr>
              <w:jc w:val="right"/>
              <w:ind w:right="542"/>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1"/>
                <w:szCs w:val="2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1,</w:t>
            </w:r>
          </w:p>
        </w:tc>
        <w:tc>
          <w:tcPr>
            <w:tcW w:w="940" w:type="dxa"/>
            <w:vAlign w:val="bottom"/>
            <w:tcBorders>
              <w:bottom w:val="single" w:sz="8" w:color="CCEEFF"/>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Additions:</w:t>
            </w: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Additional impairments — credit loss OTTI on securities previously impaired</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Reductions:</w:t>
            </w: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Sales (maturities, pay downs or prepayments) of securities previously impaired as credit loss OTTI</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37"/>
        </w:trPr>
        <w:tc>
          <w:tcPr>
            <w:tcW w:w="8580" w:type="dxa"/>
            <w:vAlign w:val="bottom"/>
          </w:tcPr>
          <w:p>
            <w:pPr>
              <w:ind w:left="200"/>
              <w:spacing w:after="0"/>
              <w:rPr>
                <w:sz w:val="20"/>
                <w:szCs w:val="20"/>
                <w:color w:val="auto"/>
              </w:rPr>
            </w:pPr>
            <w:r>
              <w:rPr>
                <w:rFonts w:ascii="Arial" w:cs="Arial" w:eastAsia="Arial" w:hAnsi="Arial"/>
                <w:sz w:val="16"/>
                <w:szCs w:val="16"/>
                <w:color w:val="auto"/>
              </w:rPr>
              <w:t>Increase in cash flows — accretion of previous credit loss OTTI</w:t>
            </w:r>
          </w:p>
        </w:tc>
        <w:tc>
          <w:tcPr>
            <w:tcW w:w="9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5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44"/>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Investment Transactions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previously transferred fixed maturity securities, mortgage loans, real estate and real estate joint ventures, to and from former affiliates, which were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96"/>
        </w:trPr>
        <w:tc>
          <w:tcPr>
            <w:tcW w:w="6740" w:type="dxa"/>
            <w:vAlign w:val="bottom"/>
          </w:tcPr>
          <w:p>
            <w:pPr>
              <w:spacing w:after="0"/>
              <w:rPr>
                <w:sz w:val="17"/>
                <w:szCs w:val="17"/>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w w:val="96"/>
              </w:rPr>
              <w:t>2016</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196"/>
        </w:trPr>
        <w:tc>
          <w:tcPr>
            <w:tcW w:w="6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center"/>
              <w:ind w:right="282"/>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3"/>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Estimated fair value of invested assets transferred to former affiliates</w:t>
            </w:r>
          </w:p>
        </w:tc>
        <w:tc>
          <w:tcPr>
            <w:tcW w:w="102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1,495</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Amortized cost of invested assets transferred to former affiliates</w:t>
            </w:r>
          </w:p>
        </w:tc>
        <w:tc>
          <w:tcPr>
            <w:tcW w:w="102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294</w:t>
            </w: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42"/>
              <w:spacing w:after="0"/>
              <w:rPr>
                <w:sz w:val="20"/>
                <w:szCs w:val="20"/>
                <w:color w:val="auto"/>
              </w:rPr>
            </w:pPr>
            <w:r>
              <w:rPr>
                <w:rFonts w:ascii="Arial" w:cs="Arial" w:eastAsia="Arial" w:hAnsi="Arial"/>
                <w:sz w:val="16"/>
                <w:szCs w:val="16"/>
                <w:color w:val="auto"/>
              </w:rPr>
              <w:t>1,400</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169</w:t>
            </w: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investment gains (losses) recognized on transfers</w:t>
            </w:r>
          </w:p>
        </w:tc>
        <w:tc>
          <w:tcPr>
            <w:tcW w:w="102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27</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Change in additional paid-in-capital recognized on transfers</w:t>
            </w:r>
          </w:p>
        </w:tc>
        <w:tc>
          <w:tcPr>
            <w:tcW w:w="102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42"/>
              <w:spacing w:after="0"/>
              <w:rPr>
                <w:sz w:val="20"/>
                <w:szCs w:val="20"/>
                <w:color w:val="auto"/>
              </w:rPr>
            </w:pPr>
            <w:r>
              <w:rPr>
                <w:rFonts w:ascii="Arial" w:cs="Arial" w:eastAsia="Arial" w:hAnsi="Arial"/>
                <w:sz w:val="16"/>
                <w:szCs w:val="16"/>
                <w:color w:val="auto"/>
              </w:rPr>
              <w:t>68</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Estimated fair value of invested assets transferred from former affiliates</w:t>
            </w:r>
          </w:p>
        </w:tc>
        <w:tc>
          <w:tcPr>
            <w:tcW w:w="1020" w:type="dxa"/>
            <w:vAlign w:val="bottom"/>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5,582</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928</w:t>
            </w:r>
          </w:p>
        </w:tc>
      </w:tr>
      <w:tr>
        <w:trPr>
          <w:trHeight w:val="33"/>
        </w:trPr>
        <w:tc>
          <w:tcPr>
            <w:tcW w:w="67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April 2016 and in November 2016, the Company received transfers of investments and cash and cash equivalents of $5.2 billion for the recapture of risks related to certain single premium deferred annuity contracts previously reinsured to MLIC, a former affiliate, which are included in the table above. See Note 6 for additional information related to these transfers.</w:t>
      </w:r>
    </w:p>
    <w:p>
      <w:pPr>
        <w:sectPr>
          <w:pgSz w:w="11900" w:h="16838" w:orient="portrait"/>
          <w:cols w:equalWidth="0" w:num="1">
            <w:col w:w="11420"/>
          </w:cols>
          <w:pgMar w:left="240" w:top="229"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1420"/>
          </w:cols>
          <w:pgMar w:left="240" w:top="229" w:right="239" w:bottom="1440" w:gutter="0" w:footer="0" w:header="0"/>
          <w:type w:val="continuous"/>
        </w:sectPr>
      </w:pPr>
    </w:p>
    <w:bookmarkStart w:id="128" w:name="page129"/>
    <w:bookmarkEnd w:id="1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 (continued)</w:t>
      </w:r>
    </w:p>
    <w:p>
      <w:pPr>
        <w:spacing w:after="0" w:line="3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At December 31, 2016, the Company had $1.1 billion of loans due from MetLife, Inc., which were included in other invested assets. These loans were carried at fixed interest rates of 4.21% and 5.10%, payable semiannually, and were due on September 30, 2032 and December 31, 2033, respectively. In April 2017, these loans were satisfied in a non-cash exchange for $1.1 billion of notes due to MetLife, Inc. See Notes 3 and 10.</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January 2017, MLIC recaptured risks related to guaranteed minimum benefit guarantees on certain variable annuities being reinsured by the Company. The Company transferred investments and cash and cash equivalents which are included in the table above. See Note 6 for additional information related to the transfer.</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March 2017, the Company sold an operating joint venture with a book value of $89 million to MLIC for $286 million. The operating joint venture was accounted for under the equity method and included in other invested assets. This sale resulted in an increase in additional paid-in capital, which is included in shareholder’s equity (See Note 11) of $202 million in the first quarter of 2017.</w:t>
      </w:r>
    </w:p>
    <w:p>
      <w:pPr>
        <w:spacing w:after="0" w:line="7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Company had affiliated loans outstanding to wholly owned real estate subsidiaries of MLIC which were fully repaid in cash by December 2015. Net investment income and mortgage loan prepayment income earned from these affiliated loans was $39 million for the year ended December 31, 2015.</w:t>
      </w:r>
    </w:p>
    <w:p>
      <w:pPr>
        <w:spacing w:after="0" w:line="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receives investment administrative services from MetLife Investment Advisors, LLC (“MLIA”), a related party investment manager. The related investment administrative service charges were $93 million, $98 million, and $79 million for the years ended December 31, 2017, 2016 and 2015,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See Note 1 for a description of the Company’s accounting policies for derivatives and Note 9 for information about the fair value hierarchy for derivatives.</w:t>
      </w:r>
    </w:p>
    <w:p>
      <w:pPr>
        <w:spacing w:after="0" w:line="62" w:lineRule="exact"/>
        <w:rPr>
          <w:sz w:val="20"/>
          <w:szCs w:val="20"/>
          <w:color w:val="auto"/>
        </w:rPr>
      </w:pPr>
    </w:p>
    <w:p>
      <w:pPr>
        <w:jc w:val="both"/>
        <w:ind w:left="180" w:firstLine="324"/>
        <w:spacing w:after="0" w:line="297" w:lineRule="auto"/>
        <w:rPr>
          <w:sz w:val="20"/>
          <w:szCs w:val="20"/>
          <w:color w:val="auto"/>
        </w:rPr>
      </w:pPr>
      <w:r>
        <w:rPr>
          <w:rFonts w:ascii="Arial" w:cs="Arial" w:eastAsia="Arial" w:hAnsi="Arial"/>
          <w:sz w:val="16"/>
          <w:szCs w:val="16"/>
          <w:color w:val="auto"/>
        </w:rPr>
        <w:t>Derivatives are financial instruments with values derived from interest rates, foreign currency exchange rates, credit spreads and/or other financial indices. Derivatives may be exchange-traded or contracted in the over-the-counter (“OTC”) market. Certain of the Company’s OTC derivatives are cleared and settled through central clearing counterparties (“OTC-cleared”), while others are bilateral contracts between two counterparties (“OTC-bilateral”). The types of derivatives the Company uses include swaps, forwards, futures and option contracts. To a lesser extent, the Company uses credit default swaps to synthetically replicate investment risks and returns which are not readily available in the cash markets.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Derivatives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Company uses a variety of interest rate derivatives to reduce its exposure to changes in interest rates, including interest rate swaps, caps, floors, swaptions, futures and forwards.</w:t>
      </w:r>
    </w:p>
    <w:p>
      <w:pPr>
        <w:spacing w:after="0" w:line="62"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Interest rate swaps are used by the Company primarily to reduce market risks from changes in interest rates and to alter interest rate exposure arising from mismatches between assets and liabilities (duration mismatches). In an interest rate swap, the Company agrees with another party to exchange, at specified intervals, the difference between fixed rate and floating rate interest amounts as calculated by reference to an agreed notional amount. The Company utilizes interest rate swaps in fair value, cash flow and nonqualifying hedging relationships.</w:t>
      </w:r>
    </w:p>
    <w:p>
      <w:pPr>
        <w:spacing w:after="0" w:line="63"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Interest rate total return swaps are swaps whereby the Company agrees with another party to exchange, at specified intervals, the difference between the economic risk and reward of an asset or a market index and the London Interbank Offered Rate (“LIBOR”), calculated by reference to an agreed notional amount. No cash is exchanged at the outset of the contract. Cash is paid and received over the life of the contract based on the terms of the swap. These transactions are entered into pursuant to master agreements that provide for a single net payment to be made by the counterparty at each due date. Interest rate total return swaps are used by the Company to reduce market risks from changes in interest rates and to alter interest rate exposure arising from mismatches between assets and liabilities (duration mismatches). The Company utilizes interest rate total return swaps in nonqualifying hedging relationships.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22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 (continued)</w:t>
      </w:r>
    </w:p>
    <w:p>
      <w:pPr>
        <w:spacing w:after="0" w:line="364"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The Company purchases interest rate caps and floors primarily to protect its floating rate liabilities against rises in interest rates above a specified level, and against interest rate exposure arising from mismatches between assets and liabilities, as well as to protect its minimum rate guarantee liabilities against declines in interest rates below a specified level, respectively. In certain instances, the Company locks in the economic impact of existing purchased caps and floors by entering into offsetting written caps and floors. The Company utilizes interest rate caps and floors in nonqualifying hedging relationships.</w:t>
      </w:r>
    </w:p>
    <w:p>
      <w:pPr>
        <w:spacing w:after="0" w:line="46" w:lineRule="exact"/>
        <w:rPr>
          <w:sz w:val="20"/>
          <w:szCs w:val="20"/>
          <w:color w:val="auto"/>
        </w:rPr>
      </w:pPr>
    </w:p>
    <w:p>
      <w:pPr>
        <w:jc w:val="both"/>
        <w:ind w:left="180" w:firstLine="324"/>
        <w:spacing w:after="0" w:line="271" w:lineRule="auto"/>
        <w:rPr>
          <w:sz w:val="20"/>
          <w:szCs w:val="20"/>
          <w:color w:val="auto"/>
        </w:rPr>
      </w:pPr>
      <w:r>
        <w:rPr>
          <w:rFonts w:ascii="Arial" w:cs="Arial" w:eastAsia="Arial" w:hAnsi="Arial"/>
          <w:sz w:val="17"/>
          <w:szCs w:val="17"/>
          <w:color w:val="auto"/>
        </w:rPr>
        <w:t>In exchange-traded interest rate (Treasury and swap) futures transactions, the Company agrees to purchase or sell a specified number of contracts, the value of which is determined by the different classes of interest rate securities, and to post variation margin on a daily basis in an amount equal to the difference in the daily market values of those contracts. The Company enters into exchange-traded futures with regulated futures commission merchants that are members of the exchange. Exchange-traded interest rate (Treasury and swap) futures are used primarily to hedge mismatches between the duration of assets in a portfolio and the duration of liabilities supported by those assets, to hedge against changes in value of securities the Company owns or anticipates acquiring, to hedge against changes in interest rates on anticipated liability issuances by replicating Treasury or swap curve performance, and to hedge minimum guarantees embedded in certain variable annuity products offered by the Company. The Company utilizes exchange-traded interest rate futures in nonqualifying hedging relationships.</w:t>
      </w:r>
    </w:p>
    <w:p>
      <w:pPr>
        <w:spacing w:after="0" w:line="71"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Swaptions are used by the Company to hedge interest rate risk associated with the Company’s long-term liabilities and invested assets. A swaption is an option to enter into a swap with a forward starting effective date. In certain instances, the Company locks in the economic impact of existing purchased swaptions by entering into offsetting written swaptions. The Company pays a premium for purchased swaptions and receives a premium for written swaptions. The Company utilizes swaptions in nonqualifying hedging relationships. Swaptions are included in interest rate options.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Foreign Currency Exchange Rate Derivatives</w:t>
      </w:r>
    </w:p>
    <w:p>
      <w:pPr>
        <w:spacing w:after="0" w:line="117"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The Company uses foreign currency swaps to reduce the risk from fluctuations in foreign currency exchange rates associated with its assets and liabilities denominated in foreign currencies. In a foreign currency swap transaction, the Company agrees with another party to exchange, at specified intervals, the difference between one currency and another at a fixed exchange rate, generally set at inception, calculated by reference to an agreed upon notional amount. The notional amount of each currency is exchanged at the inception and termination of the currency swap by each party. The Company utilizes foreign currency swaps in cash flow and nonqualifying hedging relationships.</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a lesser extent, the Company uses foreign currency forwards in nonqualifying hedging relationships.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Derivatives</w:t>
      </w:r>
    </w:p>
    <w:p>
      <w:pPr>
        <w:spacing w:after="0" w:line="117" w:lineRule="exact"/>
        <w:rPr>
          <w:sz w:val="20"/>
          <w:szCs w:val="20"/>
          <w:color w:val="auto"/>
        </w:rPr>
      </w:pPr>
    </w:p>
    <w:p>
      <w:pPr>
        <w:jc w:val="both"/>
        <w:ind w:left="180" w:firstLine="324"/>
        <w:spacing w:after="0" w:line="254" w:lineRule="auto"/>
        <w:rPr>
          <w:sz w:val="20"/>
          <w:szCs w:val="20"/>
          <w:color w:val="auto"/>
        </w:rPr>
      </w:pPr>
      <w:r>
        <w:rPr>
          <w:rFonts w:ascii="Arial" w:cs="Arial" w:eastAsia="Arial" w:hAnsi="Arial"/>
          <w:sz w:val="18"/>
          <w:szCs w:val="18"/>
          <w:color w:val="auto"/>
        </w:rPr>
        <w:t>The Company enters into purchased credit default swaps to hedge against credit-related changes in the value of its investments. In a credit default swap transaction, the Company agrees with another party to pay, at specified intervals, a premium to hedge credit risk. If a credit event occurs, as defined by the contract, the contract may be cash settled or it may be settled gross by the delivery of par quantities of the referenced investment equal to the specified swap notional amount in exchange for the payment of cash amounts by the counterparty equal to the par value of the investment surrendered. Credit events vary by type of issuer but typically include bankruptcy, failure to pay debt obligations, repudiation, moratorium, involuntary restructuring or governmental intervention. In each case, payout on a credit default swap is triggered only after the Credit Derivatives Determinations Committee of the International Swaps and Derivatives Association, Inc. (“ISDA”) deems that a credit event has occurred. The Company utilizes credit default swaps in nonqualifying hedging relationships.</w:t>
      </w:r>
    </w:p>
    <w:p>
      <w:pPr>
        <w:spacing w:after="0" w:line="84"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The Company enters into written credit default swaps to create synthetic credit investments that are either more expensive to acquire or otherwise unavailable in the cash markets. These transactions are a combination of a derivative and one or more cash instruments, such as U.S. government and agency securities or other fixed maturity securities. These credit default swaps are not designated as hedging instruments.</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Equity Derivatives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Company uses a variety of equity derivatives to reduce its exposure to equity market risk, including equity index options, equity variance swaps, exchange-traded equity futures and equity total return swaps.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22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 (continued)</w:t>
      </w:r>
    </w:p>
    <w:p>
      <w:pPr>
        <w:spacing w:after="0" w:line="364"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Equity index options are used by the Company primarily to hedge minimum guarantees embedded in certain variable annuity products offered by the Company. To hedge against adverse changes in equity indices, the Company enters into contracts to sell the equity index within a limited time at a contracted price. The contracts will be net settled in cash based on differentials in the indices at the time of exercise and the strike price. Certain of these contracts may also contain settlement provisions linked to interest rates. In certain instances, the Company may enter into a combination of transactions to hedge adverse changes in equity indices within a pre-determined range through the purchase and sale of options. The Company utilizes equity index options in nonqualifying hedging relationships.</w:t>
      </w:r>
    </w:p>
    <w:p>
      <w:pPr>
        <w:spacing w:after="0" w:line="85"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Equity variance swaps are used by the Company primarily to hedge minimum guarantees embedded in certain variable annuity products offered by the Company. In an equity variance swap, the Company agrees with another party to exchange amounts in the future, based on changes in equity volatility over a defined period. The Company utilizes equity variance swaps in nonqualifying hedging relationships.</w:t>
      </w:r>
    </w:p>
    <w:p>
      <w:pPr>
        <w:spacing w:after="0" w:line="73"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In exchange-traded equity futures transactions, the Company agrees to purchase or sell a specified number of contracts, the value of which is determined by the different classes of equity securities, and to post variation margin on a daily basis in an amount equal to the difference in the daily market values of those contracts. The Company enters into exchange-traded futures with regulated futures commission merchants that are members of the exchange. Exchange-traded equity futures are used primarily to hedge minimum guarantees embedded in certain variable annuity products offered by the Company. The Company utilizes exchange-traded equity futures in nonqualifying hedging relationships.</w:t>
      </w:r>
    </w:p>
    <w:p>
      <w:pPr>
        <w:spacing w:after="0" w:line="64"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In an equity total return swap, the Company agrees with another party to exchange, at specified intervals, the difference between the economic risk and reward of an asset or a market index and the LIBOR, calculated by reference to an agreed notional amount. No cash is exchanged at the outset of the contract. Cash is paid and received over the life of the contract based on the terms of the swap. The Company uses equity total return swaps to hedge its equity market guarantees in certain of its insurance products. Equity total return swaps can be used as hedges or to create synthetic investments. The Company utilizes equity total return swaps in nonqualifying hedging relationships.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22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Risks Managed by Derivatives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primary underlying risk exposure, gross notional amount, and estimated fair value of the Company’s derivatives, excluding embedded derivatives, held at:</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7"/>
              </w:rPr>
              <w:t>December 31,</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0" w:type="dxa"/>
            <w:vAlign w:val="bottom"/>
            <w:gridSpan w:val="5"/>
          </w:tcPr>
          <w:p>
            <w:pPr>
              <w:ind w:left="220"/>
              <w:spacing w:after="0"/>
              <w:rPr>
                <w:sz w:val="20"/>
                <w:szCs w:val="20"/>
                <w:color w:val="auto"/>
              </w:rPr>
            </w:pPr>
            <w:r>
              <w:rPr>
                <w:rFonts w:ascii="Arial" w:cs="Arial" w:eastAsia="Arial" w:hAnsi="Arial"/>
                <w:sz w:val="13"/>
                <w:szCs w:val="13"/>
                <w:b w:val="1"/>
                <w:bCs w:val="1"/>
                <w:color w:val="auto"/>
              </w:rPr>
              <w:t>Estimated Fair Value</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gridSpan w:val="4"/>
          </w:tcPr>
          <w:p>
            <w:pPr>
              <w:jc w:val="right"/>
              <w:ind w:right="348"/>
              <w:spacing w:after="0"/>
              <w:rPr>
                <w:sz w:val="20"/>
                <w:szCs w:val="20"/>
                <w:color w:val="auto"/>
              </w:rPr>
            </w:pPr>
            <w:r>
              <w:rPr>
                <w:rFonts w:ascii="Arial" w:cs="Arial" w:eastAsia="Arial" w:hAnsi="Arial"/>
                <w:sz w:val="13"/>
                <w:szCs w:val="13"/>
                <w:b w:val="1"/>
                <w:bCs w:val="1"/>
                <w:color w:val="auto"/>
              </w:rPr>
              <w:t>Estimated Fair Value</w:t>
            </w:r>
          </w:p>
        </w:tc>
        <w:tc>
          <w:tcPr>
            <w:tcW w:w="0" w:type="dxa"/>
            <w:vAlign w:val="bottom"/>
          </w:tcPr>
          <w:p>
            <w:pPr>
              <w:spacing w:after="0"/>
              <w:rPr>
                <w:sz w:val="1"/>
                <w:szCs w:val="1"/>
                <w:color w:val="auto"/>
              </w:rPr>
            </w:pPr>
          </w:p>
        </w:tc>
      </w:tr>
      <w:tr>
        <w:trPr>
          <w:trHeight w:val="130"/>
        </w:trPr>
        <w:tc>
          <w:tcPr>
            <w:tcW w:w="230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280"/>
              <w:spacing w:after="0" w:line="131" w:lineRule="exact"/>
              <w:rPr>
                <w:sz w:val="20"/>
                <w:szCs w:val="20"/>
                <w:color w:val="auto"/>
              </w:rPr>
            </w:pPr>
            <w:r>
              <w:rPr>
                <w:rFonts w:ascii="Arial" w:cs="Arial" w:eastAsia="Arial" w:hAnsi="Arial"/>
                <w:sz w:val="13"/>
                <w:szCs w:val="13"/>
                <w:b w:val="1"/>
                <w:bCs w:val="1"/>
                <w:color w:val="auto"/>
                <w:w w:val="85"/>
              </w:rPr>
              <w:t>Gross</w:t>
            </w: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center"/>
              <w:ind w:right="300"/>
              <w:spacing w:after="0" w:line="131" w:lineRule="exact"/>
              <w:rPr>
                <w:sz w:val="20"/>
                <w:szCs w:val="20"/>
                <w:color w:val="auto"/>
              </w:rPr>
            </w:pPr>
            <w:r>
              <w:rPr>
                <w:rFonts w:ascii="Arial" w:cs="Arial" w:eastAsia="Arial" w:hAnsi="Arial"/>
                <w:sz w:val="13"/>
                <w:szCs w:val="13"/>
                <w:b w:val="1"/>
                <w:bCs w:val="1"/>
                <w:color w:val="auto"/>
                <w:w w:val="79"/>
              </w:rPr>
              <w:t>Gross</w:t>
            </w: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Notional</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2980" w:type="dxa"/>
            <w:vAlign w:val="bottom"/>
            <w:gridSpan w:val="2"/>
          </w:tcPr>
          <w:p>
            <w:pPr>
              <w:ind w:left="480"/>
              <w:spacing w:after="0"/>
              <w:rPr>
                <w:sz w:val="20"/>
                <w:szCs w:val="20"/>
                <w:color w:val="auto"/>
              </w:rPr>
            </w:pPr>
            <w:r>
              <w:rPr>
                <w:rFonts w:ascii="Arial" w:cs="Arial" w:eastAsia="Arial" w:hAnsi="Arial"/>
                <w:sz w:val="13"/>
                <w:szCs w:val="13"/>
                <w:b w:val="1"/>
                <w:bCs w:val="1"/>
                <w:color w:val="auto"/>
              </w:rPr>
              <w:t>Primary Underlying Risk Exposure</w:t>
            </w:r>
          </w:p>
        </w:tc>
        <w:tc>
          <w:tcPr>
            <w:tcW w:w="1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Assets</w:t>
            </w:r>
          </w:p>
        </w:tc>
        <w:tc>
          <w:tcPr>
            <w:tcW w:w="18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Liabilities</w:t>
            </w:r>
          </w:p>
        </w:tc>
        <w:tc>
          <w:tcPr>
            <w:tcW w:w="20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Assets</w:t>
            </w:r>
          </w:p>
        </w:tc>
        <w:tc>
          <w:tcPr>
            <w:tcW w:w="180" w:type="dxa"/>
            <w:vAlign w:val="bottom"/>
          </w:tcPr>
          <w:p>
            <w:pPr>
              <w:spacing w:after="0"/>
              <w:rPr>
                <w:sz w:val="15"/>
                <w:szCs w:val="15"/>
                <w:color w:val="auto"/>
              </w:rPr>
            </w:pPr>
          </w:p>
        </w:tc>
        <w:tc>
          <w:tcPr>
            <w:tcW w:w="840" w:type="dxa"/>
            <w:vAlign w:val="bottom"/>
          </w:tcPr>
          <w:p>
            <w:pPr>
              <w:jc w:val="right"/>
              <w:ind w:right="168"/>
              <w:spacing w:after="0"/>
              <w:rPr>
                <w:sz w:val="20"/>
                <w:szCs w:val="20"/>
                <w:color w:val="auto"/>
              </w:rPr>
            </w:pPr>
            <w:r>
              <w:rPr>
                <w:rFonts w:ascii="Arial" w:cs="Arial" w:eastAsia="Arial" w:hAnsi="Arial"/>
                <w:sz w:val="13"/>
                <w:szCs w:val="13"/>
                <w:b w:val="1"/>
                <w:bCs w:val="1"/>
                <w:color w:val="auto"/>
                <w:w w:val="96"/>
              </w:rPr>
              <w:t>Liabilities</w:t>
            </w:r>
          </w:p>
        </w:tc>
        <w:tc>
          <w:tcPr>
            <w:tcW w:w="0" w:type="dxa"/>
            <w:vAlign w:val="bottom"/>
          </w:tcPr>
          <w:p>
            <w:pPr>
              <w:spacing w:after="0"/>
              <w:rPr>
                <w:sz w:val="1"/>
                <w:szCs w:val="1"/>
                <w:color w:val="auto"/>
              </w:rPr>
            </w:pPr>
          </w:p>
        </w:tc>
      </w:tr>
      <w:tr>
        <w:trPr>
          <w:trHeight w:val="262"/>
        </w:trPr>
        <w:tc>
          <w:tcPr>
            <w:tcW w:w="2300" w:type="dxa"/>
            <w:vAlign w:val="bottom"/>
          </w:tcPr>
          <w:p>
            <w:pPr>
              <w:spacing w:after="0"/>
              <w:rPr>
                <w:sz w:val="22"/>
                <w:szCs w:val="22"/>
                <w:color w:val="auto"/>
              </w:rPr>
            </w:pPr>
          </w:p>
        </w:tc>
        <w:tc>
          <w:tcPr>
            <w:tcW w:w="2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060" w:type="dxa"/>
            <w:vAlign w:val="bottom"/>
            <w:tcBorders>
              <w:top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0"/>
              </w:rPr>
              <w:t>(In millions)</w:t>
            </w: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52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2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Fair value hedges:</w:t>
            </w: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300" w:type="dxa"/>
            <w:vAlign w:val="bottom"/>
          </w:tcPr>
          <w:p>
            <w:pPr>
              <w:spacing w:after="0"/>
              <w:rPr>
                <w:sz w:val="6"/>
                <w:szCs w:val="6"/>
                <w:color w:val="auto"/>
              </w:rPr>
            </w:pPr>
          </w:p>
        </w:tc>
        <w:tc>
          <w:tcPr>
            <w:tcW w:w="2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rate swaps</w:t>
            </w:r>
          </w:p>
        </w:tc>
        <w:tc>
          <w:tcPr>
            <w:tcW w:w="29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Interest rate</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2980" w:type="dxa"/>
            <w:vAlign w:val="bottom"/>
            <w:gridSpan w:val="2"/>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30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3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rate swaps</w:t>
            </w:r>
          </w:p>
        </w:tc>
        <w:tc>
          <w:tcPr>
            <w:tcW w:w="29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Interest rate</w:t>
            </w:r>
          </w:p>
        </w:tc>
        <w:tc>
          <w:tcPr>
            <w:tcW w:w="1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29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3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Foreign currency swaps</w:t>
            </w:r>
          </w:p>
        </w:tc>
        <w:tc>
          <w:tcPr>
            <w:tcW w:w="29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Foreign currency exchange rate</w:t>
            </w: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1,762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1,420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186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7"/>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Subtotal</w:t>
            </w:r>
          </w:p>
        </w:tc>
        <w:tc>
          <w:tcPr>
            <w:tcW w:w="2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1,789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1,465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2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300" w:type="dxa"/>
            <w:vAlign w:val="bottom"/>
          </w:tcPr>
          <w:p>
            <w:pPr>
              <w:ind w:left="520"/>
              <w:spacing w:after="0"/>
              <w:rPr>
                <w:sz w:val="20"/>
                <w:szCs w:val="20"/>
                <w:color w:val="auto"/>
              </w:rPr>
            </w:pPr>
            <w:r>
              <w:rPr>
                <w:rFonts w:ascii="Arial" w:cs="Arial" w:eastAsia="Arial" w:hAnsi="Arial"/>
                <w:sz w:val="14"/>
                <w:szCs w:val="14"/>
                <w:color w:val="auto"/>
              </w:rPr>
              <w:t>Total qualifying hedges</w:t>
            </w: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1,964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right"/>
              <w:ind w:right="49"/>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1,775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74"/>
        </w:trPr>
        <w:tc>
          <w:tcPr>
            <w:tcW w:w="2300" w:type="dxa"/>
            <w:vAlign w:val="bottom"/>
            <w:tcBorders>
              <w:bottom w:val="single" w:sz="8" w:color="CCEEFF"/>
            </w:tcBorders>
          </w:tcPr>
          <w:p>
            <w:pPr>
              <w:spacing w:after="0"/>
              <w:rPr>
                <w:sz w:val="6"/>
                <w:szCs w:val="6"/>
                <w:color w:val="auto"/>
              </w:rPr>
            </w:pPr>
          </w:p>
        </w:tc>
        <w:tc>
          <w:tcPr>
            <w:tcW w:w="286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2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Not Designated or Not Qualifying as Hedging Instruments</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300" w:type="dxa"/>
            <w:vAlign w:val="bottom"/>
            <w:shd w:val="clear" w:color="auto" w:fill="CCEEFF"/>
          </w:tcPr>
          <w:p>
            <w:pPr>
              <w:spacing w:after="0"/>
              <w:rPr>
                <w:sz w:val="8"/>
                <w:szCs w:val="8"/>
                <w:color w:val="auto"/>
              </w:rPr>
            </w:pPr>
          </w:p>
        </w:tc>
        <w:tc>
          <w:tcPr>
            <w:tcW w:w="28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Interest rate swaps</w:t>
            </w:r>
          </w:p>
        </w:tc>
        <w:tc>
          <w:tcPr>
            <w:tcW w:w="2980" w:type="dxa"/>
            <w:vAlign w:val="bottom"/>
            <w:gridSpan w:val="2"/>
            <w:vMerge w:val="restart"/>
          </w:tcPr>
          <w:p>
            <w:pPr>
              <w:ind w:left="40"/>
              <w:spacing w:after="0"/>
              <w:rPr>
                <w:sz w:val="20"/>
                <w:szCs w:val="20"/>
                <w:color w:val="auto"/>
              </w:rPr>
            </w:pPr>
            <w:r>
              <w:rPr>
                <w:rFonts w:ascii="Arial" w:cs="Arial" w:eastAsia="Arial" w:hAnsi="Arial"/>
                <w:sz w:val="14"/>
                <w:szCs w:val="14"/>
                <w:color w:val="auto"/>
              </w:rPr>
              <w:t>Interest rate</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20,213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jc w:val="right"/>
              <w:ind w:right="49"/>
              <w:spacing w:after="0"/>
              <w:rPr>
                <w:sz w:val="20"/>
                <w:szCs w:val="20"/>
                <w:color w:val="auto"/>
              </w:rPr>
            </w:pPr>
            <w:r>
              <w:rPr>
                <w:rFonts w:ascii="Arial" w:cs="Arial" w:eastAsia="Arial" w:hAnsi="Arial"/>
                <w:sz w:val="14"/>
                <w:szCs w:val="14"/>
                <w:color w:val="auto"/>
              </w:rPr>
              <w:t>922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28,175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1,928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1,688</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29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floors</w:t>
            </w:r>
          </w:p>
        </w:tc>
        <w:tc>
          <w:tcPr>
            <w:tcW w:w="29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Interest rate</w:t>
            </w:r>
          </w:p>
        </w:tc>
        <w:tc>
          <w:tcPr>
            <w:tcW w:w="18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2,100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29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Interest rate caps</w:t>
            </w:r>
          </w:p>
        </w:tc>
        <w:tc>
          <w:tcPr>
            <w:tcW w:w="2980" w:type="dxa"/>
            <w:vAlign w:val="bottom"/>
            <w:gridSpan w:val="2"/>
            <w:vMerge w:val="restart"/>
          </w:tcPr>
          <w:p>
            <w:pPr>
              <w:ind w:left="40"/>
              <w:spacing w:after="0"/>
              <w:rPr>
                <w:sz w:val="20"/>
                <w:szCs w:val="20"/>
                <w:color w:val="auto"/>
              </w:rPr>
            </w:pPr>
            <w:r>
              <w:rPr>
                <w:rFonts w:ascii="Arial" w:cs="Arial" w:eastAsia="Arial" w:hAnsi="Arial"/>
                <w:sz w:val="14"/>
                <w:szCs w:val="14"/>
                <w:color w:val="auto"/>
              </w:rPr>
              <w:t>Interest rate</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2,671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jc w:val="right"/>
              <w:ind w:right="49"/>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12,042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29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futures</w:t>
            </w:r>
          </w:p>
        </w:tc>
        <w:tc>
          <w:tcPr>
            <w:tcW w:w="29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Interest rate</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29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Interest rate options</w:t>
            </w:r>
          </w:p>
        </w:tc>
        <w:tc>
          <w:tcPr>
            <w:tcW w:w="2980" w:type="dxa"/>
            <w:vAlign w:val="bottom"/>
            <w:gridSpan w:val="2"/>
            <w:vMerge w:val="restart"/>
          </w:tcPr>
          <w:p>
            <w:pPr>
              <w:ind w:left="40"/>
              <w:spacing w:after="0"/>
              <w:rPr>
                <w:sz w:val="20"/>
                <w:szCs w:val="20"/>
                <w:color w:val="auto"/>
              </w:rPr>
            </w:pPr>
            <w:r>
              <w:rPr>
                <w:rFonts w:ascii="Arial" w:cs="Arial" w:eastAsia="Arial" w:hAnsi="Arial"/>
                <w:sz w:val="14"/>
                <w:szCs w:val="14"/>
                <w:color w:val="auto"/>
              </w:rPr>
              <w:t>Interest rate</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24,600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jc w:val="right"/>
              <w:ind w:right="49"/>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15,520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29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total return swaps</w:t>
            </w:r>
          </w:p>
        </w:tc>
        <w:tc>
          <w:tcPr>
            <w:tcW w:w="29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Interest rate</w:t>
            </w:r>
          </w:p>
        </w:tc>
        <w:tc>
          <w:tcPr>
            <w:tcW w:w="18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3,876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29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Foreign currency swaps</w:t>
            </w:r>
          </w:p>
        </w:tc>
        <w:tc>
          <w:tcPr>
            <w:tcW w:w="2980" w:type="dxa"/>
            <w:vAlign w:val="bottom"/>
            <w:gridSpan w:val="2"/>
          </w:tcPr>
          <w:p>
            <w:pPr>
              <w:ind w:left="40"/>
              <w:spacing w:after="0"/>
              <w:rPr>
                <w:sz w:val="20"/>
                <w:szCs w:val="20"/>
                <w:color w:val="auto"/>
              </w:rPr>
            </w:pPr>
            <w:r>
              <w:rPr>
                <w:rFonts w:ascii="Arial" w:cs="Arial" w:eastAsia="Arial" w:hAnsi="Arial"/>
                <w:sz w:val="14"/>
                <w:szCs w:val="14"/>
                <w:color w:val="auto"/>
              </w:rPr>
              <w:t>Foreign currency exchange rate</w:t>
            </w:r>
          </w:p>
        </w:tc>
        <w:tc>
          <w:tcPr>
            <w:tcW w:w="18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1,103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1,250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forwards</w:t>
            </w:r>
          </w:p>
        </w:tc>
        <w:tc>
          <w:tcPr>
            <w:tcW w:w="29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Foreign currency exchange rate</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Credit default swaps — purchased</w:t>
            </w:r>
          </w:p>
        </w:tc>
        <w:tc>
          <w:tcPr>
            <w:tcW w:w="2980" w:type="dxa"/>
            <w:vAlign w:val="bottom"/>
            <w:gridSpan w:val="2"/>
          </w:tcPr>
          <w:p>
            <w:pPr>
              <w:ind w:left="40"/>
              <w:spacing w:after="0"/>
              <w:rPr>
                <w:sz w:val="20"/>
                <w:szCs w:val="20"/>
                <w:color w:val="auto"/>
              </w:rPr>
            </w:pPr>
            <w:r>
              <w:rPr>
                <w:rFonts w:ascii="Arial" w:cs="Arial" w:eastAsia="Arial" w:hAnsi="Arial"/>
                <w:sz w:val="14"/>
                <w:szCs w:val="14"/>
                <w:color w:val="auto"/>
              </w:rPr>
              <w:t>Credit</w:t>
            </w:r>
          </w:p>
        </w:tc>
        <w:tc>
          <w:tcPr>
            <w:tcW w:w="18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 default swaps — written</w:t>
            </w:r>
          </w:p>
        </w:tc>
        <w:tc>
          <w:tcPr>
            <w:tcW w:w="29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Credit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1,878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1,891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29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Equity futures</w:t>
            </w:r>
          </w:p>
        </w:tc>
        <w:tc>
          <w:tcPr>
            <w:tcW w:w="2980" w:type="dxa"/>
            <w:vAlign w:val="bottom"/>
            <w:gridSpan w:val="2"/>
            <w:vMerge w:val="restart"/>
          </w:tcPr>
          <w:p>
            <w:pPr>
              <w:ind w:left="40"/>
              <w:spacing w:after="0"/>
              <w:rPr>
                <w:sz w:val="20"/>
                <w:szCs w:val="20"/>
                <w:color w:val="auto"/>
              </w:rPr>
            </w:pPr>
            <w:r>
              <w:rPr>
                <w:rFonts w:ascii="Arial" w:cs="Arial" w:eastAsia="Arial" w:hAnsi="Arial"/>
                <w:sz w:val="14"/>
                <w:szCs w:val="14"/>
                <w:color w:val="auto"/>
              </w:rPr>
              <w:t>Equity market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2,713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jc w:val="right"/>
              <w:ind w:right="49"/>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8,037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29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index options</w:t>
            </w:r>
          </w:p>
        </w:tc>
        <w:tc>
          <w:tcPr>
            <w:tcW w:w="29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Equity market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47,066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794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37,501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934</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29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00" w:type="dxa"/>
            <w:vAlign w:val="bottom"/>
          </w:tcPr>
          <w:p>
            <w:pPr>
              <w:ind w:left="40"/>
              <w:spacing w:after="0"/>
              <w:rPr>
                <w:sz w:val="20"/>
                <w:szCs w:val="20"/>
                <w:color w:val="auto"/>
              </w:rPr>
            </w:pPr>
            <w:r>
              <w:rPr>
                <w:rFonts w:ascii="Arial" w:cs="Arial" w:eastAsia="Arial" w:hAnsi="Arial"/>
                <w:sz w:val="14"/>
                <w:szCs w:val="14"/>
                <w:color w:val="auto"/>
              </w:rPr>
              <w:t>Equity variance swaps</w:t>
            </w:r>
          </w:p>
        </w:tc>
        <w:tc>
          <w:tcPr>
            <w:tcW w:w="2980" w:type="dxa"/>
            <w:vAlign w:val="bottom"/>
            <w:gridSpan w:val="2"/>
            <w:vMerge w:val="restart"/>
          </w:tcPr>
          <w:p>
            <w:pPr>
              <w:ind w:left="40"/>
              <w:spacing w:after="0"/>
              <w:rPr>
                <w:sz w:val="20"/>
                <w:szCs w:val="20"/>
                <w:color w:val="auto"/>
              </w:rPr>
            </w:pPr>
            <w:r>
              <w:rPr>
                <w:rFonts w:ascii="Arial" w:cs="Arial" w:eastAsia="Arial" w:hAnsi="Arial"/>
                <w:sz w:val="14"/>
                <w:szCs w:val="14"/>
                <w:color w:val="auto"/>
              </w:rPr>
              <w:t>Equity market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8,998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jc w:val="right"/>
              <w:ind w:right="49"/>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14,894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29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total return swaps</w:t>
            </w:r>
          </w:p>
        </w:tc>
        <w:tc>
          <w:tcPr>
            <w:tcW w:w="29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Equity market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1,767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2,855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80"/>
        </w:trPr>
        <w:tc>
          <w:tcPr>
            <w:tcW w:w="2300" w:type="dxa"/>
            <w:vAlign w:val="bottom"/>
            <w:shd w:val="clear" w:color="auto" w:fill="CCEEFF"/>
          </w:tcPr>
          <w:p>
            <w:pPr>
              <w:spacing w:after="0"/>
              <w:rPr>
                <w:sz w:val="6"/>
                <w:szCs w:val="6"/>
                <w:color w:val="auto"/>
              </w:rPr>
            </w:pPr>
          </w:p>
        </w:tc>
        <w:tc>
          <w:tcPr>
            <w:tcW w:w="29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280" w:type="dxa"/>
            <w:vAlign w:val="bottom"/>
            <w:gridSpan w:val="3"/>
          </w:tcPr>
          <w:p>
            <w:pPr>
              <w:ind w:left="520"/>
              <w:spacing w:after="0"/>
              <w:rPr>
                <w:sz w:val="20"/>
                <w:szCs w:val="20"/>
                <w:color w:val="auto"/>
              </w:rPr>
            </w:pPr>
            <w:r>
              <w:rPr>
                <w:rFonts w:ascii="Arial" w:cs="Arial" w:eastAsia="Arial" w:hAnsi="Arial"/>
                <w:sz w:val="14"/>
                <w:szCs w:val="14"/>
                <w:color w:val="auto"/>
              </w:rPr>
              <w:t>Total non-designated or nonqualifying derivatives</w:t>
            </w: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111,486</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2,109</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3,054</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129,621</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3,369</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3,873</w:t>
            </w:r>
          </w:p>
        </w:tc>
        <w:tc>
          <w:tcPr>
            <w:tcW w:w="0" w:type="dxa"/>
            <w:vAlign w:val="bottom"/>
          </w:tcPr>
          <w:p>
            <w:pPr>
              <w:spacing w:after="0"/>
              <w:rPr>
                <w:sz w:val="1"/>
                <w:szCs w:val="1"/>
                <w:color w:val="auto"/>
              </w:rPr>
            </w:pPr>
          </w:p>
        </w:tc>
      </w:tr>
      <w:tr>
        <w:trPr>
          <w:trHeight w:val="74"/>
        </w:trPr>
        <w:tc>
          <w:tcPr>
            <w:tcW w:w="2300" w:type="dxa"/>
            <w:vAlign w:val="bottom"/>
            <w:tcBorders>
              <w:bottom w:val="single" w:sz="8" w:color="CCEEFF"/>
            </w:tcBorders>
          </w:tcPr>
          <w:p>
            <w:pPr>
              <w:spacing w:after="0"/>
              <w:rPr>
                <w:sz w:val="6"/>
                <w:szCs w:val="6"/>
                <w:color w:val="auto"/>
              </w:rPr>
            </w:pPr>
          </w:p>
        </w:tc>
        <w:tc>
          <w:tcPr>
            <w:tcW w:w="286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300" w:type="dxa"/>
            <w:vAlign w:val="bottom"/>
            <w:shd w:val="clear" w:color="auto" w:fill="CCEEFF"/>
          </w:tcPr>
          <w:p>
            <w:pPr>
              <w:ind w:left="840"/>
              <w:spacing w:after="0"/>
              <w:rPr>
                <w:sz w:val="20"/>
                <w:szCs w:val="20"/>
                <w:color w:val="auto"/>
              </w:rPr>
            </w:pPr>
            <w:r>
              <w:rPr>
                <w:rFonts w:ascii="Arial" w:cs="Arial" w:eastAsia="Arial" w:hAnsi="Arial"/>
                <w:sz w:val="14"/>
                <w:szCs w:val="14"/>
                <w:color w:val="auto"/>
              </w:rPr>
              <w:t>Total</w:t>
            </w:r>
          </w:p>
        </w:tc>
        <w:tc>
          <w:tcPr>
            <w:tcW w:w="2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113,450</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2,244</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3,129</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131,396</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3,603</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3,883</w:t>
            </w:r>
          </w:p>
        </w:tc>
        <w:tc>
          <w:tcPr>
            <w:tcW w:w="0" w:type="dxa"/>
            <w:vAlign w:val="bottom"/>
          </w:tcPr>
          <w:p>
            <w:pPr>
              <w:spacing w:after="0"/>
              <w:rPr>
                <w:sz w:val="1"/>
                <w:szCs w:val="1"/>
                <w:color w:val="auto"/>
              </w:rPr>
            </w:pPr>
          </w:p>
        </w:tc>
      </w:tr>
      <w:tr>
        <w:trPr>
          <w:trHeight w:val="60"/>
        </w:trPr>
        <w:tc>
          <w:tcPr>
            <w:tcW w:w="2300" w:type="dxa"/>
            <w:vAlign w:val="bottom"/>
            <w:tcBorders>
              <w:bottom w:val="single" w:sz="8" w:color="CCEEFF"/>
            </w:tcBorders>
            <w:shd w:val="clear" w:color="auto" w:fill="CCEEFF"/>
          </w:tcPr>
          <w:p>
            <w:pPr>
              <w:spacing w:after="0"/>
              <w:rPr>
                <w:sz w:val="5"/>
                <w:szCs w:val="5"/>
                <w:color w:val="auto"/>
              </w:rPr>
            </w:pPr>
          </w:p>
        </w:tc>
        <w:tc>
          <w:tcPr>
            <w:tcW w:w="286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5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7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Based on gross notional amounts, a substantial portion of the Company’s derivatives was not designated or did not qualify as part of a hedging relationship at both December 31, 2017 and 2016. The Company’s use of derivatives includes (i) derivatives that serve as macro hedges of the Company’s exposure to various risks and that generally do not qualify for hedge accounting due to the criteria required under the portfolio hedging rules; (ii) derivatives that economically hedge insurance liabilities that contain mortality or morbidity risk and that generally do not qualify for hedge accounting because the lack of these risks in the derivatives cannot support an expectation of a highly effective hedging relationship; (iii) derivatives that economically hedge embedded derivatives that do not qualify for hedge accounting because the changes in estimated fair value of the embedded derivatives are already recorded in net income; and (iv) written credit default swaps that are used to create synthetic credit investments and that do not qualify for hedge accounting because they do not involve a hedging relationship. For these nonqualified derivatives, changes in market factors can lead to the recognition of fair value changes on the statement of operations without an offsetting gain or loss recognized in earnings for the item being hedged.</w:t>
      </w:r>
    </w:p>
    <w:p>
      <w:pPr>
        <w:sectPr>
          <w:pgSz w:w="11900" w:h="16838" w:orient="portrait"/>
          <w:cols w:equalWidth="0" w:num="1">
            <w:col w:w="11420"/>
          </w:cols>
          <w:pgMar w:left="240" w:top="229" w:right="239"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1420"/>
          </w:cols>
          <w:pgMar w:left="240" w:top="229" w:right="239" w:bottom="1440" w:gutter="0" w:footer="0" w:header="0"/>
          <w:type w:val="continuous"/>
        </w:sectPr>
      </w:pPr>
    </w:p>
    <w:bookmarkStart w:id="132" w:name="page133"/>
    <w:bookmarkEnd w:id="1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earned income on derivatives: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Qualifying hedges:</w:t>
            </w:r>
          </w:p>
        </w:tc>
        <w:tc>
          <w:tcPr>
            <w:tcW w:w="10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Net investment income</w:t>
            </w:r>
          </w:p>
        </w:tc>
        <w:tc>
          <w:tcPr>
            <w:tcW w:w="1020" w:type="dxa"/>
            <w:vAlign w:val="bottom"/>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w:t>
            </w:r>
          </w:p>
        </w:tc>
      </w:tr>
      <w:tr>
        <w:trPr>
          <w:trHeight w:val="33"/>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credited to policyholder account balances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Nonqualifying hedges:</w:t>
            </w: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derivative gains (losses)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w:t>
            </w: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Policyholder benefits and claims</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14</w:t>
            </w:r>
          </w:p>
        </w:tc>
      </w:tr>
      <w:tr>
        <w:trPr>
          <w:trHeight w:val="33"/>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present the amount and location of gains (losses) recognized for derivatives and gains (losses) pertaining to hedged items presented in net derivative gains (losses):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6"/>
          </w:tcPr>
          <w:p>
            <w:pPr>
              <w:jc w:val="center"/>
              <w:ind w:left="181"/>
              <w:spacing w:after="0"/>
              <w:rPr>
                <w:sz w:val="20"/>
                <w:szCs w:val="20"/>
                <w:color w:val="auto"/>
              </w:rPr>
            </w:pPr>
            <w:r>
              <w:rPr>
                <w:rFonts w:ascii="Arial" w:cs="Arial" w:eastAsia="Arial" w:hAnsi="Arial"/>
                <w:sz w:val="16"/>
                <w:szCs w:val="16"/>
                <w:b w:val="1"/>
                <w:bCs w:val="1"/>
                <w:color w:val="auto"/>
                <w:w w:val="91"/>
              </w:rPr>
              <w:t>Year Ended December 31, 2017</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Amount of</w:t>
            </w:r>
          </w:p>
        </w:tc>
        <w:tc>
          <w:tcPr>
            <w:tcW w:w="0" w:type="dxa"/>
            <w:vAlign w:val="bottom"/>
          </w:tcPr>
          <w:p>
            <w:pPr>
              <w:spacing w:after="0"/>
              <w:rPr>
                <w:sz w:val="1"/>
                <w:szCs w:val="1"/>
                <w:color w:val="auto"/>
              </w:rPr>
            </w:pPr>
          </w:p>
        </w:tc>
      </w:tr>
      <w:tr>
        <w:trPr>
          <w:trHeight w:val="59"/>
        </w:trPr>
        <w:tc>
          <w:tcPr>
            <w:tcW w:w="5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89"/>
              </w:rPr>
              <w:t>Gains</w:t>
            </w:r>
          </w:p>
        </w:tc>
        <w:tc>
          <w:tcPr>
            <w:tcW w:w="0" w:type="dxa"/>
            <w:vAlign w:val="bottom"/>
          </w:tcPr>
          <w:p>
            <w:pPr>
              <w:spacing w:after="0"/>
              <w:rPr>
                <w:sz w:val="1"/>
                <w:szCs w:val="1"/>
                <w:color w:val="auto"/>
              </w:rPr>
            </w:pPr>
          </w:p>
        </w:tc>
      </w:tr>
      <w:tr>
        <w:trPr>
          <w:trHeight w:val="144"/>
        </w:trPr>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Derivatives</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Policyholder</w:t>
            </w:r>
          </w:p>
        </w:tc>
        <w:tc>
          <w:tcPr>
            <w:tcW w:w="140" w:type="dxa"/>
            <w:vAlign w:val="bottom"/>
          </w:tcPr>
          <w:p>
            <w:pPr>
              <w:spacing w:after="0"/>
              <w:rPr>
                <w:sz w:val="14"/>
                <w:szCs w:val="14"/>
                <w:color w:val="auto"/>
              </w:rPr>
            </w:pPr>
          </w:p>
        </w:tc>
        <w:tc>
          <w:tcPr>
            <w:tcW w:w="76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5"/>
              </w:rPr>
              <w:t>(Losses)</w:t>
            </w:r>
          </w:p>
        </w:tc>
        <w:tc>
          <w:tcPr>
            <w:tcW w:w="0" w:type="dxa"/>
            <w:vAlign w:val="bottom"/>
          </w:tcPr>
          <w:p>
            <w:pPr>
              <w:spacing w:after="0"/>
              <w:rPr>
                <w:sz w:val="1"/>
                <w:szCs w:val="1"/>
                <w:color w:val="auto"/>
              </w:rPr>
            </w:pPr>
          </w:p>
        </w:tc>
      </w:tr>
      <w:tr>
        <w:trPr>
          <w:trHeight w:val="139"/>
        </w:trPr>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86"/>
              </w:rPr>
              <w:t>(Losses)</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87"/>
              </w:rPr>
              <w:t>Gains (Losses)</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deferred in</w:t>
            </w:r>
          </w:p>
        </w:tc>
        <w:tc>
          <w:tcPr>
            <w:tcW w:w="0" w:type="dxa"/>
            <w:vAlign w:val="bottom"/>
          </w:tcPr>
          <w:p>
            <w:pPr>
              <w:spacing w:after="0"/>
              <w:rPr>
                <w:sz w:val="1"/>
                <w:szCs w:val="1"/>
                <w:color w:val="auto"/>
              </w:rPr>
            </w:pPr>
          </w:p>
        </w:tc>
      </w:tr>
      <w:tr>
        <w:trPr>
          <w:trHeight w:val="103"/>
        </w:trPr>
        <w:tc>
          <w:tcPr>
            <w:tcW w:w="5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Recognized for</w:t>
            </w:r>
          </w:p>
        </w:tc>
        <w:tc>
          <w:tcPr>
            <w:tcW w:w="120" w:type="dxa"/>
            <w:vAlign w:val="bottom"/>
          </w:tcPr>
          <w:p>
            <w:pPr>
              <w:spacing w:after="0"/>
              <w:rPr>
                <w:sz w:val="8"/>
                <w:szCs w:val="8"/>
                <w:color w:val="auto"/>
              </w:rPr>
            </w:pPr>
          </w:p>
        </w:tc>
        <w:tc>
          <w:tcPr>
            <w:tcW w:w="11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Recognized for</w:t>
            </w:r>
          </w:p>
        </w:tc>
        <w:tc>
          <w:tcPr>
            <w:tcW w:w="140" w:type="dxa"/>
            <w:vAlign w:val="bottom"/>
          </w:tcPr>
          <w:p>
            <w:pPr>
              <w:spacing w:after="0"/>
              <w:rPr>
                <w:sz w:val="8"/>
                <w:szCs w:val="8"/>
                <w:color w:val="auto"/>
              </w:rPr>
            </w:pPr>
          </w:p>
        </w:tc>
        <w:tc>
          <w:tcPr>
            <w:tcW w:w="10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8"/>
                <w:szCs w:val="8"/>
                <w:color w:val="auto"/>
              </w:rPr>
            </w:pPr>
          </w:p>
        </w:tc>
        <w:tc>
          <w:tcPr>
            <w:tcW w:w="10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Benefits and</w:t>
            </w: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5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rPr>
              <w:t>AOCI</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Derivatives (1)</w:t>
            </w:r>
          </w:p>
        </w:tc>
        <w:tc>
          <w:tcPr>
            <w:tcW w:w="12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Hedged Items (2)</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Claims (4)</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gridSpan w:val="5"/>
          </w:tcPr>
          <w:p>
            <w:pPr>
              <w:jc w:val="center"/>
              <w:ind w:left="321"/>
              <w:spacing w:after="0"/>
              <w:rPr>
                <w:sz w:val="20"/>
                <w:szCs w:val="20"/>
                <w:color w:val="auto"/>
              </w:rPr>
            </w:pPr>
            <w:r>
              <w:rPr>
                <w:rFonts w:ascii="Arial" w:cs="Arial" w:eastAsia="Arial" w:hAnsi="Arial"/>
                <w:sz w:val="16"/>
                <w:szCs w:val="16"/>
                <w:b w:val="1"/>
                <w:bCs w:val="1"/>
                <w:color w:val="auto"/>
                <w:w w:val="95"/>
              </w:rPr>
              <w:t>(In millions)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360"/>
              <w:spacing w:after="0"/>
              <w:rPr>
                <w:sz w:val="20"/>
                <w:szCs w:val="20"/>
                <w:color w:val="auto"/>
              </w:rPr>
            </w:pPr>
            <w:r>
              <w:rPr>
                <w:rFonts w:ascii="Arial" w:cs="Arial" w:eastAsia="Arial" w:hAnsi="Arial"/>
                <w:sz w:val="16"/>
                <w:szCs w:val="16"/>
                <w:b w:val="1"/>
                <w:bCs w:val="1"/>
                <w:color w:val="auto"/>
              </w:rPr>
              <w:t>Fair value hedges (5):</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Interest rate derivatives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260" w:type="dxa"/>
            <w:vAlign w:val="bottom"/>
          </w:tcPr>
          <w:p>
            <w:pPr>
              <w:ind w:left="520"/>
              <w:spacing w:after="0"/>
              <w:rPr>
                <w:sz w:val="20"/>
                <w:szCs w:val="20"/>
                <w:color w:val="auto"/>
              </w:rPr>
            </w:pPr>
            <w:r>
              <w:rPr>
                <w:rFonts w:ascii="Arial" w:cs="Arial" w:eastAsia="Arial" w:hAnsi="Arial"/>
                <w:sz w:val="16"/>
                <w:szCs w:val="16"/>
                <w:color w:val="auto"/>
              </w:rPr>
              <w:t>Total fair value hedges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6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Cash flow hedges (5):</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360"/>
              <w:spacing w:after="0"/>
              <w:rPr>
                <w:sz w:val="20"/>
                <w:szCs w:val="20"/>
                <w:color w:val="auto"/>
              </w:rPr>
            </w:pPr>
            <w:r>
              <w:rPr>
                <w:rFonts w:ascii="Arial" w:cs="Arial" w:eastAsia="Arial" w:hAnsi="Arial"/>
                <w:sz w:val="16"/>
                <w:szCs w:val="16"/>
                <w:color w:val="auto"/>
              </w:rPr>
              <w:t>Interest rate derivatives</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Foreign currency exchange rate derivatives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7"/>
        </w:trPr>
        <w:tc>
          <w:tcPr>
            <w:tcW w:w="5260" w:type="dxa"/>
            <w:vAlign w:val="bottom"/>
          </w:tcPr>
          <w:p>
            <w:pPr>
              <w:ind w:left="520"/>
              <w:spacing w:after="0"/>
              <w:rPr>
                <w:sz w:val="20"/>
                <w:szCs w:val="20"/>
                <w:color w:val="auto"/>
              </w:rPr>
            </w:pPr>
            <w:r>
              <w:rPr>
                <w:rFonts w:ascii="Arial" w:cs="Arial" w:eastAsia="Arial" w:hAnsi="Arial"/>
                <w:sz w:val="16"/>
                <w:szCs w:val="16"/>
                <w:color w:val="auto"/>
              </w:rPr>
              <w:t>Total cash flow hedges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7"/>
              </w:rPr>
              <w:t>Derivatives Not Designated or Not Qualifying as Hedging Instruments: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360"/>
              <w:spacing w:after="0"/>
              <w:rPr>
                <w:sz w:val="20"/>
                <w:szCs w:val="20"/>
                <w:color w:val="auto"/>
              </w:rPr>
            </w:pPr>
            <w:r>
              <w:rPr>
                <w:rFonts w:ascii="Arial" w:cs="Arial" w:eastAsia="Arial" w:hAnsi="Arial"/>
                <w:sz w:val="16"/>
                <w:szCs w:val="16"/>
                <w:color w:val="auto"/>
              </w:rPr>
              <w:t>Interest rate derivatives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Foreign currency exchange rate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260" w:type="dxa"/>
            <w:vAlign w:val="bottom"/>
          </w:tcPr>
          <w:p>
            <w:pPr>
              <w:ind w:left="360"/>
              <w:spacing w:after="0"/>
              <w:rPr>
                <w:sz w:val="20"/>
                <w:szCs w:val="20"/>
                <w:color w:val="auto"/>
              </w:rPr>
            </w:pPr>
            <w:r>
              <w:rPr>
                <w:rFonts w:ascii="Arial" w:cs="Arial" w:eastAsia="Arial" w:hAnsi="Arial"/>
                <w:sz w:val="16"/>
                <w:szCs w:val="16"/>
                <w:color w:val="auto"/>
              </w:rPr>
              <w:t>Credit derivatives</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Equity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260" w:type="dxa"/>
            <w:vAlign w:val="bottom"/>
          </w:tcPr>
          <w:p>
            <w:pPr>
              <w:ind w:left="360"/>
              <w:spacing w:after="0"/>
              <w:rPr>
                <w:sz w:val="20"/>
                <w:szCs w:val="20"/>
                <w:color w:val="auto"/>
              </w:rPr>
            </w:pPr>
            <w:r>
              <w:rPr>
                <w:rFonts w:ascii="Arial" w:cs="Arial" w:eastAsia="Arial" w:hAnsi="Arial"/>
                <w:sz w:val="16"/>
                <w:szCs w:val="16"/>
                <w:color w:val="auto"/>
              </w:rPr>
              <w:t>Embedded derivatives</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1,237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non-qualifying hedges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260" w:type="dxa"/>
            <w:vAlign w:val="bottom"/>
          </w:tcPr>
          <w:p>
            <w:pPr>
              <w:ind w:left="68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22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 (continued)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6"/>
          </w:tcPr>
          <w:p>
            <w:pPr>
              <w:jc w:val="center"/>
              <w:ind w:left="181"/>
              <w:spacing w:after="0"/>
              <w:rPr>
                <w:sz w:val="20"/>
                <w:szCs w:val="20"/>
                <w:color w:val="auto"/>
              </w:rPr>
            </w:pPr>
            <w:r>
              <w:rPr>
                <w:rFonts w:ascii="Arial" w:cs="Arial" w:eastAsia="Arial" w:hAnsi="Arial"/>
                <w:sz w:val="16"/>
                <w:szCs w:val="16"/>
                <w:b w:val="1"/>
                <w:bCs w:val="1"/>
                <w:color w:val="auto"/>
                <w:w w:val="91"/>
              </w:rPr>
              <w:t>Year Ended December 31, 2016</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Amount of</w:t>
            </w:r>
          </w:p>
        </w:tc>
        <w:tc>
          <w:tcPr>
            <w:tcW w:w="0" w:type="dxa"/>
            <w:vAlign w:val="bottom"/>
          </w:tcPr>
          <w:p>
            <w:pPr>
              <w:spacing w:after="0"/>
              <w:rPr>
                <w:sz w:val="1"/>
                <w:szCs w:val="1"/>
                <w:color w:val="auto"/>
              </w:rPr>
            </w:pPr>
          </w:p>
        </w:tc>
      </w:tr>
      <w:tr>
        <w:trPr>
          <w:trHeight w:val="59"/>
        </w:trPr>
        <w:tc>
          <w:tcPr>
            <w:tcW w:w="5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89"/>
              </w:rPr>
              <w:t>Gains</w:t>
            </w:r>
          </w:p>
        </w:tc>
        <w:tc>
          <w:tcPr>
            <w:tcW w:w="0" w:type="dxa"/>
            <w:vAlign w:val="bottom"/>
          </w:tcPr>
          <w:p>
            <w:pPr>
              <w:spacing w:after="0"/>
              <w:rPr>
                <w:sz w:val="1"/>
                <w:szCs w:val="1"/>
                <w:color w:val="auto"/>
              </w:rPr>
            </w:pPr>
          </w:p>
        </w:tc>
      </w:tr>
      <w:tr>
        <w:trPr>
          <w:trHeight w:val="144"/>
        </w:trPr>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Derivatives</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Policyholder</w:t>
            </w:r>
          </w:p>
        </w:tc>
        <w:tc>
          <w:tcPr>
            <w:tcW w:w="140" w:type="dxa"/>
            <w:vAlign w:val="bottom"/>
          </w:tcPr>
          <w:p>
            <w:pPr>
              <w:spacing w:after="0"/>
              <w:rPr>
                <w:sz w:val="14"/>
                <w:szCs w:val="14"/>
                <w:color w:val="auto"/>
              </w:rPr>
            </w:pPr>
          </w:p>
        </w:tc>
        <w:tc>
          <w:tcPr>
            <w:tcW w:w="76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5"/>
              </w:rPr>
              <w:t>(Losses)</w:t>
            </w:r>
          </w:p>
        </w:tc>
        <w:tc>
          <w:tcPr>
            <w:tcW w:w="0" w:type="dxa"/>
            <w:vAlign w:val="bottom"/>
          </w:tcPr>
          <w:p>
            <w:pPr>
              <w:spacing w:after="0"/>
              <w:rPr>
                <w:sz w:val="1"/>
                <w:szCs w:val="1"/>
                <w:color w:val="auto"/>
              </w:rPr>
            </w:pPr>
          </w:p>
        </w:tc>
      </w:tr>
      <w:tr>
        <w:trPr>
          <w:trHeight w:val="139"/>
        </w:trPr>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86"/>
              </w:rPr>
              <w:t>(Losses)</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87"/>
              </w:rPr>
              <w:t>Gains (Losses)</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deferred in</w:t>
            </w:r>
          </w:p>
        </w:tc>
        <w:tc>
          <w:tcPr>
            <w:tcW w:w="0" w:type="dxa"/>
            <w:vAlign w:val="bottom"/>
          </w:tcPr>
          <w:p>
            <w:pPr>
              <w:spacing w:after="0"/>
              <w:rPr>
                <w:sz w:val="1"/>
                <w:szCs w:val="1"/>
                <w:color w:val="auto"/>
              </w:rPr>
            </w:pPr>
          </w:p>
        </w:tc>
      </w:tr>
      <w:tr>
        <w:trPr>
          <w:trHeight w:val="103"/>
        </w:trPr>
        <w:tc>
          <w:tcPr>
            <w:tcW w:w="5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Recognized for</w:t>
            </w:r>
          </w:p>
        </w:tc>
        <w:tc>
          <w:tcPr>
            <w:tcW w:w="120" w:type="dxa"/>
            <w:vAlign w:val="bottom"/>
          </w:tcPr>
          <w:p>
            <w:pPr>
              <w:spacing w:after="0"/>
              <w:rPr>
                <w:sz w:val="8"/>
                <w:szCs w:val="8"/>
                <w:color w:val="auto"/>
              </w:rPr>
            </w:pPr>
          </w:p>
        </w:tc>
        <w:tc>
          <w:tcPr>
            <w:tcW w:w="11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Recognized for</w:t>
            </w:r>
          </w:p>
        </w:tc>
        <w:tc>
          <w:tcPr>
            <w:tcW w:w="140" w:type="dxa"/>
            <w:vAlign w:val="bottom"/>
          </w:tcPr>
          <w:p>
            <w:pPr>
              <w:spacing w:after="0"/>
              <w:rPr>
                <w:sz w:val="8"/>
                <w:szCs w:val="8"/>
                <w:color w:val="auto"/>
              </w:rPr>
            </w:pPr>
          </w:p>
        </w:tc>
        <w:tc>
          <w:tcPr>
            <w:tcW w:w="10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8"/>
                <w:szCs w:val="8"/>
                <w:color w:val="auto"/>
              </w:rPr>
            </w:pPr>
          </w:p>
        </w:tc>
        <w:tc>
          <w:tcPr>
            <w:tcW w:w="10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Benefits and</w:t>
            </w: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5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rPr>
              <w:t>AOCI</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Derivatives (1)</w:t>
            </w:r>
          </w:p>
        </w:tc>
        <w:tc>
          <w:tcPr>
            <w:tcW w:w="12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Hedged Items (2)</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Claims (4)</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gridSpan w:val="5"/>
          </w:tcPr>
          <w:p>
            <w:pPr>
              <w:jc w:val="center"/>
              <w:ind w:left="321"/>
              <w:spacing w:after="0"/>
              <w:rPr>
                <w:sz w:val="20"/>
                <w:szCs w:val="20"/>
                <w:color w:val="auto"/>
              </w:rPr>
            </w:pPr>
            <w:r>
              <w:rPr>
                <w:rFonts w:ascii="Arial" w:cs="Arial" w:eastAsia="Arial" w:hAnsi="Arial"/>
                <w:sz w:val="16"/>
                <w:szCs w:val="16"/>
                <w:b w:val="1"/>
                <w:bCs w:val="1"/>
                <w:color w:val="auto"/>
                <w:w w:val="95"/>
              </w:rPr>
              <w:t>(In millions)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360"/>
              <w:spacing w:after="0"/>
              <w:rPr>
                <w:sz w:val="20"/>
                <w:szCs w:val="20"/>
                <w:color w:val="auto"/>
              </w:rPr>
            </w:pPr>
            <w:r>
              <w:rPr>
                <w:rFonts w:ascii="Arial" w:cs="Arial" w:eastAsia="Arial" w:hAnsi="Arial"/>
                <w:sz w:val="16"/>
                <w:szCs w:val="16"/>
                <w:b w:val="1"/>
                <w:bCs w:val="1"/>
                <w:color w:val="auto"/>
              </w:rPr>
              <w:t>Fair value hedges (5):</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Interest rate derivatives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260" w:type="dxa"/>
            <w:vAlign w:val="bottom"/>
          </w:tcPr>
          <w:p>
            <w:pPr>
              <w:ind w:left="520"/>
              <w:spacing w:after="0"/>
              <w:rPr>
                <w:sz w:val="20"/>
                <w:szCs w:val="20"/>
                <w:color w:val="auto"/>
              </w:rPr>
            </w:pPr>
            <w:r>
              <w:rPr>
                <w:rFonts w:ascii="Arial" w:cs="Arial" w:eastAsia="Arial" w:hAnsi="Arial"/>
                <w:sz w:val="16"/>
                <w:szCs w:val="16"/>
                <w:color w:val="auto"/>
              </w:rPr>
              <w:t>Total fair value hedges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6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Cash flow hedges (5):</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360"/>
              <w:spacing w:after="0"/>
              <w:rPr>
                <w:sz w:val="20"/>
                <w:szCs w:val="20"/>
                <w:color w:val="auto"/>
              </w:rPr>
            </w:pPr>
            <w:r>
              <w:rPr>
                <w:rFonts w:ascii="Arial" w:cs="Arial" w:eastAsia="Arial" w:hAnsi="Arial"/>
                <w:sz w:val="16"/>
                <w:szCs w:val="16"/>
                <w:color w:val="auto"/>
              </w:rPr>
              <w:t>Interest rate derivatives</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ind w:left="48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Foreign currency exchange rate derivatives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7"/>
        </w:trPr>
        <w:tc>
          <w:tcPr>
            <w:tcW w:w="5260" w:type="dxa"/>
            <w:vAlign w:val="bottom"/>
          </w:tcPr>
          <w:p>
            <w:pPr>
              <w:ind w:left="520"/>
              <w:spacing w:after="0"/>
              <w:rPr>
                <w:sz w:val="20"/>
                <w:szCs w:val="20"/>
                <w:color w:val="auto"/>
              </w:rPr>
            </w:pPr>
            <w:r>
              <w:rPr>
                <w:rFonts w:ascii="Arial" w:cs="Arial" w:eastAsia="Arial" w:hAnsi="Arial"/>
                <w:sz w:val="16"/>
                <w:szCs w:val="16"/>
                <w:color w:val="auto"/>
              </w:rPr>
              <w:t>Total cash flow hedges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7"/>
              </w:rPr>
              <w:t>Derivatives Not Designated or Not Qualifying as Hedging Instruments: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360"/>
              <w:spacing w:after="0"/>
              <w:rPr>
                <w:sz w:val="20"/>
                <w:szCs w:val="20"/>
                <w:color w:val="auto"/>
              </w:rPr>
            </w:pPr>
            <w:r>
              <w:rPr>
                <w:rFonts w:ascii="Arial" w:cs="Arial" w:eastAsia="Arial" w:hAnsi="Arial"/>
                <w:sz w:val="16"/>
                <w:szCs w:val="16"/>
                <w:color w:val="auto"/>
              </w:rPr>
              <w:t>Interest rate derivatives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Foreign currency exchange rate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260" w:type="dxa"/>
            <w:vAlign w:val="bottom"/>
          </w:tcPr>
          <w:p>
            <w:pPr>
              <w:ind w:left="360"/>
              <w:spacing w:after="0"/>
              <w:rPr>
                <w:sz w:val="20"/>
                <w:szCs w:val="20"/>
                <w:color w:val="auto"/>
              </w:rPr>
            </w:pPr>
            <w:r>
              <w:rPr>
                <w:rFonts w:ascii="Arial" w:cs="Arial" w:eastAsia="Arial" w:hAnsi="Arial"/>
                <w:sz w:val="16"/>
                <w:szCs w:val="16"/>
                <w:color w:val="auto"/>
              </w:rPr>
              <w:t>Credit derivatives</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Equity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260" w:type="dxa"/>
            <w:vAlign w:val="bottom"/>
          </w:tcPr>
          <w:p>
            <w:pPr>
              <w:ind w:left="360"/>
              <w:spacing w:after="0"/>
              <w:rPr>
                <w:sz w:val="20"/>
                <w:szCs w:val="20"/>
                <w:color w:val="auto"/>
              </w:rPr>
            </w:pPr>
            <w:r>
              <w:rPr>
                <w:rFonts w:ascii="Arial" w:cs="Arial" w:eastAsia="Arial" w:hAnsi="Arial"/>
                <w:sz w:val="16"/>
                <w:szCs w:val="16"/>
                <w:color w:val="auto"/>
              </w:rPr>
              <w:t>Embedded derivatives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non-qualifying hedges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260" w:type="dxa"/>
            <w:vAlign w:val="bottom"/>
          </w:tcPr>
          <w:p>
            <w:pPr>
              <w:ind w:left="68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(6,213)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22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 (continued)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6"/>
          </w:tcPr>
          <w:p>
            <w:pPr>
              <w:jc w:val="center"/>
              <w:ind w:left="181"/>
              <w:spacing w:after="0"/>
              <w:rPr>
                <w:sz w:val="20"/>
                <w:szCs w:val="20"/>
                <w:color w:val="auto"/>
              </w:rPr>
            </w:pPr>
            <w:r>
              <w:rPr>
                <w:rFonts w:ascii="Arial" w:cs="Arial" w:eastAsia="Arial" w:hAnsi="Arial"/>
                <w:sz w:val="16"/>
                <w:szCs w:val="16"/>
                <w:b w:val="1"/>
                <w:bCs w:val="1"/>
                <w:color w:val="auto"/>
                <w:w w:val="91"/>
              </w:rPr>
              <w:t>Year Ended December 31, 2015</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Amount of</w:t>
            </w:r>
          </w:p>
        </w:tc>
        <w:tc>
          <w:tcPr>
            <w:tcW w:w="0" w:type="dxa"/>
            <w:vAlign w:val="bottom"/>
          </w:tcPr>
          <w:p>
            <w:pPr>
              <w:spacing w:after="0"/>
              <w:rPr>
                <w:sz w:val="1"/>
                <w:szCs w:val="1"/>
                <w:color w:val="auto"/>
              </w:rPr>
            </w:pPr>
          </w:p>
        </w:tc>
      </w:tr>
      <w:tr>
        <w:trPr>
          <w:trHeight w:val="59"/>
        </w:trPr>
        <w:tc>
          <w:tcPr>
            <w:tcW w:w="5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89"/>
              </w:rPr>
              <w:t>Gains</w:t>
            </w:r>
          </w:p>
        </w:tc>
        <w:tc>
          <w:tcPr>
            <w:tcW w:w="0" w:type="dxa"/>
            <w:vAlign w:val="bottom"/>
          </w:tcPr>
          <w:p>
            <w:pPr>
              <w:spacing w:after="0"/>
              <w:rPr>
                <w:sz w:val="1"/>
                <w:szCs w:val="1"/>
                <w:color w:val="auto"/>
              </w:rPr>
            </w:pPr>
          </w:p>
        </w:tc>
      </w:tr>
      <w:tr>
        <w:trPr>
          <w:trHeight w:val="144"/>
        </w:trPr>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Derivatives</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Policyholder</w:t>
            </w:r>
          </w:p>
        </w:tc>
        <w:tc>
          <w:tcPr>
            <w:tcW w:w="140" w:type="dxa"/>
            <w:vAlign w:val="bottom"/>
          </w:tcPr>
          <w:p>
            <w:pPr>
              <w:spacing w:after="0"/>
              <w:rPr>
                <w:sz w:val="14"/>
                <w:szCs w:val="14"/>
                <w:color w:val="auto"/>
              </w:rPr>
            </w:pPr>
          </w:p>
        </w:tc>
        <w:tc>
          <w:tcPr>
            <w:tcW w:w="76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5"/>
              </w:rPr>
              <w:t>(Losses)</w:t>
            </w:r>
          </w:p>
        </w:tc>
        <w:tc>
          <w:tcPr>
            <w:tcW w:w="0" w:type="dxa"/>
            <w:vAlign w:val="bottom"/>
          </w:tcPr>
          <w:p>
            <w:pPr>
              <w:spacing w:after="0"/>
              <w:rPr>
                <w:sz w:val="1"/>
                <w:szCs w:val="1"/>
                <w:color w:val="auto"/>
              </w:rPr>
            </w:pPr>
          </w:p>
        </w:tc>
      </w:tr>
      <w:tr>
        <w:trPr>
          <w:trHeight w:val="139"/>
        </w:trPr>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86"/>
              </w:rPr>
              <w:t>(Losses)</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87"/>
              </w:rPr>
              <w:t>Gains (Losses)</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deferred in</w:t>
            </w:r>
          </w:p>
        </w:tc>
        <w:tc>
          <w:tcPr>
            <w:tcW w:w="0" w:type="dxa"/>
            <w:vAlign w:val="bottom"/>
          </w:tcPr>
          <w:p>
            <w:pPr>
              <w:spacing w:after="0"/>
              <w:rPr>
                <w:sz w:val="1"/>
                <w:szCs w:val="1"/>
                <w:color w:val="auto"/>
              </w:rPr>
            </w:pPr>
          </w:p>
        </w:tc>
      </w:tr>
      <w:tr>
        <w:trPr>
          <w:trHeight w:val="103"/>
        </w:trPr>
        <w:tc>
          <w:tcPr>
            <w:tcW w:w="5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Recognized for</w:t>
            </w:r>
          </w:p>
        </w:tc>
        <w:tc>
          <w:tcPr>
            <w:tcW w:w="120" w:type="dxa"/>
            <w:vAlign w:val="bottom"/>
          </w:tcPr>
          <w:p>
            <w:pPr>
              <w:spacing w:after="0"/>
              <w:rPr>
                <w:sz w:val="8"/>
                <w:szCs w:val="8"/>
                <w:color w:val="auto"/>
              </w:rPr>
            </w:pPr>
          </w:p>
        </w:tc>
        <w:tc>
          <w:tcPr>
            <w:tcW w:w="11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Recognized for</w:t>
            </w:r>
          </w:p>
        </w:tc>
        <w:tc>
          <w:tcPr>
            <w:tcW w:w="140" w:type="dxa"/>
            <w:vAlign w:val="bottom"/>
          </w:tcPr>
          <w:p>
            <w:pPr>
              <w:spacing w:after="0"/>
              <w:rPr>
                <w:sz w:val="8"/>
                <w:szCs w:val="8"/>
                <w:color w:val="auto"/>
              </w:rPr>
            </w:pPr>
          </w:p>
        </w:tc>
        <w:tc>
          <w:tcPr>
            <w:tcW w:w="10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8"/>
                <w:szCs w:val="8"/>
                <w:color w:val="auto"/>
              </w:rPr>
            </w:pPr>
          </w:p>
        </w:tc>
        <w:tc>
          <w:tcPr>
            <w:tcW w:w="10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Benefits and</w:t>
            </w: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5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rPr>
              <w:t>AOCI</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Derivatives (1)</w:t>
            </w:r>
          </w:p>
        </w:tc>
        <w:tc>
          <w:tcPr>
            <w:tcW w:w="12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Hedged Items (2)</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Claims (4)</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gridSpan w:val="5"/>
          </w:tcPr>
          <w:p>
            <w:pPr>
              <w:jc w:val="center"/>
              <w:ind w:left="321"/>
              <w:spacing w:after="0"/>
              <w:rPr>
                <w:sz w:val="20"/>
                <w:szCs w:val="20"/>
                <w:color w:val="auto"/>
              </w:rPr>
            </w:pPr>
            <w:r>
              <w:rPr>
                <w:rFonts w:ascii="Arial" w:cs="Arial" w:eastAsia="Arial" w:hAnsi="Arial"/>
                <w:sz w:val="16"/>
                <w:szCs w:val="16"/>
                <w:b w:val="1"/>
                <w:bCs w:val="1"/>
                <w:color w:val="auto"/>
                <w:w w:val="95"/>
              </w:rPr>
              <w:t>(In millions)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360"/>
              <w:spacing w:after="0"/>
              <w:rPr>
                <w:sz w:val="20"/>
                <w:szCs w:val="20"/>
                <w:color w:val="auto"/>
              </w:rPr>
            </w:pPr>
            <w:r>
              <w:rPr>
                <w:rFonts w:ascii="Arial" w:cs="Arial" w:eastAsia="Arial" w:hAnsi="Arial"/>
                <w:sz w:val="16"/>
                <w:szCs w:val="16"/>
                <w:b w:val="1"/>
                <w:bCs w:val="1"/>
                <w:color w:val="auto"/>
              </w:rPr>
              <w:t>Fair value hedges (5):</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Interest rate derivatives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260" w:type="dxa"/>
            <w:vAlign w:val="bottom"/>
          </w:tcPr>
          <w:p>
            <w:pPr>
              <w:ind w:left="520"/>
              <w:spacing w:after="0"/>
              <w:rPr>
                <w:sz w:val="20"/>
                <w:szCs w:val="20"/>
                <w:color w:val="auto"/>
              </w:rPr>
            </w:pPr>
            <w:r>
              <w:rPr>
                <w:rFonts w:ascii="Arial" w:cs="Arial" w:eastAsia="Arial" w:hAnsi="Arial"/>
                <w:sz w:val="16"/>
                <w:szCs w:val="16"/>
                <w:color w:val="auto"/>
              </w:rPr>
              <w:t>Total fair value hedges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6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Cash flow hedges (5):</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360"/>
              <w:spacing w:after="0"/>
              <w:rPr>
                <w:sz w:val="20"/>
                <w:szCs w:val="20"/>
                <w:color w:val="auto"/>
              </w:rPr>
            </w:pPr>
            <w:r>
              <w:rPr>
                <w:rFonts w:ascii="Arial" w:cs="Arial" w:eastAsia="Arial" w:hAnsi="Arial"/>
                <w:sz w:val="16"/>
                <w:szCs w:val="16"/>
                <w:color w:val="auto"/>
              </w:rPr>
              <w:t>Interest rate derivatives</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ind w:left="48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Foreign currency exchange rate derivatives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7"/>
        </w:trPr>
        <w:tc>
          <w:tcPr>
            <w:tcW w:w="5260" w:type="dxa"/>
            <w:vAlign w:val="bottom"/>
          </w:tcPr>
          <w:p>
            <w:pPr>
              <w:ind w:left="520"/>
              <w:spacing w:after="0"/>
              <w:rPr>
                <w:sz w:val="20"/>
                <w:szCs w:val="20"/>
                <w:color w:val="auto"/>
              </w:rPr>
            </w:pPr>
            <w:r>
              <w:rPr>
                <w:rFonts w:ascii="Arial" w:cs="Arial" w:eastAsia="Arial" w:hAnsi="Arial"/>
                <w:sz w:val="16"/>
                <w:szCs w:val="16"/>
                <w:color w:val="auto"/>
              </w:rPr>
              <w:t>Total cash flow hedges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7"/>
              </w:rPr>
              <w:t>Derivatives Not Designated or Not Qualifying as Hedging Instruments: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360"/>
              <w:spacing w:after="0"/>
              <w:rPr>
                <w:sz w:val="20"/>
                <w:szCs w:val="20"/>
                <w:color w:val="auto"/>
              </w:rPr>
            </w:pPr>
            <w:r>
              <w:rPr>
                <w:rFonts w:ascii="Arial" w:cs="Arial" w:eastAsia="Arial" w:hAnsi="Arial"/>
                <w:sz w:val="16"/>
                <w:szCs w:val="16"/>
                <w:color w:val="auto"/>
              </w:rPr>
              <w:t>Interest rate derivatives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Foreign currency exchange rate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260" w:type="dxa"/>
            <w:vAlign w:val="bottom"/>
          </w:tcPr>
          <w:p>
            <w:pPr>
              <w:ind w:left="360"/>
              <w:spacing w:after="0"/>
              <w:rPr>
                <w:sz w:val="20"/>
                <w:szCs w:val="20"/>
                <w:color w:val="auto"/>
              </w:rPr>
            </w:pPr>
            <w:r>
              <w:rPr>
                <w:rFonts w:ascii="Arial" w:cs="Arial" w:eastAsia="Arial" w:hAnsi="Arial"/>
                <w:sz w:val="16"/>
                <w:szCs w:val="16"/>
                <w:color w:val="auto"/>
              </w:rPr>
              <w:t>Credit derivatives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Equity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260" w:type="dxa"/>
            <w:vAlign w:val="bottom"/>
          </w:tcPr>
          <w:p>
            <w:pPr>
              <w:ind w:left="360"/>
              <w:spacing w:after="0"/>
              <w:rPr>
                <w:sz w:val="20"/>
                <w:szCs w:val="20"/>
                <w:color w:val="auto"/>
              </w:rPr>
            </w:pPr>
            <w:r>
              <w:rPr>
                <w:rFonts w:ascii="Arial" w:cs="Arial" w:eastAsia="Arial" w:hAnsi="Arial"/>
                <w:sz w:val="16"/>
                <w:szCs w:val="16"/>
                <w:color w:val="auto"/>
              </w:rPr>
              <w:t>Embedded derivatives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non-qualifying hedges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260" w:type="dxa"/>
            <w:vAlign w:val="bottom"/>
          </w:tcPr>
          <w:p>
            <w:pPr>
              <w:ind w:left="68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20955</wp:posOffset>
            </wp:positionV>
            <wp:extent cx="39103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-98425</wp:posOffset>
            </wp:positionV>
            <wp:extent cx="39103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93"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Includes gains (losses) reclassified from AOCI for cash flow hedges. Ineffective portion of the gains (losses) recognized in income is not significant.</w:t>
      </w:r>
    </w:p>
    <w:p>
      <w:pPr>
        <w:spacing w:after="0" w:line="140" w:lineRule="exact"/>
        <w:rPr>
          <w:rFonts w:ascii="Arial" w:cs="Arial" w:eastAsia="Arial" w:hAnsi="Arial"/>
          <w:sz w:val="16"/>
          <w:szCs w:val="16"/>
          <w:color w:val="auto"/>
        </w:rPr>
      </w:pPr>
    </w:p>
    <w:p>
      <w:pPr>
        <w:ind w:left="500" w:hanging="492"/>
        <w:spacing w:after="0" w:line="342" w:lineRule="auto"/>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Includes foreign currency transaction gains (losses) on hedged items in cash flow and nonqualifying hedging relationships. Hedged items in fair value hedging relationship includes fixed rate liabilities reported in policyholder account balances or future policy benefits and fixed maturity securities.</w:t>
      </w:r>
    </w:p>
    <w:p>
      <w:pPr>
        <w:spacing w:after="0" w:line="15"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changes in estimated fair value related to economic hedges of equity method investments in joint ventures and gains (losses) reclassified from AOCI for cash flow hedges.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estimated fair value related to economic hedges of variable annuity guarantees included in future policy benefits.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components of each derivative's gain or loss were included in the assessment of hedge effectiveness.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certain instances, the Company discontinued cash flow hedge accounting because the forecasted transactions were no longer probable of occurring. Because certain of the forecasted transactions also were not probable of occurring within two months of the anticipated date, the Company reclassified amounts from AOCI into net derivative gains (losses). These amounts were $9 million</w:t>
      </w:r>
      <w:r>
        <w:rPr>
          <w:rFonts w:ascii="Arial" w:cs="Arial" w:eastAsia="Arial" w:hAnsi="Arial"/>
          <w:sz w:val="18"/>
          <w:szCs w:val="18"/>
          <w:b w:val="1"/>
          <w:bCs w:val="1"/>
          <w:color w:val="auto"/>
        </w:rPr>
        <w:t>,</w:t>
      </w:r>
      <w:r>
        <w:rPr>
          <w:rFonts w:ascii="Arial" w:cs="Arial" w:eastAsia="Arial" w:hAnsi="Arial"/>
          <w:sz w:val="18"/>
          <w:szCs w:val="18"/>
          <w:color w:val="auto"/>
        </w:rPr>
        <w:t xml:space="preserve"> $1 million and $3 million for the years ended December 31, 2017, 2016 and 2015, respectively.</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2017 and 2016, the maximum length of time over which the Company was hedging its exposure to variability in future cash flows for forecasted transactions did not exceed two years and three years, respectively.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2017 and 2016, the balance in AOCI associated with cash flow hedges was $231 million and $397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22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Derivatives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connection with synthetically created credit investment transactions, the Company writes credit default swaps for which it receives a premium to insure credit risk. Such credit derivatives are included within the nonqualifying derivatives and derivatives for purposes other than hedging table. If a credit event occurs, as defined by the contract, the contract may be cash settled or it may be settled gross by the Company paying the counterparty the specified swap notional amount in exchange for the delivery of par quantities of the referenced credit obligation. The Company can terminate these contracts at any time through cash settlement with the counterparty at an amount equal to the then current estimated fair value of the credit default swaps.</w:t>
      </w:r>
    </w:p>
    <w:p>
      <w:pPr>
        <w:spacing w:after="0" w:line="5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estimated fair value, maximum amount of future payments and weighted average years to maturity of written credit default swaps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center"/>
              <w:ind w:left="104"/>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2017</w:t>
            </w:r>
          </w:p>
        </w:tc>
        <w:tc>
          <w:tcPr>
            <w:tcW w:w="12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2016</w:t>
            </w:r>
          </w:p>
        </w:tc>
        <w:tc>
          <w:tcPr>
            <w:tcW w:w="12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3"/>
                <w:szCs w:val="13"/>
                <w:color w:val="auto"/>
              </w:rPr>
            </w:pPr>
          </w:p>
        </w:tc>
        <w:tc>
          <w:tcPr>
            <w:tcW w:w="1360" w:type="dxa"/>
            <w:vAlign w:val="bottom"/>
            <w:vMerge w:val="restart"/>
          </w:tcPr>
          <w:p>
            <w:pPr>
              <w:jc w:val="center"/>
              <w:ind w:right="63"/>
              <w:spacing w:after="0"/>
              <w:rPr>
                <w:sz w:val="20"/>
                <w:szCs w:val="20"/>
                <w:color w:val="auto"/>
              </w:rPr>
            </w:pPr>
            <w:r>
              <w:rPr>
                <w:rFonts w:ascii="Arial" w:cs="Arial" w:eastAsia="Arial" w:hAnsi="Arial"/>
                <w:sz w:val="14"/>
                <w:szCs w:val="14"/>
                <w:b w:val="1"/>
                <w:bCs w:val="1"/>
                <w:color w:val="auto"/>
                <w:w w:val="97"/>
              </w:rPr>
              <w:t>Maximum Amount</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13"/>
                <w:szCs w:val="13"/>
                <w:color w:val="auto"/>
              </w:rPr>
            </w:pPr>
          </w:p>
        </w:tc>
        <w:tc>
          <w:tcPr>
            <w:tcW w:w="1340" w:type="dxa"/>
            <w:vAlign w:val="bottom"/>
            <w:vMerge w:val="restart"/>
          </w:tcPr>
          <w:p>
            <w:pPr>
              <w:jc w:val="center"/>
              <w:ind w:right="43"/>
              <w:spacing w:after="0"/>
              <w:rPr>
                <w:sz w:val="20"/>
                <w:szCs w:val="20"/>
                <w:color w:val="auto"/>
              </w:rPr>
            </w:pPr>
            <w:r>
              <w:rPr>
                <w:rFonts w:ascii="Arial" w:cs="Arial" w:eastAsia="Arial" w:hAnsi="Arial"/>
                <w:sz w:val="14"/>
                <w:szCs w:val="14"/>
                <w:b w:val="1"/>
                <w:bCs w:val="1"/>
                <w:color w:val="auto"/>
                <w:w w:val="97"/>
              </w:rPr>
              <w:t>Maximum Amount</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1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3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40" w:type="dxa"/>
            <w:vAlign w:val="bottom"/>
            <w:vMerge w:val="restart"/>
          </w:tcPr>
          <w:p>
            <w:pPr>
              <w:jc w:val="center"/>
              <w:ind w:left="2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Rating Agency Designation of Referenced</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Credit</w:t>
            </w:r>
          </w:p>
        </w:tc>
        <w:tc>
          <w:tcPr>
            <w:tcW w:w="140" w:type="dxa"/>
            <w:vAlign w:val="bottom"/>
          </w:tcPr>
          <w:p>
            <w:pPr>
              <w:spacing w:after="0"/>
              <w:rPr>
                <w:sz w:val="12"/>
                <w:szCs w:val="12"/>
                <w:color w:val="auto"/>
              </w:rPr>
            </w:pPr>
          </w:p>
        </w:tc>
        <w:tc>
          <w:tcPr>
            <w:tcW w:w="136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5"/>
              </w:rPr>
              <w:t>of Future</w:t>
            </w: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Credit</w:t>
            </w:r>
          </w:p>
        </w:tc>
        <w:tc>
          <w:tcPr>
            <w:tcW w:w="120" w:type="dxa"/>
            <w:vAlign w:val="bottom"/>
          </w:tcPr>
          <w:p>
            <w:pPr>
              <w:spacing w:after="0"/>
              <w:rPr>
                <w:sz w:val="12"/>
                <w:szCs w:val="12"/>
                <w:color w:val="auto"/>
              </w:rPr>
            </w:pPr>
          </w:p>
        </w:tc>
        <w:tc>
          <w:tcPr>
            <w:tcW w:w="134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5"/>
              </w:rPr>
              <w:t>of Future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Default</w:t>
            </w: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Payments under Credit</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 Years to</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Default</w:t>
            </w:r>
          </w:p>
        </w:tc>
        <w:tc>
          <w:tcPr>
            <w:tcW w:w="120" w:type="dxa"/>
            <w:vAlign w:val="bottom"/>
          </w:tcPr>
          <w:p>
            <w:pPr>
              <w:spacing w:after="0"/>
              <w:rPr>
                <w:sz w:val="12"/>
                <w:szCs w:val="12"/>
                <w:color w:val="auto"/>
              </w:rPr>
            </w:pPr>
          </w:p>
        </w:tc>
        <w:tc>
          <w:tcPr>
            <w:tcW w:w="13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1"/>
              </w:rPr>
              <w:t>Payments under</w:t>
            </w:r>
          </w:p>
        </w:tc>
        <w:tc>
          <w:tcPr>
            <w:tcW w:w="1240" w:type="dxa"/>
            <w:vAlign w:val="bottom"/>
          </w:tcPr>
          <w:p>
            <w:pPr>
              <w:jc w:val="center"/>
              <w:ind w:left="43"/>
              <w:spacing w:after="0" w:line="149" w:lineRule="exact"/>
              <w:rPr>
                <w:sz w:val="20"/>
                <w:szCs w:val="20"/>
                <w:color w:val="auto"/>
              </w:rPr>
            </w:pPr>
            <w:r>
              <w:rPr>
                <w:rFonts w:ascii="Arial" w:cs="Arial" w:eastAsia="Arial" w:hAnsi="Arial"/>
                <w:sz w:val="14"/>
                <w:szCs w:val="14"/>
                <w:b w:val="1"/>
                <w:bCs w:val="1"/>
                <w:color w:val="auto"/>
                <w:w w:val="90"/>
              </w:rPr>
              <w:t>Average Years to</w:t>
            </w:r>
          </w:p>
        </w:tc>
        <w:tc>
          <w:tcPr>
            <w:tcW w:w="0" w:type="dxa"/>
            <w:vAlign w:val="bottom"/>
          </w:tcPr>
          <w:p>
            <w:pPr>
              <w:spacing w:after="0"/>
              <w:rPr>
                <w:sz w:val="1"/>
                <w:szCs w:val="1"/>
                <w:color w:val="auto"/>
              </w:rPr>
            </w:pPr>
          </w:p>
        </w:tc>
      </w:tr>
      <w:tr>
        <w:trPr>
          <w:trHeight w:val="192"/>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Credit Obligations (1)</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Swaps</w:t>
            </w:r>
          </w:p>
        </w:tc>
        <w:tc>
          <w:tcPr>
            <w:tcW w:w="140" w:type="dxa"/>
            <w:vAlign w:val="bottom"/>
          </w:tcPr>
          <w:p>
            <w:pPr>
              <w:spacing w:after="0"/>
              <w:rPr>
                <w:sz w:val="16"/>
                <w:szCs w:val="16"/>
                <w:color w:val="auto"/>
              </w:rPr>
            </w:pPr>
          </w:p>
        </w:tc>
        <w:tc>
          <w:tcPr>
            <w:tcW w:w="1360" w:type="dxa"/>
            <w:vAlign w:val="bottom"/>
          </w:tcPr>
          <w:p>
            <w:pPr>
              <w:jc w:val="center"/>
              <w:ind w:right="43"/>
              <w:spacing w:after="0"/>
              <w:rPr>
                <w:sz w:val="20"/>
                <w:szCs w:val="20"/>
                <w:color w:val="auto"/>
              </w:rPr>
            </w:pPr>
            <w:r>
              <w:rPr>
                <w:rFonts w:ascii="Arial" w:cs="Arial" w:eastAsia="Arial" w:hAnsi="Arial"/>
                <w:sz w:val="14"/>
                <w:szCs w:val="14"/>
                <w:b w:val="1"/>
                <w:bCs w:val="1"/>
                <w:color w:val="auto"/>
                <w:w w:val="91"/>
              </w:rPr>
              <w:t>Default Swaps</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Maturity (2)</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Swaps</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Credit Default Swaps</w:t>
            </w:r>
          </w:p>
        </w:tc>
        <w:tc>
          <w:tcPr>
            <w:tcW w:w="1240" w:type="dxa"/>
            <w:vAlign w:val="bottom"/>
          </w:tcPr>
          <w:p>
            <w:pPr>
              <w:jc w:val="center"/>
              <w:ind w:left="43"/>
              <w:spacing w:after="0"/>
              <w:rPr>
                <w:sz w:val="20"/>
                <w:szCs w:val="20"/>
                <w:color w:val="auto"/>
              </w:rPr>
            </w:pPr>
            <w:r>
              <w:rPr>
                <w:rFonts w:ascii="Arial" w:cs="Arial" w:eastAsia="Arial" w:hAnsi="Arial"/>
                <w:sz w:val="14"/>
                <w:szCs w:val="14"/>
                <w:b w:val="1"/>
                <w:bCs w:val="1"/>
                <w:color w:val="auto"/>
              </w:rPr>
              <w:t>Maturity (2)</w:t>
            </w:r>
          </w:p>
        </w:tc>
        <w:tc>
          <w:tcPr>
            <w:tcW w:w="0" w:type="dxa"/>
            <w:vAlign w:val="bottom"/>
          </w:tcPr>
          <w:p>
            <w:pPr>
              <w:spacing w:after="0"/>
              <w:rPr>
                <w:sz w:val="1"/>
                <w:szCs w:val="1"/>
                <w:color w:val="auto"/>
              </w:rPr>
            </w:pPr>
          </w:p>
        </w:tc>
      </w:tr>
      <w:tr>
        <w:trPr>
          <w:trHeight w:val="264"/>
        </w:trPr>
        <w:tc>
          <w:tcPr>
            <w:tcW w:w="3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2380" w:type="dxa"/>
            <w:vAlign w:val="bottom"/>
            <w:tcBorders>
              <w:top w:val="single" w:sz="8" w:color="auto"/>
            </w:tcBorders>
            <w:gridSpan w:val="5"/>
          </w:tcPr>
          <w:p>
            <w:pPr>
              <w:jc w:val="center"/>
              <w:ind w:left="84"/>
              <w:spacing w:after="0"/>
              <w:rPr>
                <w:sz w:val="20"/>
                <w:szCs w:val="20"/>
                <w:color w:val="auto"/>
              </w:rPr>
            </w:pPr>
            <w:r>
              <w:rPr>
                <w:rFonts w:ascii="Arial" w:cs="Arial" w:eastAsia="Arial" w:hAnsi="Arial"/>
                <w:sz w:val="14"/>
                <w:szCs w:val="14"/>
                <w:b w:val="1"/>
                <w:bCs w:val="1"/>
                <w:color w:val="auto"/>
                <w:w w:val="93"/>
              </w:rPr>
              <w:t>(Dollars in millions)</w:t>
            </w:r>
          </w:p>
        </w:tc>
        <w:tc>
          <w:tcPr>
            <w:tcW w:w="1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Aaa/Aa/A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558</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478</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Baa</w:t>
            </w:r>
          </w:p>
        </w:tc>
        <w:tc>
          <w:tcPr>
            <w:tcW w:w="14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3"/>
              <w:spacing w:after="0"/>
              <w:rPr>
                <w:sz w:val="20"/>
                <w:szCs w:val="20"/>
                <w:color w:val="auto"/>
              </w:rPr>
            </w:pPr>
            <w:r>
              <w:rPr>
                <w:rFonts w:ascii="Arial" w:cs="Arial" w:eastAsia="Arial" w:hAnsi="Arial"/>
                <w:sz w:val="16"/>
                <w:szCs w:val="16"/>
                <w:color w:val="auto"/>
              </w:rPr>
              <w:t>1,295</w:t>
            </w:r>
          </w:p>
        </w:tc>
        <w:tc>
          <w:tcPr>
            <w:tcW w:w="128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1,393</w:t>
            </w:r>
          </w:p>
        </w:tc>
        <w:tc>
          <w:tcPr>
            <w:tcW w:w="124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44"/>
        </w:trPr>
        <w:tc>
          <w:tcPr>
            <w:tcW w:w="378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1,878</w:t>
            </w:r>
          </w:p>
        </w:tc>
        <w:tc>
          <w:tcPr>
            <w:tcW w:w="12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1,891</w:t>
            </w:r>
          </w:p>
        </w:tc>
        <w:tc>
          <w:tcPr>
            <w:tcW w:w="124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4"/>
                <w:szCs w:val="14"/>
                <w:color w:val="auto"/>
              </w:rPr>
              <w:t>______________</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6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59"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both single name credit default swaps that may be referenced to the credit of corporations, foreign governments, or state and political subdivisions and credit default swap referencing indices. The rating agency designations are based on availability and the midpoint of the applicable ratings among Moody’s Investors Service (“Moody’s”), S&amp;P and Fitch Ratings. If no rating is available from a rating agency, then an internally developed rating is used.</w:t>
      </w:r>
    </w:p>
    <w:p>
      <w:pPr>
        <w:spacing w:after="0" w:line="78" w:lineRule="exact"/>
        <w:rPr>
          <w:rFonts w:ascii="Arial" w:cs="Arial" w:eastAsia="Arial" w:hAnsi="Arial"/>
          <w:sz w:val="18"/>
          <w:szCs w:val="18"/>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weighted average years to maturity of the credit default swaps is calculated based on weighted average gross notional amounts.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may be exposed to credit-related losses in the event of nonperformance by its counterparties to derivatives. Generally, the current credit exposure of the Company’s derivatives is limited to the net positive estimated fair value of derivatives at the reporting date after taking into consideration the existence of master netting or similar agreements and any collateral received pursuant to such agreements.</w:t>
      </w:r>
    </w:p>
    <w:p>
      <w:pPr>
        <w:spacing w:after="0" w:line="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manages its credit risk related to derivatives by entering into transactions with creditworthy counterparties and establishing and monitoring exposure limits. The Company’s OTC-bilateral derivative transactions are generally governed by ISDA Master Agreements which provide for legally enforceable set-off and close-out netting of exposures to specific counterparties in the event of early termination of a transaction, which includes, but is not limited to, events of default and bankruptcy. In the event of an early termination, the Company is permitted to set off receivables from the counterparty against payables to the same counterparty arising out of all included transactions. Substantially all of the Company’s ISDA Master Agreements also include Credit Support Annex provisions which require both the pledging and accepting of collateral in connection with its OTC-bilateral derivatives.</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OTC-cleared derivatives are effected through central clearing counterparties and its exchange-traded derivatives are effected through regulated exchanges. Such positions are marked to market and margined on a daily basis (both initial margin and variation margin), and the Company has minimal exposure to credit-related losses in the event of nonperformance by counterparties to such derivatives.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9 for a description of the impact of credit risk on the valuation of derivatives.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22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 (continued)</w:t>
      </w:r>
    </w:p>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estimated fair values of the Company’s net derivative assets and net derivative liabilities after the application of master netting agreements and collateral were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3"/>
              </w:rPr>
              <w:t>2017</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Subject to a Master Netting Arrangement or a Similar Arrangement</w:t>
            </w:r>
          </w:p>
        </w:tc>
        <w:tc>
          <w:tcPr>
            <w:tcW w:w="180" w:type="dxa"/>
            <w:vAlign w:val="bottom"/>
          </w:tcPr>
          <w:p>
            <w:pPr>
              <w:spacing w:after="0"/>
              <w:rPr>
                <w:sz w:val="22"/>
                <w:szCs w:val="22"/>
                <w:color w:val="auto"/>
              </w:rPr>
            </w:pPr>
          </w:p>
        </w:tc>
        <w:tc>
          <w:tcPr>
            <w:tcW w:w="680" w:type="dxa"/>
            <w:vAlign w:val="bottom"/>
          </w:tcPr>
          <w:p>
            <w:pPr>
              <w:jc w:val="right"/>
              <w:ind w:right="120"/>
              <w:spacing w:after="0"/>
              <w:rPr>
                <w:sz w:val="20"/>
                <w:szCs w:val="20"/>
                <w:color w:val="auto"/>
              </w:rPr>
            </w:pPr>
            <w:r>
              <w:rPr>
                <w:rFonts w:ascii="Arial" w:cs="Arial" w:eastAsia="Arial" w:hAnsi="Arial"/>
                <w:sz w:val="14"/>
                <w:szCs w:val="14"/>
                <w:b w:val="1"/>
                <w:bCs w:val="1"/>
                <w:color w:val="auto"/>
              </w:rPr>
              <w:t>Assets</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20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22"/>
                <w:szCs w:val="22"/>
                <w:color w:val="auto"/>
              </w:rPr>
            </w:pPr>
          </w:p>
        </w:tc>
        <w:tc>
          <w:tcPr>
            <w:tcW w:w="760" w:type="dxa"/>
            <w:vAlign w:val="bottom"/>
          </w:tcPr>
          <w:p>
            <w:pPr>
              <w:jc w:val="right"/>
              <w:ind w:right="60"/>
              <w:spacing w:after="0"/>
              <w:rPr>
                <w:sz w:val="20"/>
                <w:szCs w:val="20"/>
                <w:color w:val="auto"/>
              </w:rPr>
            </w:pPr>
            <w:r>
              <w:rPr>
                <w:rFonts w:ascii="Arial" w:cs="Arial" w:eastAsia="Arial" w:hAnsi="Arial"/>
                <w:sz w:val="14"/>
                <w:szCs w:val="14"/>
                <w:b w:val="1"/>
                <w:bCs w:val="1"/>
                <w:color w:val="auto"/>
                <w:w w:val="92"/>
              </w:rPr>
              <w:t>Liabilities</w:t>
            </w:r>
          </w:p>
        </w:tc>
        <w:tc>
          <w:tcPr>
            <w:tcW w:w="0" w:type="dxa"/>
            <w:vAlign w:val="bottom"/>
          </w:tcPr>
          <w:p>
            <w:pPr>
              <w:spacing w:after="0"/>
              <w:rPr>
                <w:sz w:val="1"/>
                <w:szCs w:val="1"/>
                <w:color w:val="auto"/>
              </w:rPr>
            </w:pPr>
          </w:p>
        </w:tc>
      </w:tr>
      <w:tr>
        <w:trPr>
          <w:trHeight w:val="264"/>
        </w:trPr>
        <w:tc>
          <w:tcPr>
            <w:tcW w:w="7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900" w:type="dxa"/>
            <w:vAlign w:val="bottom"/>
            <w:tcBorders>
              <w:top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estimated fair value of derivatives:</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440" w:type="dxa"/>
            <w:vAlign w:val="bottom"/>
            <w:gridSpan w:val="2"/>
          </w:tcPr>
          <w:p>
            <w:pPr>
              <w:ind w:left="180"/>
              <w:spacing w:after="0"/>
              <w:rPr>
                <w:sz w:val="20"/>
                <w:szCs w:val="20"/>
                <w:color w:val="auto"/>
              </w:rPr>
            </w:pPr>
            <w:r>
              <w:rPr>
                <w:rFonts w:ascii="Arial" w:cs="Arial" w:eastAsia="Arial" w:hAnsi="Arial"/>
                <w:sz w:val="16"/>
                <w:szCs w:val="16"/>
                <w:color w:val="auto"/>
              </w:rPr>
              <w:t>OTC-bilateral (1)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2,222</w:t>
            </w:r>
          </w:p>
        </w:tc>
        <w:tc>
          <w:tcPr>
            <w:tcW w:w="3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3,080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3,394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2,929</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OTC-cleared and Exchange-traded (1) (6)</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217"/>
        </w:trPr>
        <w:tc>
          <w:tcPr>
            <w:tcW w:w="7440" w:type="dxa"/>
            <w:vAlign w:val="bottom"/>
            <w:gridSpan w:val="2"/>
          </w:tcPr>
          <w:p>
            <w:pPr>
              <w:ind w:left="380"/>
              <w:spacing w:after="0"/>
              <w:rPr>
                <w:sz w:val="20"/>
                <w:szCs w:val="20"/>
                <w:color w:val="auto"/>
              </w:rPr>
            </w:pPr>
            <w:r>
              <w:rPr>
                <w:rFonts w:ascii="Arial" w:cs="Arial" w:eastAsia="Arial" w:hAnsi="Arial"/>
                <w:sz w:val="16"/>
                <w:szCs w:val="16"/>
                <w:color w:val="auto"/>
              </w:rPr>
              <w:t>Total gross estimated fair value of derivatives (1)</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2,291</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3,120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3,707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3,834</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Amounts offset on the consolidated balance sheets</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Estimated fair value of derivatives presented on the consolidated balance sheets (1) (6)</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2,291</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3,120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3,707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3,834</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amounts not offset on the consolidated balance sheets: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Gross estimated fair value of derivatives: (2)</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OTC-bilateral</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(2,231)</w:t>
            </w:r>
          </w:p>
        </w:tc>
        <w:tc>
          <w:tcPr>
            <w:tcW w:w="0" w:type="dxa"/>
            <w:vAlign w:val="bottom"/>
          </w:tcPr>
          <w:p>
            <w:pPr>
              <w:spacing w:after="0"/>
              <w:rPr>
                <w:sz w:val="1"/>
                <w:szCs w:val="1"/>
                <w:color w:val="auto"/>
              </w:rPr>
            </w:pPr>
          </w:p>
        </w:tc>
      </w:tr>
      <w:tr>
        <w:trPr>
          <w:trHeight w:val="237"/>
        </w:trPr>
        <w:tc>
          <w:tcPr>
            <w:tcW w:w="7440" w:type="dxa"/>
            <w:vAlign w:val="bottom"/>
            <w:gridSpan w:val="2"/>
          </w:tcPr>
          <w:p>
            <w:pPr>
              <w:ind w:left="620"/>
              <w:spacing w:after="0"/>
              <w:rPr>
                <w:sz w:val="20"/>
                <w:szCs w:val="20"/>
                <w:color w:val="auto"/>
              </w:rPr>
            </w:pPr>
            <w:r>
              <w:rPr>
                <w:rFonts w:ascii="Arial" w:cs="Arial" w:eastAsia="Arial" w:hAnsi="Arial"/>
                <w:sz w:val="16"/>
                <w:szCs w:val="16"/>
                <w:color w:val="auto"/>
              </w:rPr>
              <w:t>OTC-cleared and Exchange-traded</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collateral: (3), (4)</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gridSpan w:val="2"/>
          </w:tcPr>
          <w:p>
            <w:pPr>
              <w:ind w:left="620"/>
              <w:spacing w:after="0"/>
              <w:rPr>
                <w:sz w:val="20"/>
                <w:szCs w:val="20"/>
                <w:color w:val="auto"/>
              </w:rPr>
            </w:pPr>
            <w:r>
              <w:rPr>
                <w:rFonts w:ascii="Arial" w:cs="Arial" w:eastAsia="Arial" w:hAnsi="Arial"/>
                <w:sz w:val="16"/>
                <w:szCs w:val="16"/>
                <w:color w:val="auto"/>
              </w:rPr>
              <w:t>OTC-bilateral</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OTC-cleared and Exchange-traded</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Securities collateral: (5)</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OTC-bilateral</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237"/>
        </w:trPr>
        <w:tc>
          <w:tcPr>
            <w:tcW w:w="7440" w:type="dxa"/>
            <w:vAlign w:val="bottom"/>
            <w:gridSpan w:val="2"/>
          </w:tcPr>
          <w:p>
            <w:pPr>
              <w:ind w:left="620"/>
              <w:spacing w:after="0"/>
              <w:rPr>
                <w:sz w:val="20"/>
                <w:szCs w:val="20"/>
                <w:color w:val="auto"/>
              </w:rPr>
            </w:pPr>
            <w:r>
              <w:rPr>
                <w:rFonts w:ascii="Arial" w:cs="Arial" w:eastAsia="Arial" w:hAnsi="Arial"/>
                <w:sz w:val="16"/>
                <w:szCs w:val="16"/>
                <w:color w:val="auto"/>
              </w:rPr>
              <w:t>OTC-cleared and Exchange-traded</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amount after application of master netting agreements and collateral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3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right="20" w:hanging="492"/>
        <w:spacing w:after="0" w:line="264"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December 31, 2017 and 2016, derivative assets included income or (expense) accruals reported in accrued investment income or in other liabilities of $47 million and $104 million, respectively, and derivative liabilities included (income) or expense accruals reported in accrued investment income or in other liabilities of ($9) million and ($49) million, respectively.</w:t>
      </w:r>
    </w:p>
    <w:p>
      <w:pPr>
        <w:spacing w:after="0" w:line="73" w:lineRule="exact"/>
        <w:rPr>
          <w:rFonts w:ascii="Arial" w:cs="Arial" w:eastAsia="Arial" w:hAnsi="Arial"/>
          <w:sz w:val="18"/>
          <w:szCs w:val="18"/>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Estimated fair value of derivatives is limited to the amount that is subject to set-off and includes income or expense accruals.</w:t>
      </w:r>
    </w:p>
    <w:p>
      <w:pPr>
        <w:spacing w:after="0" w:line="11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Cash collateral received by the Company for OTC-bilateral and OTC-cleared derivatives is included in cash and cash equivalents, short-term investments or in fixed maturity securities, and the obligation to return it is included in payables for collateral under securities loaned and other transactions on the balance sheet.</w:t>
      </w:r>
    </w:p>
    <w:p>
      <w:pPr>
        <w:spacing w:after="0" w:line="73" w:lineRule="exact"/>
        <w:rPr>
          <w:rFonts w:ascii="Arial" w:cs="Arial" w:eastAsia="Arial" w:hAnsi="Arial"/>
          <w:sz w:val="18"/>
          <w:szCs w:val="18"/>
          <w:color w:val="auto"/>
        </w:rPr>
      </w:pPr>
    </w:p>
    <w:p>
      <w:pPr>
        <w:jc w:val="both"/>
        <w:ind w:left="500" w:hanging="492"/>
        <w:spacing w:after="0" w:line="257"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receivable for the return of cash collateral provided by the Company is inclusive of initial margin on exchange-traded and OTC-cleared derivatives and is included in premiums, reinsurance and other receivables on the balance sheet. The amount of cash collateral offset in the table above is limited to the net estimated fair value of derivatives after application of netting agreements. At December 31, 2017 and 2016, the Company received excess cash collateral of $93 million and $3 million, respectively, and provided excess cash collateral of $5 million and $25 million, respectively, which is not included in the table above due to the foregoing limitation.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22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 (continued)</w:t>
      </w:r>
    </w:p>
    <w:p>
      <w:pPr>
        <w:spacing w:after="0" w:line="364" w:lineRule="exact"/>
        <w:rPr>
          <w:sz w:val="20"/>
          <w:szCs w:val="20"/>
          <w:color w:val="auto"/>
        </w:rPr>
      </w:pPr>
    </w:p>
    <w:p>
      <w:pPr>
        <w:jc w:val="both"/>
        <w:ind w:left="500" w:hanging="492"/>
        <w:spacing w:after="0" w:line="270" w:lineRule="auto"/>
        <w:tabs>
          <w:tab w:leader="none" w:pos="5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Securities collateral received by the Company is held in separate custodial accounts and is not recorded on the balance sheet. Subject to certain constraints, the Company is permitted by contract to sell or re-pledge this collateral, but at December 31, 2017 none of the collateral had been sold or re-pledged. Securities collateral pledged by the Company is reported in fixed maturity securities on the balance sheet. Subject to certain constraints, the counterparties are permitted by contract to sell or re-pledge this collateral. The amount of securities collateral offset in the table above is limited to the net estimated fair value of derivatives after application of netting agreements and cash collateral. At December 31, 2017 and 2016, the Company received excess securities collateral with an estimated fair value of $337 million and $135 million, respectively, for its OTC-bilateral derivatives, which are not included in the table above due to the foregoing limitation. At December 31, 2017 and 2016, the Company provided excess securities collateral with an estimated fair value of $471 million and $108 million, respectively, for its OTC-bilateral derivatives, $426 million and $630 million, respectively, for its OTC-cleared derivatives, and $118 million and $453 million, respectively, for its exchange-traded derivatives, which are not included in the table above due to the foregoing limitation.</w:t>
      </w:r>
    </w:p>
    <w:p>
      <w:pPr>
        <w:spacing w:after="0" w:line="69"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Effective January 3, 2017, the CME amended its rulebook, resulting in the characterization of variation margin transfers as settlement payments, as opposed to adjustments to collateral. See Note 1 for further information on the CME amendments.</w:t>
      </w:r>
    </w:p>
    <w:p>
      <w:pPr>
        <w:spacing w:after="0" w:line="6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Company’s collateral arrangements for its OTC-bilateral derivatives generally require the counterparty in a net liability position, after considering the effect of netting agreements, to pledge collateral when the collateral amount owed by that counterparty reaches a minimum transfer amount. A small number of these arrangements also include credit-contingent provisions that include a threshold above which collateral must be posted. Such agreements provide for a reduction of these thresholds (on a sliding scale that converges toward zero) in the event of downgrades in the credit ratings of Brighthouse Life Insurance Company, and/or the counterparty. In addition, substantially all of the Company’s netting agreements for derivatives contain provisions that require both the Company and the counterparty to maintain a specific investment grade credit rating from each of Moody’s and S&amp;P. If a party’s financial strength or credit ratings, as applicable, were to fall below that specific investment grade credit rating, that party would be in violation of these provisions, and the other party to the derivatives could terminate the transactions and demand immediate settlement and payment based on such party’s reasonable valuation of the derivatives.</w:t>
      </w:r>
    </w:p>
    <w:p>
      <w:pPr>
        <w:spacing w:after="0" w:line="14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following table presents the estimated fair value of the Company’s OTC-bilateral derivatives that are in a net liability position after considering the effect of netting agreements, together with the estimated fair value and balance sheet location of the collateral pledged. The Company’s collateral agreements require both parties to be fully collateralized, as such, Brighthouse Life Insurance Company would not be required to post additional collateral as a result of a downgrade in financial strength rating. OTC-bilateral derivatives that are not subject to collateral agreements are excluded from this table.</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78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64"/>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2016</w:t>
            </w:r>
          </w:p>
        </w:tc>
      </w:tr>
      <w:tr>
        <w:trPr>
          <w:trHeight w:val="250"/>
        </w:trPr>
        <w:tc>
          <w:tcPr>
            <w:tcW w:w="20" w:type="dxa"/>
            <w:vAlign w:val="bottom"/>
          </w:tcPr>
          <w:p>
            <w:pPr>
              <w:spacing w:after="0"/>
              <w:rPr>
                <w:sz w:val="21"/>
                <w:szCs w:val="21"/>
                <w:color w:val="auto"/>
              </w:rPr>
            </w:pPr>
          </w:p>
        </w:tc>
        <w:tc>
          <w:tcPr>
            <w:tcW w:w="7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6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Estimated fair value of derivatives in a net liability position (1)</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1,138</w:t>
            </w:r>
          </w:p>
        </w:tc>
        <w:tc>
          <w:tcPr>
            <w:tcW w:w="6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698</w:t>
            </w:r>
          </w:p>
        </w:tc>
      </w:tr>
      <w:tr>
        <w:trPr>
          <w:trHeight w:val="237"/>
        </w:trPr>
        <w:tc>
          <w:tcPr>
            <w:tcW w:w="20" w:type="dxa"/>
            <w:vAlign w:val="bottom"/>
          </w:tcPr>
          <w:p>
            <w:pPr>
              <w:spacing w:after="0"/>
              <w:rPr>
                <w:sz w:val="20"/>
                <w:szCs w:val="20"/>
                <w:color w:val="auto"/>
              </w:rPr>
            </w:pPr>
          </w:p>
        </w:tc>
        <w:tc>
          <w:tcPr>
            <w:tcW w:w="7880" w:type="dxa"/>
            <w:vAlign w:val="bottom"/>
          </w:tcPr>
          <w:p>
            <w:pPr>
              <w:ind w:left="20"/>
              <w:spacing w:after="0"/>
              <w:rPr>
                <w:sz w:val="20"/>
                <w:szCs w:val="20"/>
                <w:color w:val="auto"/>
              </w:rPr>
            </w:pPr>
            <w:r>
              <w:rPr>
                <w:rFonts w:ascii="Arial" w:cs="Arial" w:eastAsia="Arial" w:hAnsi="Arial"/>
                <w:sz w:val="16"/>
                <w:szCs w:val="16"/>
                <w:b w:val="1"/>
                <w:bCs w:val="1"/>
                <w:color w:val="auto"/>
              </w:rPr>
              <w:t>Estimated Fair Value of Collateral Provided:</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Fixed maturity securities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1,414</w:t>
            </w:r>
          </w:p>
        </w:tc>
        <w:tc>
          <w:tcPr>
            <w:tcW w:w="6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777</w:t>
            </w:r>
          </w:p>
        </w:tc>
      </w:tr>
      <w:tr>
        <w:trPr>
          <w:trHeight w:val="182"/>
        </w:trPr>
        <w:tc>
          <w:tcPr>
            <w:tcW w:w="20" w:type="dxa"/>
            <w:vAlign w:val="bottom"/>
          </w:tcPr>
          <w:p>
            <w:pPr>
              <w:spacing w:after="0"/>
              <w:rPr>
                <w:sz w:val="15"/>
                <w:szCs w:val="15"/>
                <w:color w:val="auto"/>
              </w:rPr>
            </w:pPr>
          </w:p>
        </w:tc>
        <w:tc>
          <w:tcPr>
            <w:tcW w:w="7880" w:type="dxa"/>
            <w:vAlign w:val="bottom"/>
          </w:tcPr>
          <w:p>
            <w:pPr>
              <w:jc w:val="right"/>
              <w:ind w:right="6801"/>
              <w:spacing w:after="0"/>
              <w:rPr>
                <w:sz w:val="20"/>
                <w:szCs w:val="20"/>
                <w:color w:val="auto"/>
              </w:rPr>
            </w:pPr>
            <w:r>
              <w:rPr>
                <w:rFonts w:ascii="Arial" w:cs="Arial" w:eastAsia="Arial" w:hAnsi="Arial"/>
                <w:sz w:val="14"/>
                <w:szCs w:val="14"/>
                <w:color w:val="auto"/>
                <w:w w:val="89"/>
              </w:rPr>
              <w:t>______________</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spacing w:after="0"/>
              <w:rPr>
                <w:sz w:val="15"/>
                <w:szCs w:val="15"/>
                <w:color w:val="auto"/>
              </w:rPr>
            </w:pPr>
          </w:p>
        </w:tc>
      </w:tr>
    </w:tbl>
    <w:p>
      <w:pPr>
        <w:spacing w:after="0" w:line="73"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After taking into consideration the existence of netting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issues certain products or purchases certain investments that contain embedded derivatives that are required to be separated from their host contracts and accounted for as freestanding derivatives. These host contracts principally include: variable annuities with guaranteed minimum benefits, including GMWBs, GMABs and certain GMIBs; related party ceded reinsurance of guaranteed minimum benefits related to GMWBs, GMABs and certain GMIBs; related party assumed reinsurance of guaranteed minimum benefits related to GMWBs and certain GMIBs; funds withheld on assumed and ceded reinsurance; assumed reinsurance on fixed deferred annuities; fixed annuities with equity indexed returns; and certain debt and equity securities.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22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 (continued)</w:t>
      </w:r>
    </w:p>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estimated fair value and balance sheet location of the Company’s embedded derivatives that have been separated from their host contracts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4920" w:type="dxa"/>
            <w:vAlign w:val="bottom"/>
          </w:tcPr>
          <w:p>
            <w:pPr>
              <w:spacing w:after="0"/>
              <w:rPr>
                <w:sz w:val="22"/>
                <w:szCs w:val="22"/>
                <w:color w:val="auto"/>
              </w:rPr>
            </w:pPr>
          </w:p>
        </w:tc>
        <w:tc>
          <w:tcPr>
            <w:tcW w:w="4360" w:type="dxa"/>
            <w:vAlign w:val="bottom"/>
            <w:gridSpan w:val="2"/>
          </w:tcPr>
          <w:p>
            <w:pPr>
              <w:ind w:left="1400"/>
              <w:spacing w:after="0"/>
              <w:rPr>
                <w:sz w:val="20"/>
                <w:szCs w:val="20"/>
                <w:color w:val="auto"/>
              </w:rPr>
            </w:pPr>
            <w:r>
              <w:rPr>
                <w:rFonts w:ascii="Arial" w:cs="Arial" w:eastAsia="Arial" w:hAnsi="Arial"/>
                <w:sz w:val="14"/>
                <w:szCs w:val="14"/>
                <w:b w:val="1"/>
                <w:bCs w:val="1"/>
                <w:color w:val="auto"/>
              </w:rPr>
              <w:t>Balance Sheet Location</w:t>
            </w:r>
          </w:p>
        </w:tc>
        <w:tc>
          <w:tcPr>
            <w:tcW w:w="240" w:type="dxa"/>
            <w:vAlign w:val="bottom"/>
          </w:tcPr>
          <w:p>
            <w:pPr>
              <w:spacing w:after="0"/>
              <w:rPr>
                <w:sz w:val="22"/>
                <w:szCs w:val="22"/>
                <w:color w:val="auto"/>
              </w:rPr>
            </w:pPr>
          </w:p>
        </w:tc>
        <w:tc>
          <w:tcPr>
            <w:tcW w:w="780" w:type="dxa"/>
            <w:vAlign w:val="bottom"/>
          </w:tcPr>
          <w:p>
            <w:pPr>
              <w:jc w:val="right"/>
              <w:ind w:right="30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280"/>
              <w:spacing w:after="0"/>
              <w:rPr>
                <w:sz w:val="20"/>
                <w:szCs w:val="20"/>
                <w:color w:val="auto"/>
              </w:rPr>
            </w:pPr>
            <w:r>
              <w:rPr>
                <w:rFonts w:ascii="Arial" w:cs="Arial" w:eastAsia="Arial" w:hAnsi="Arial"/>
                <w:sz w:val="14"/>
                <w:szCs w:val="14"/>
                <w:b w:val="1"/>
                <w:bCs w:val="1"/>
                <w:color w:val="auto"/>
                <w:w w:val="89"/>
              </w:rPr>
              <w:t>2016</w:t>
            </w:r>
          </w:p>
        </w:tc>
      </w:tr>
      <w:tr>
        <w:trPr>
          <w:trHeight w:val="264"/>
        </w:trPr>
        <w:tc>
          <w:tcPr>
            <w:tcW w:w="4920" w:type="dxa"/>
            <w:vAlign w:val="bottom"/>
          </w:tcPr>
          <w:p>
            <w:pPr>
              <w:spacing w:after="0"/>
              <w:rPr>
                <w:sz w:val="22"/>
                <w:szCs w:val="22"/>
                <w:color w:val="auto"/>
              </w:rPr>
            </w:pPr>
          </w:p>
        </w:tc>
        <w:tc>
          <w:tcPr>
            <w:tcW w:w="4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Borders>
              <w:top w:val="single" w:sz="8" w:color="auto"/>
            </w:tcBorders>
          </w:tcPr>
          <w:p>
            <w:pPr>
              <w:spacing w:after="0"/>
              <w:rPr>
                <w:sz w:val="22"/>
                <w:szCs w:val="22"/>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Embedded derivatives within asset host contracts:</w:t>
            </w:r>
          </w:p>
        </w:tc>
        <w:tc>
          <w:tcPr>
            <w:tcW w:w="4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r>
      <w:tr>
        <w:trPr>
          <w:trHeight w:val="237"/>
        </w:trPr>
        <w:tc>
          <w:tcPr>
            <w:tcW w:w="4920" w:type="dxa"/>
            <w:vAlign w:val="bottom"/>
          </w:tcPr>
          <w:p>
            <w:pPr>
              <w:ind w:left="180"/>
              <w:spacing w:after="0"/>
              <w:rPr>
                <w:sz w:val="20"/>
                <w:szCs w:val="20"/>
                <w:color w:val="auto"/>
              </w:rPr>
            </w:pPr>
            <w:r>
              <w:rPr>
                <w:rFonts w:ascii="Arial" w:cs="Arial" w:eastAsia="Arial" w:hAnsi="Arial"/>
                <w:sz w:val="16"/>
                <w:szCs w:val="16"/>
                <w:color w:val="auto"/>
              </w:rPr>
              <w:t>Ceded guaranteed minimum benefits</w:t>
            </w:r>
          </w:p>
        </w:tc>
        <w:tc>
          <w:tcPr>
            <w:tcW w:w="4360" w:type="dxa"/>
            <w:vAlign w:val="bottom"/>
            <w:gridSpan w:val="2"/>
          </w:tcPr>
          <w:p>
            <w:pPr>
              <w:ind w:left="40"/>
              <w:spacing w:after="0"/>
              <w:rPr>
                <w:sz w:val="20"/>
                <w:szCs w:val="20"/>
                <w:color w:val="auto"/>
              </w:rPr>
            </w:pPr>
            <w:r>
              <w:rPr>
                <w:rFonts w:ascii="Arial" w:cs="Arial" w:eastAsia="Arial" w:hAnsi="Arial"/>
                <w:sz w:val="16"/>
                <w:szCs w:val="16"/>
                <w:color w:val="auto"/>
              </w:rPr>
              <w:t>Premiums, reinsurance and other receivables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409</w:t>
            </w:r>
          </w:p>
        </w:tc>
      </w:tr>
      <w:tr>
        <w:trPr>
          <w:trHeight w:val="33"/>
        </w:trPr>
        <w:tc>
          <w:tcPr>
            <w:tcW w:w="49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Options embedded in debt or equity securities</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Investments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84"/>
        </w:trPr>
        <w:tc>
          <w:tcPr>
            <w:tcW w:w="49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Embedded derivatives within asset host contracts</w:t>
            </w:r>
          </w:p>
        </w:tc>
        <w:tc>
          <w:tcPr>
            <w:tcW w:w="42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360</w:t>
            </w:r>
          </w:p>
        </w:tc>
      </w:tr>
      <w:tr>
        <w:trPr>
          <w:trHeight w:val="23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Embedded derivatives within liability host contracts:</w:t>
            </w:r>
          </w:p>
        </w:tc>
        <w:tc>
          <w:tcPr>
            <w:tcW w:w="4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r>
      <w:tr>
        <w:trPr>
          <w:trHeight w:val="237"/>
        </w:trPr>
        <w:tc>
          <w:tcPr>
            <w:tcW w:w="4920" w:type="dxa"/>
            <w:vAlign w:val="bottom"/>
          </w:tcPr>
          <w:p>
            <w:pPr>
              <w:ind w:left="180"/>
              <w:spacing w:after="0"/>
              <w:rPr>
                <w:sz w:val="20"/>
                <w:szCs w:val="20"/>
                <w:color w:val="auto"/>
              </w:rPr>
            </w:pPr>
            <w:r>
              <w:rPr>
                <w:rFonts w:ascii="Arial" w:cs="Arial" w:eastAsia="Arial" w:hAnsi="Arial"/>
                <w:sz w:val="16"/>
                <w:szCs w:val="16"/>
                <w:color w:val="auto"/>
              </w:rPr>
              <w:t>Direct guaranteed minimum benefits</w:t>
            </w:r>
          </w:p>
        </w:tc>
        <w:tc>
          <w:tcPr>
            <w:tcW w:w="4360" w:type="dxa"/>
            <w:vAlign w:val="bottom"/>
            <w:gridSpan w:val="2"/>
          </w:tcPr>
          <w:p>
            <w:pPr>
              <w:ind w:left="40"/>
              <w:spacing w:after="0"/>
              <w:rPr>
                <w:sz w:val="20"/>
                <w:szCs w:val="20"/>
                <w:color w:val="auto"/>
              </w:rPr>
            </w:pPr>
            <w:r>
              <w:rPr>
                <w:rFonts w:ascii="Arial" w:cs="Arial" w:eastAsia="Arial" w:hAnsi="Arial"/>
                <w:sz w:val="16"/>
                <w:szCs w:val="16"/>
                <w:color w:val="auto"/>
              </w:rPr>
              <w:t>Policyholder account balances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1,122</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2,237</w:t>
            </w:r>
          </w:p>
        </w:tc>
      </w:tr>
      <w:tr>
        <w:trPr>
          <w:trHeight w:val="33"/>
        </w:trPr>
        <w:tc>
          <w:tcPr>
            <w:tcW w:w="49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Assumed reinsurance on fixed deferred annuities</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Policyholder account balances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4920" w:type="dxa"/>
            <w:vAlign w:val="bottom"/>
          </w:tcPr>
          <w:p>
            <w:pPr>
              <w:ind w:left="180"/>
              <w:spacing w:after="0"/>
              <w:rPr>
                <w:sz w:val="20"/>
                <w:szCs w:val="20"/>
                <w:color w:val="auto"/>
              </w:rPr>
            </w:pPr>
            <w:r>
              <w:rPr>
                <w:rFonts w:ascii="Arial" w:cs="Arial" w:eastAsia="Arial" w:hAnsi="Arial"/>
                <w:sz w:val="16"/>
                <w:szCs w:val="16"/>
                <w:color w:val="auto"/>
              </w:rPr>
              <w:t>Assumed guaranteed minimum benefits</w:t>
            </w:r>
          </w:p>
        </w:tc>
        <w:tc>
          <w:tcPr>
            <w:tcW w:w="4360" w:type="dxa"/>
            <w:vAlign w:val="bottom"/>
            <w:gridSpan w:val="2"/>
          </w:tcPr>
          <w:p>
            <w:pPr>
              <w:ind w:left="40"/>
              <w:spacing w:after="0"/>
              <w:rPr>
                <w:sz w:val="20"/>
                <w:szCs w:val="20"/>
                <w:color w:val="auto"/>
              </w:rPr>
            </w:pPr>
            <w:r>
              <w:rPr>
                <w:rFonts w:ascii="Arial" w:cs="Arial" w:eastAsia="Arial" w:hAnsi="Arial"/>
                <w:sz w:val="16"/>
                <w:szCs w:val="16"/>
                <w:color w:val="auto"/>
              </w:rPr>
              <w:t>Policyholder account balances</w:t>
            </w:r>
          </w:p>
        </w:tc>
        <w:tc>
          <w:tcPr>
            <w:tcW w:w="24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741</w:t>
            </w:r>
          </w:p>
        </w:tc>
      </w:tr>
      <w:tr>
        <w:trPr>
          <w:trHeight w:val="33"/>
        </w:trPr>
        <w:tc>
          <w:tcPr>
            <w:tcW w:w="49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Fixed annuities with equity indexed returns</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Policyholder account balances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192</w:t>
            </w:r>
          </w:p>
        </w:tc>
      </w:tr>
      <w:tr>
        <w:trPr>
          <w:trHeight w:val="244"/>
        </w:trPr>
        <w:tc>
          <w:tcPr>
            <w:tcW w:w="4920" w:type="dxa"/>
            <w:vAlign w:val="bottom"/>
          </w:tcPr>
          <w:p>
            <w:pPr>
              <w:ind w:left="280"/>
              <w:spacing w:after="0"/>
              <w:rPr>
                <w:sz w:val="20"/>
                <w:szCs w:val="20"/>
                <w:color w:val="auto"/>
              </w:rPr>
            </w:pPr>
            <w:r>
              <w:rPr>
                <w:rFonts w:ascii="Arial" w:cs="Arial" w:eastAsia="Arial" w:hAnsi="Arial"/>
                <w:sz w:val="16"/>
                <w:szCs w:val="16"/>
                <w:color w:val="auto"/>
              </w:rPr>
              <w:t>Embedded derivatives within liability host contracts</w:t>
            </w:r>
          </w:p>
        </w:tc>
        <w:tc>
          <w:tcPr>
            <w:tcW w:w="4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2,234</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3,170</w:t>
            </w:r>
          </w:p>
        </w:tc>
      </w:tr>
      <w:tr>
        <w:trPr>
          <w:trHeight w:val="20"/>
        </w:trPr>
        <w:tc>
          <w:tcPr>
            <w:tcW w:w="49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changes in estimated fair value related to embedded derivatives: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263"/>
              <w:spacing w:after="0"/>
              <w:rPr>
                <w:sz w:val="20"/>
                <w:szCs w:val="20"/>
                <w:color w:val="auto"/>
              </w:rPr>
            </w:pPr>
            <w:r>
              <w:rPr>
                <w:rFonts w:ascii="Arial" w:cs="Arial" w:eastAsia="Arial" w:hAnsi="Arial"/>
                <w:sz w:val="14"/>
                <w:szCs w:val="14"/>
                <w:b w:val="1"/>
                <w:bCs w:val="1"/>
                <w:color w:val="auto"/>
                <w:w w:val="96"/>
              </w:rPr>
              <w:t>2016</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center"/>
              <w:ind w:right="283"/>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derivative gains (losses) (1), (2)</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1,237</w:t>
            </w:r>
          </w:p>
        </w:tc>
        <w:tc>
          <w:tcPr>
            <w:tcW w:w="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(1,741)</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Policyholder benefits and claims</w:t>
            </w:r>
          </w:p>
        </w:tc>
        <w:tc>
          <w:tcPr>
            <w:tcW w:w="96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(16)</w:t>
            </w:r>
          </w:p>
        </w:tc>
        <w:tc>
          <w:tcPr>
            <w:tcW w:w="3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83"/>
              <w:spacing w:after="0"/>
              <w:rPr>
                <w:sz w:val="20"/>
                <w:szCs w:val="20"/>
                <w:color w:val="auto"/>
              </w:rPr>
            </w:pPr>
            <w:r>
              <w:rPr>
                <w:rFonts w:ascii="Arial" w:cs="Arial" w:eastAsia="Arial" w:hAnsi="Arial"/>
                <w:sz w:val="16"/>
                <w:szCs w:val="16"/>
                <w:color w:val="auto"/>
              </w:rPr>
              <w:t>(4)</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21</w:t>
            </w:r>
          </w:p>
        </w:tc>
      </w:tr>
      <w:tr>
        <w:trPr>
          <w:trHeight w:val="197"/>
        </w:trPr>
        <w:tc>
          <w:tcPr>
            <w:tcW w:w="6740" w:type="dxa"/>
            <w:vAlign w:val="bottom"/>
          </w:tcPr>
          <w:p>
            <w:pPr>
              <w:jc w:val="right"/>
              <w:ind w:right="5642"/>
              <w:spacing w:after="0"/>
              <w:rPr>
                <w:sz w:val="20"/>
                <w:szCs w:val="20"/>
                <w:color w:val="auto"/>
              </w:rPr>
            </w:pPr>
            <w:r>
              <w:rPr>
                <w:rFonts w:ascii="Arial" w:cs="Arial" w:eastAsia="Arial" w:hAnsi="Arial"/>
                <w:sz w:val="14"/>
                <w:szCs w:val="14"/>
                <w:color w:val="auto"/>
                <w:w w:val="91"/>
              </w:rPr>
              <w:t>______________</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spacing w:after="0" w:line="92" w:lineRule="exact"/>
        <w:rPr>
          <w:sz w:val="20"/>
          <w:szCs w:val="20"/>
          <w:color w:val="auto"/>
        </w:rPr>
      </w:pPr>
    </w:p>
    <w:p>
      <w:pPr>
        <w:jc w:val="both"/>
        <w:ind w:left="500" w:hanging="492"/>
        <w:spacing w:after="0" w:line="264"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valuation of direct and assumed guaranteed minimum benefits includes a nonperformance risk adjustment. The amounts included in net derivative gains (losses) in connection with this adjustment were $337 million, $244 million and $26 million for the years ended December 31, 2017, 2016 and 2015, respectively.</w:t>
      </w:r>
    </w:p>
    <w:p>
      <w:pPr>
        <w:spacing w:after="0" w:line="73" w:lineRule="exact"/>
        <w:rPr>
          <w:rFonts w:ascii="Arial" w:cs="Arial" w:eastAsia="Arial" w:hAnsi="Arial"/>
          <w:sz w:val="18"/>
          <w:szCs w:val="18"/>
          <w:color w:val="auto"/>
        </w:rPr>
      </w:pPr>
    </w:p>
    <w:p>
      <w:pPr>
        <w:ind w:left="500" w:hanging="492"/>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See Note 6 for discussion of related party net derivative gains (losses).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When developing estimated fair values, the Company considers three broad valuation techniques: (i) the market approach, (ii) the income approach, and</w:t>
      </w:r>
    </w:p>
    <w:p>
      <w:pPr>
        <w:spacing w:after="0" w:line="46" w:lineRule="exact"/>
        <w:rPr>
          <w:sz w:val="20"/>
          <w:szCs w:val="20"/>
          <w:color w:val="auto"/>
        </w:rPr>
      </w:pPr>
    </w:p>
    <w:p>
      <w:pPr>
        <w:jc w:val="both"/>
        <w:ind w:firstLine="8"/>
        <w:spacing w:after="0" w:line="255" w:lineRule="auto"/>
        <w:tabs>
          <w:tab w:leader="none" w:pos="34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 approach. The Company determines the most appropriate valuation technique to use, given what is being measured and the availability of sufficient inputs, giving priority to observable inputs. The Company categorizes its assets and liabilities measured at estimated fair value into a three-level hierarchy, based on the significant input with the lowest level in its valuation. The input levels are as follows:</w:t>
      </w:r>
    </w:p>
    <w:p>
      <w:pPr>
        <w:spacing w:after="0" w:line="298" w:lineRule="exact"/>
        <w:rPr>
          <w:sz w:val="20"/>
          <w:szCs w:val="20"/>
          <w:color w:val="auto"/>
        </w:rPr>
      </w:pPr>
    </w:p>
    <w:p>
      <w:pPr>
        <w:jc w:val="both"/>
        <w:ind w:left="960" w:right="20" w:hanging="917"/>
        <w:spacing w:after="0" w:line="308" w:lineRule="auto"/>
        <w:tabs>
          <w:tab w:leader="none" w:pos="9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Unadjusted quoted prices in active markets for identical assets or liabilities. The Company defines active markets based on average trading volume for equity securities. The size of the bid/ask spread is used as an indicator of market activity for fixed maturity securities.</w:t>
      </w:r>
    </w:p>
    <w:p>
      <w:pPr>
        <w:spacing w:after="0" w:line="228" w:lineRule="exact"/>
        <w:rPr>
          <w:sz w:val="20"/>
          <w:szCs w:val="20"/>
          <w:color w:val="auto"/>
        </w:rPr>
      </w:pPr>
    </w:p>
    <w:p>
      <w:pPr>
        <w:jc w:val="both"/>
        <w:ind w:left="960" w:right="40" w:hanging="917"/>
        <w:spacing w:after="0" w:line="312" w:lineRule="auto"/>
        <w:tabs>
          <w:tab w:leader="none" w:pos="9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Quoted prices in markets that are not active or inputs that are observable either directly or indirectly. These inputs can include quoted prices for similar assets or liabilities other than quoted prices in Level 1, quoted prices in markets that are not active, or other significant inputs that are observable or can be derived principally from or corroborated by observable market data for substantially the full term of the assets or liabilities.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22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(continued)</w:t>
      </w:r>
    </w:p>
    <w:p>
      <w:pPr>
        <w:spacing w:after="0" w:line="200" w:lineRule="exact"/>
        <w:rPr>
          <w:sz w:val="20"/>
          <w:szCs w:val="20"/>
          <w:color w:val="auto"/>
        </w:rPr>
      </w:pPr>
    </w:p>
    <w:p>
      <w:pPr>
        <w:spacing w:after="0" w:line="326" w:lineRule="exact"/>
        <w:rPr>
          <w:sz w:val="20"/>
          <w:szCs w:val="20"/>
          <w:color w:val="auto"/>
        </w:rPr>
      </w:pPr>
    </w:p>
    <w:p>
      <w:pPr>
        <w:jc w:val="both"/>
        <w:ind w:left="960" w:right="40" w:hanging="917"/>
        <w:spacing w:after="0" w:line="264" w:lineRule="auto"/>
        <w:tabs>
          <w:tab w:leader="none" w:pos="9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are significant to the determination of estimated fair value of the assets or liabilities. Unobservable inputs reflect the reporting entity’s own assumptions about the assumptions that market participants would use in pricing the asset or liability.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assets and liabilities measured at estimated fair value on a recurring basis and their corresponding placement in the fair value hierarchy, including those items for which the Company has elected the FVO, are presented below at:</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 2017</w:t>
            </w: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2"/>
              </w:rPr>
              <w:t>Fair Value Hierarchy</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5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right"/>
              <w:ind w:right="229"/>
              <w:spacing w:after="0" w:line="131" w:lineRule="exact"/>
              <w:rPr>
                <w:sz w:val="20"/>
                <w:szCs w:val="20"/>
                <w:color w:val="auto"/>
              </w:rPr>
            </w:pPr>
            <w:r>
              <w:rPr>
                <w:rFonts w:ascii="Arial" w:cs="Arial" w:eastAsia="Arial" w:hAnsi="Arial"/>
                <w:sz w:val="13"/>
                <w:szCs w:val="13"/>
                <w:b w:val="1"/>
                <w:bCs w:val="1"/>
                <w:color w:val="auto"/>
                <w:w w:val="97"/>
              </w:rPr>
              <w:t>Total Estimated</w:t>
            </w:r>
          </w:p>
        </w:tc>
        <w:tc>
          <w:tcPr>
            <w:tcW w:w="0" w:type="dxa"/>
            <w:vAlign w:val="bottom"/>
          </w:tcPr>
          <w:p>
            <w:pPr>
              <w:spacing w:after="0"/>
              <w:rPr>
                <w:sz w:val="1"/>
                <w:szCs w:val="1"/>
                <w:color w:val="auto"/>
              </w:rPr>
            </w:pPr>
          </w:p>
        </w:tc>
      </w:tr>
      <w:tr>
        <w:trPr>
          <w:trHeight w:val="174"/>
        </w:trPr>
        <w:tc>
          <w:tcPr>
            <w:tcW w:w="5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Level 1</w:t>
            </w: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0"/>
              </w:rPr>
              <w:t>Level 2</w:t>
            </w: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Level 3</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49"/>
        </w:trPr>
        <w:tc>
          <w:tcPr>
            <w:tcW w:w="5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gridSpan w:val="3"/>
          </w:tcPr>
          <w:p>
            <w:pPr>
              <w:jc w:val="right"/>
              <w:ind w:right="148"/>
              <w:spacing w:after="0"/>
              <w:rPr>
                <w:sz w:val="20"/>
                <w:szCs w:val="20"/>
                <w:color w:val="auto"/>
              </w:rPr>
            </w:pPr>
            <w:r>
              <w:rPr>
                <w:rFonts w:ascii="Arial" w:cs="Arial" w:eastAsia="Arial" w:hAnsi="Arial"/>
                <w:sz w:val="13"/>
                <w:szCs w:val="13"/>
                <w:b w:val="1"/>
                <w:bCs w:val="1"/>
                <w:color w:val="auto"/>
              </w:rPr>
              <w:t>(In millions)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Fixed maturity securities: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corporate</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21,491</w:t>
            </w:r>
          </w:p>
        </w:tc>
        <w:tc>
          <w:tcPr>
            <w:tcW w:w="120" w:type="dxa"/>
            <w:vAlign w:val="bottom"/>
            <w:shd w:val="clear" w:color="auto" w:fill="CCEEFF"/>
          </w:tcPr>
          <w:p>
            <w:pPr>
              <w:spacing w:after="0"/>
              <w:rPr>
                <w:sz w:val="16"/>
                <w:szCs w:val="16"/>
                <w:color w:val="auto"/>
              </w:rPr>
            </w:pPr>
          </w:p>
        </w:tc>
        <w:tc>
          <w:tcPr>
            <w:tcW w:w="46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889</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22,380</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180"/>
              <w:spacing w:after="0"/>
              <w:rPr>
                <w:sz w:val="20"/>
                <w:szCs w:val="20"/>
                <w:color w:val="auto"/>
              </w:rPr>
            </w:pPr>
            <w:r>
              <w:rPr>
                <w:rFonts w:ascii="Arial" w:cs="Arial" w:eastAsia="Arial" w:hAnsi="Arial"/>
                <w:sz w:val="14"/>
                <w:szCs w:val="14"/>
                <w:color w:val="auto"/>
              </w:rPr>
              <w:t>U.S. government and agency</w:t>
            </w:r>
          </w:p>
        </w:tc>
        <w:tc>
          <w:tcPr>
            <w:tcW w:w="32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8,002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7,911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60" w:type="dxa"/>
            <w:vAlign w:val="bottom"/>
            <w:vMerge w:val="restart"/>
          </w:tcPr>
          <w:p>
            <w:pPr>
              <w:jc w:val="right"/>
              <w:ind w:right="29"/>
              <w:spacing w:after="0"/>
              <w:rPr>
                <w:sz w:val="20"/>
                <w:szCs w:val="20"/>
                <w:color w:val="auto"/>
              </w:rPr>
            </w:pPr>
            <w:r>
              <w:rPr>
                <w:rFonts w:ascii="Arial" w:cs="Arial" w:eastAsia="Arial" w:hAnsi="Arial"/>
                <w:sz w:val="14"/>
                <w:szCs w:val="14"/>
                <w:color w:val="auto"/>
              </w:rPr>
              <w:t>15,913</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RMBS</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6,836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7,817</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180"/>
              <w:spacing w:after="0"/>
              <w:rPr>
                <w:sz w:val="20"/>
                <w:szCs w:val="20"/>
                <w:color w:val="auto"/>
              </w:rPr>
            </w:pPr>
            <w:r>
              <w:rPr>
                <w:rFonts w:ascii="Arial" w:cs="Arial" w:eastAsia="Arial" w:hAnsi="Arial"/>
                <w:sz w:val="14"/>
                <w:szCs w:val="14"/>
                <w:color w:val="auto"/>
              </w:rPr>
              <w:t>Foreign corporate</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5,723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1,048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restart"/>
          </w:tcPr>
          <w:p>
            <w:pPr>
              <w:jc w:val="right"/>
              <w:ind w:right="29"/>
              <w:spacing w:after="0"/>
              <w:rPr>
                <w:sz w:val="20"/>
                <w:szCs w:val="20"/>
                <w:color w:val="auto"/>
              </w:rPr>
            </w:pPr>
            <w:r>
              <w:rPr>
                <w:rFonts w:ascii="Arial" w:cs="Arial" w:eastAsia="Arial" w:hAnsi="Arial"/>
                <w:sz w:val="14"/>
                <w:szCs w:val="14"/>
                <w:color w:val="auto"/>
              </w:rPr>
              <w:t>6,771</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State and political subdivision</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4,098</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4,098</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180"/>
              <w:spacing w:after="0"/>
              <w:rPr>
                <w:sz w:val="20"/>
                <w:szCs w:val="20"/>
                <w:color w:val="auto"/>
              </w:rPr>
            </w:pPr>
            <w:r>
              <w:rPr>
                <w:rFonts w:ascii="Arial" w:cs="Arial" w:eastAsia="Arial" w:hAnsi="Arial"/>
                <w:sz w:val="14"/>
                <w:szCs w:val="14"/>
                <w:color w:val="auto"/>
              </w:rPr>
              <w:t>CMBS</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3,155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restart"/>
          </w:tcPr>
          <w:p>
            <w:pPr>
              <w:jc w:val="right"/>
              <w:ind w:right="29"/>
              <w:spacing w:after="0"/>
              <w:rPr>
                <w:sz w:val="20"/>
                <w:szCs w:val="20"/>
                <w:color w:val="auto"/>
              </w:rPr>
            </w:pPr>
            <w:r>
              <w:rPr>
                <w:rFonts w:ascii="Arial" w:cs="Arial" w:eastAsia="Arial" w:hAnsi="Arial"/>
                <w:sz w:val="14"/>
                <w:szCs w:val="14"/>
                <w:color w:val="auto"/>
              </w:rPr>
              <w:t>3,291</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ABS</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1,691</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1,796</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180"/>
              <w:spacing w:after="0"/>
              <w:rPr>
                <w:sz w:val="20"/>
                <w:szCs w:val="20"/>
                <w:color w:val="auto"/>
              </w:rPr>
            </w:pPr>
            <w:r>
              <w:rPr>
                <w:rFonts w:ascii="Arial" w:cs="Arial" w:eastAsia="Arial" w:hAnsi="Arial"/>
                <w:sz w:val="14"/>
                <w:szCs w:val="14"/>
                <w:color w:val="auto"/>
              </w:rPr>
              <w:t>Foreign government</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1,262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restart"/>
          </w:tcPr>
          <w:p>
            <w:pPr>
              <w:jc w:val="right"/>
              <w:ind w:right="29"/>
              <w:spacing w:after="0"/>
              <w:rPr>
                <w:sz w:val="20"/>
                <w:szCs w:val="20"/>
                <w:color w:val="auto"/>
              </w:rPr>
            </w:pPr>
            <w:r>
              <w:rPr>
                <w:rFonts w:ascii="Arial" w:cs="Arial" w:eastAsia="Arial" w:hAnsi="Arial"/>
                <w:sz w:val="14"/>
                <w:szCs w:val="14"/>
                <w:color w:val="auto"/>
              </w:rPr>
              <w:t>1,267</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fixed maturity securities</w:t>
            </w:r>
          </w:p>
        </w:tc>
        <w:tc>
          <w:tcPr>
            <w:tcW w:w="3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8,002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52,167</w:t>
            </w: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3,164</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63,333</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40"/>
              <w:spacing w:after="0"/>
              <w:rPr>
                <w:sz w:val="20"/>
                <w:szCs w:val="20"/>
                <w:color w:val="auto"/>
              </w:rPr>
            </w:pPr>
            <w:r>
              <w:rPr>
                <w:rFonts w:ascii="Arial" w:cs="Arial" w:eastAsia="Arial" w:hAnsi="Arial"/>
                <w:sz w:val="14"/>
                <w:szCs w:val="14"/>
                <w:color w:val="auto"/>
              </w:rPr>
              <w:t>Equity securities</w:t>
            </w:r>
          </w:p>
        </w:tc>
        <w:tc>
          <w:tcPr>
            <w:tcW w:w="32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vMerge w:val="restart"/>
          </w:tcPr>
          <w:p>
            <w:pPr>
              <w:jc w:val="right"/>
              <w:ind w:right="29"/>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investments</w:t>
            </w:r>
          </w:p>
        </w:tc>
        <w:tc>
          <w:tcPr>
            <w:tcW w:w="32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Commercial mortgage loans held by CSEs — FVO</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60" w:type="dxa"/>
            <w:vAlign w:val="bottom"/>
            <w:vMerge w:val="restart"/>
          </w:tcPr>
          <w:p>
            <w:pPr>
              <w:jc w:val="right"/>
              <w:ind w:right="29"/>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assets: (1)</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180"/>
              <w:spacing w:after="0"/>
              <w:rPr>
                <w:sz w:val="20"/>
                <w:szCs w:val="20"/>
                <w:color w:val="auto"/>
              </w:rPr>
            </w:pPr>
            <w:r>
              <w:rPr>
                <w:rFonts w:ascii="Arial" w:cs="Arial" w:eastAsia="Arial" w:hAnsi="Arial"/>
                <w:sz w:val="14"/>
                <w:szCs w:val="14"/>
                <w:color w:val="auto"/>
              </w:rPr>
              <w:t>Interest rate</w:t>
            </w:r>
          </w:p>
        </w:tc>
        <w:tc>
          <w:tcPr>
            <w:tcW w:w="32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1,111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60" w:type="dxa"/>
            <w:vAlign w:val="bottom"/>
            <w:vMerge w:val="restart"/>
          </w:tcPr>
          <w:p>
            <w:pPr>
              <w:jc w:val="right"/>
              <w:ind w:right="29"/>
              <w:spacing w:after="0"/>
              <w:rPr>
                <w:sz w:val="20"/>
                <w:szCs w:val="20"/>
                <w:color w:val="auto"/>
              </w:rPr>
            </w:pPr>
            <w:r>
              <w:rPr>
                <w:rFonts w:ascii="Arial" w:cs="Arial" w:eastAsia="Arial" w:hAnsi="Arial"/>
                <w:sz w:val="14"/>
                <w:szCs w:val="14"/>
                <w:color w:val="auto"/>
              </w:rPr>
              <w:t>1,112</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exchange rate</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180"/>
              <w:spacing w:after="0"/>
              <w:rPr>
                <w:sz w:val="20"/>
                <w:szCs w:val="20"/>
                <w:color w:val="auto"/>
              </w:rPr>
            </w:pPr>
            <w:r>
              <w:rPr>
                <w:rFonts w:ascii="Arial" w:cs="Arial" w:eastAsia="Arial" w:hAnsi="Arial"/>
                <w:sz w:val="14"/>
                <w:szCs w:val="14"/>
                <w:color w:val="auto"/>
              </w:rPr>
              <w:t>Credit</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restart"/>
          </w:tcPr>
          <w:p>
            <w:pPr>
              <w:jc w:val="right"/>
              <w:ind w:right="29"/>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market</w:t>
            </w:r>
          </w:p>
        </w:tc>
        <w:tc>
          <w:tcPr>
            <w:tcW w:w="32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773</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937</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280"/>
              <w:spacing w:after="0"/>
              <w:rPr>
                <w:sz w:val="20"/>
                <w:szCs w:val="20"/>
                <w:color w:val="auto"/>
              </w:rPr>
            </w:pPr>
            <w:r>
              <w:rPr>
                <w:rFonts w:ascii="Arial" w:cs="Arial" w:eastAsia="Arial" w:hAnsi="Arial"/>
                <w:sz w:val="14"/>
                <w:szCs w:val="14"/>
                <w:color w:val="auto"/>
              </w:rPr>
              <w:t>Total derivative assets</w:t>
            </w:r>
          </w:p>
        </w:tc>
        <w:tc>
          <w:tcPr>
            <w:tcW w:w="32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2,069</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vMerge w:val="restart"/>
          </w:tcPr>
          <w:p>
            <w:pPr>
              <w:jc w:val="right"/>
              <w:ind w:right="29"/>
              <w:spacing w:after="0"/>
              <w:rPr>
                <w:sz w:val="20"/>
                <w:szCs w:val="20"/>
                <w:color w:val="auto"/>
              </w:rPr>
            </w:pPr>
            <w:r>
              <w:rPr>
                <w:rFonts w:ascii="Arial" w:cs="Arial" w:eastAsia="Arial" w:hAnsi="Arial"/>
                <w:sz w:val="14"/>
                <w:szCs w:val="14"/>
                <w:color w:val="auto"/>
              </w:rPr>
              <w:t>2,244</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Embedded derivatives within asset host contracts (2)</w:t>
            </w:r>
          </w:p>
        </w:tc>
        <w:tc>
          <w:tcPr>
            <w:tcW w:w="32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Separate account assets</w:t>
            </w:r>
          </w:p>
        </w:tc>
        <w:tc>
          <w:tcPr>
            <w:tcW w:w="32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109,741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restart"/>
          </w:tcPr>
          <w:p>
            <w:pPr>
              <w:jc w:val="right"/>
              <w:ind w:right="29"/>
              <w:spacing w:after="0"/>
              <w:rPr>
                <w:sz w:val="20"/>
                <w:szCs w:val="20"/>
                <w:color w:val="auto"/>
              </w:rPr>
            </w:pPr>
            <w:r>
              <w:rPr>
                <w:rFonts w:ascii="Arial" w:cs="Arial" w:eastAsia="Arial" w:hAnsi="Arial"/>
                <w:sz w:val="14"/>
                <w:szCs w:val="14"/>
                <w:color w:val="auto"/>
              </w:rPr>
              <w:t>110,156</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assets</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8,581</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164,302</w:t>
            </w:r>
          </w:p>
        </w:tc>
        <w:tc>
          <w:tcPr>
            <w:tcW w:w="12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3,693</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176,576</w:t>
            </w:r>
          </w:p>
        </w:tc>
        <w:tc>
          <w:tcPr>
            <w:tcW w:w="0" w:type="dxa"/>
            <w:vAlign w:val="bottom"/>
          </w:tcPr>
          <w:p>
            <w:pPr>
              <w:spacing w:after="0"/>
              <w:rPr>
                <w:sz w:val="1"/>
                <w:szCs w:val="1"/>
                <w:color w:val="auto"/>
              </w:rPr>
            </w:pPr>
          </w:p>
        </w:tc>
      </w:tr>
      <w:tr>
        <w:trPr>
          <w:trHeight w:val="60"/>
        </w:trPr>
        <w:tc>
          <w:tcPr>
            <w:tcW w:w="516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3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6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1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liabilities: (1)</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180"/>
              <w:spacing w:after="0"/>
              <w:rPr>
                <w:sz w:val="20"/>
                <w:szCs w:val="20"/>
                <w:color w:val="auto"/>
              </w:rPr>
            </w:pPr>
            <w:r>
              <w:rPr>
                <w:rFonts w:ascii="Arial" w:cs="Arial" w:eastAsia="Arial" w:hAnsi="Arial"/>
                <w:sz w:val="14"/>
                <w:szCs w:val="14"/>
                <w:color w:val="auto"/>
              </w:rPr>
              <w:t>Interest rate</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837</w:t>
            </w:r>
          </w:p>
        </w:tc>
        <w:tc>
          <w:tcPr>
            <w:tcW w:w="120" w:type="dxa"/>
            <w:vAlign w:val="bottom"/>
          </w:tcPr>
          <w:p>
            <w:pPr>
              <w:spacing w:after="0"/>
              <w:rPr>
                <w:sz w:val="16"/>
                <w:szCs w:val="16"/>
                <w:color w:val="auto"/>
              </w:rPr>
            </w:pP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29"/>
              <w:spacing w:after="0"/>
              <w:rPr>
                <w:sz w:val="20"/>
                <w:szCs w:val="20"/>
                <w:color w:val="auto"/>
              </w:rPr>
            </w:pPr>
            <w:r>
              <w:rPr>
                <w:rFonts w:ascii="Arial" w:cs="Arial" w:eastAsia="Arial" w:hAnsi="Arial"/>
                <w:sz w:val="14"/>
                <w:szCs w:val="14"/>
                <w:color w:val="auto"/>
              </w:rPr>
              <w:t>837</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exchange rate</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180"/>
              <w:spacing w:after="0"/>
              <w:rPr>
                <w:sz w:val="20"/>
                <w:szCs w:val="20"/>
                <w:color w:val="auto"/>
              </w:rPr>
            </w:pPr>
            <w:r>
              <w:rPr>
                <w:rFonts w:ascii="Arial" w:cs="Arial" w:eastAsia="Arial" w:hAnsi="Arial"/>
                <w:sz w:val="14"/>
                <w:szCs w:val="14"/>
                <w:color w:val="auto"/>
              </w:rPr>
              <w:t>Credit</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60" w:type="dxa"/>
            <w:vAlign w:val="bottom"/>
            <w:vMerge w:val="restart"/>
          </w:tcPr>
          <w:p>
            <w:pPr>
              <w:jc w:val="right"/>
              <w:ind w:right="2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market</w:t>
            </w:r>
          </w:p>
        </w:tc>
        <w:tc>
          <w:tcPr>
            <w:tcW w:w="32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1,736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2,173</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280"/>
              <w:spacing w:after="0"/>
              <w:rPr>
                <w:sz w:val="20"/>
                <w:szCs w:val="20"/>
                <w:color w:val="auto"/>
              </w:rPr>
            </w:pPr>
            <w:r>
              <w:rPr>
                <w:rFonts w:ascii="Arial" w:cs="Arial" w:eastAsia="Arial" w:hAnsi="Arial"/>
                <w:sz w:val="14"/>
                <w:szCs w:val="14"/>
                <w:color w:val="auto"/>
              </w:rPr>
              <w:t>Total derivative liabilities</w:t>
            </w:r>
          </w:p>
        </w:tc>
        <w:tc>
          <w:tcPr>
            <w:tcW w:w="32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2,691</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vMerge w:val="restart"/>
          </w:tcPr>
          <w:p>
            <w:pPr>
              <w:jc w:val="right"/>
              <w:ind w:right="29"/>
              <w:spacing w:after="0"/>
              <w:rPr>
                <w:sz w:val="20"/>
                <w:szCs w:val="20"/>
                <w:color w:val="auto"/>
              </w:rPr>
            </w:pPr>
            <w:r>
              <w:rPr>
                <w:rFonts w:ascii="Arial" w:cs="Arial" w:eastAsia="Arial" w:hAnsi="Arial"/>
                <w:sz w:val="14"/>
                <w:szCs w:val="14"/>
                <w:color w:val="auto"/>
              </w:rPr>
              <w:t>3,129</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Embedded derivatives within liability host contracts (2)</w:t>
            </w:r>
          </w:p>
        </w:tc>
        <w:tc>
          <w:tcPr>
            <w:tcW w:w="32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2,234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2,234</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Long-term debt of CSEs — FVO</w:t>
            </w:r>
          </w:p>
        </w:tc>
        <w:tc>
          <w:tcPr>
            <w:tcW w:w="32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restart"/>
          </w:tcPr>
          <w:p>
            <w:pPr>
              <w:jc w:val="right"/>
              <w:ind w:right="29"/>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2,702</w:t>
            </w:r>
          </w:p>
        </w:tc>
        <w:tc>
          <w:tcPr>
            <w:tcW w:w="12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2,672</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5,374</w:t>
            </w:r>
          </w:p>
        </w:tc>
        <w:tc>
          <w:tcPr>
            <w:tcW w:w="0" w:type="dxa"/>
            <w:vAlign w:val="bottom"/>
          </w:tcPr>
          <w:p>
            <w:pPr>
              <w:spacing w:after="0"/>
              <w:rPr>
                <w:sz w:val="1"/>
                <w:szCs w:val="1"/>
                <w:color w:val="auto"/>
              </w:rPr>
            </w:pPr>
          </w:p>
        </w:tc>
      </w:tr>
      <w:tr>
        <w:trPr>
          <w:trHeight w:val="60"/>
        </w:trPr>
        <w:tc>
          <w:tcPr>
            <w:tcW w:w="516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300" w:type="dxa"/>
            <w:vAlign w:val="bottom"/>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9"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139</w:t>
      </w:r>
    </w:p>
    <w:p>
      <w:pPr>
        <w:sectPr>
          <w:pgSz w:w="11900" w:h="16838" w:orient="portrait"/>
          <w:cols w:equalWidth="0" w:num="1">
            <w:col w:w="11420"/>
          </w:cols>
          <w:pgMar w:left="240" w:top="229" w:right="239" w:bottom="1440" w:gutter="0" w:footer="0" w:header="0"/>
          <w:type w:val="continuous"/>
        </w:sectPr>
      </w:pPr>
    </w:p>
    <w:bookmarkStart w:id="140" w:name="page141"/>
    <w:bookmarkEnd w:id="1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 2016</w:t>
            </w: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2"/>
              </w:rPr>
              <w:t>Fair Value Hierarchy</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vMerge w:val="restart"/>
          </w:tcPr>
          <w:p>
            <w:pPr>
              <w:jc w:val="right"/>
              <w:ind w:right="229"/>
              <w:spacing w:after="0"/>
              <w:rPr>
                <w:sz w:val="20"/>
                <w:szCs w:val="20"/>
                <w:color w:val="auto"/>
              </w:rPr>
            </w:pPr>
            <w:r>
              <w:rPr>
                <w:rFonts w:ascii="Arial" w:cs="Arial" w:eastAsia="Arial" w:hAnsi="Arial"/>
                <w:sz w:val="13"/>
                <w:szCs w:val="13"/>
                <w:b w:val="1"/>
                <w:bCs w:val="1"/>
                <w:color w:val="auto"/>
                <w:w w:val="97"/>
              </w:rPr>
              <w:t>Total Estimated</w:t>
            </w:r>
          </w:p>
        </w:tc>
        <w:tc>
          <w:tcPr>
            <w:tcW w:w="0" w:type="dxa"/>
            <w:vAlign w:val="bottom"/>
          </w:tcPr>
          <w:p>
            <w:pPr>
              <w:spacing w:after="0"/>
              <w:rPr>
                <w:sz w:val="1"/>
                <w:szCs w:val="1"/>
                <w:color w:val="auto"/>
              </w:rPr>
            </w:pPr>
          </w:p>
        </w:tc>
      </w:tr>
      <w:tr>
        <w:trPr>
          <w:trHeight w:val="90"/>
        </w:trPr>
        <w:tc>
          <w:tcPr>
            <w:tcW w:w="5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Level 1</w:t>
            </w: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0"/>
              </w:rPr>
              <w:t>Level 2</w:t>
            </w: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Level 3</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49"/>
        </w:trPr>
        <w:tc>
          <w:tcPr>
            <w:tcW w:w="5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gridSpan w:val="3"/>
          </w:tcPr>
          <w:p>
            <w:pPr>
              <w:jc w:val="right"/>
              <w:ind w:right="148"/>
              <w:spacing w:after="0"/>
              <w:rPr>
                <w:sz w:val="20"/>
                <w:szCs w:val="20"/>
                <w:color w:val="auto"/>
              </w:rPr>
            </w:pPr>
            <w:r>
              <w:rPr>
                <w:rFonts w:ascii="Arial" w:cs="Arial" w:eastAsia="Arial" w:hAnsi="Arial"/>
                <w:sz w:val="13"/>
                <w:szCs w:val="13"/>
                <w:b w:val="1"/>
                <w:bCs w:val="1"/>
                <w:color w:val="auto"/>
              </w:rPr>
              <w:t>(In millions)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Fixed maturity securities: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corporate</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20,221</w:t>
            </w:r>
          </w:p>
        </w:tc>
        <w:tc>
          <w:tcPr>
            <w:tcW w:w="120" w:type="dxa"/>
            <w:vAlign w:val="bottom"/>
            <w:shd w:val="clear" w:color="auto" w:fill="CCEEFF"/>
          </w:tcPr>
          <w:p>
            <w:pPr>
              <w:spacing w:after="0"/>
              <w:rPr>
                <w:sz w:val="16"/>
                <w:szCs w:val="16"/>
                <w:color w:val="auto"/>
              </w:rPr>
            </w:pPr>
          </w:p>
        </w:tc>
        <w:tc>
          <w:tcPr>
            <w:tcW w:w="46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1,444</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21,665</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180"/>
              <w:spacing w:after="0"/>
              <w:rPr>
                <w:sz w:val="20"/>
                <w:szCs w:val="20"/>
                <w:color w:val="auto"/>
              </w:rPr>
            </w:pPr>
            <w:r>
              <w:rPr>
                <w:rFonts w:ascii="Arial" w:cs="Arial" w:eastAsia="Arial" w:hAnsi="Arial"/>
                <w:sz w:val="14"/>
                <w:szCs w:val="14"/>
                <w:color w:val="auto"/>
              </w:rPr>
              <w:t>U.S. government and agency</w:t>
            </w:r>
          </w:p>
        </w:tc>
        <w:tc>
          <w:tcPr>
            <w:tcW w:w="32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6,110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6,806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60" w:type="dxa"/>
            <w:vAlign w:val="bottom"/>
            <w:vMerge w:val="restart"/>
          </w:tcPr>
          <w:p>
            <w:pPr>
              <w:jc w:val="right"/>
              <w:ind w:right="29"/>
              <w:spacing w:after="0"/>
              <w:rPr>
                <w:sz w:val="20"/>
                <w:szCs w:val="20"/>
                <w:color w:val="auto"/>
              </w:rPr>
            </w:pPr>
            <w:r>
              <w:rPr>
                <w:rFonts w:ascii="Arial" w:cs="Arial" w:eastAsia="Arial" w:hAnsi="Arial"/>
                <w:sz w:val="14"/>
                <w:szCs w:val="14"/>
                <w:color w:val="auto"/>
              </w:rPr>
              <w:t>12,916</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RMBS</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6,627</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7,940</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180"/>
              <w:spacing w:after="0"/>
              <w:rPr>
                <w:sz w:val="20"/>
                <w:szCs w:val="20"/>
                <w:color w:val="auto"/>
              </w:rPr>
            </w:pPr>
            <w:r>
              <w:rPr>
                <w:rFonts w:ascii="Arial" w:cs="Arial" w:eastAsia="Arial" w:hAnsi="Arial"/>
                <w:sz w:val="14"/>
                <w:szCs w:val="14"/>
                <w:color w:val="auto"/>
              </w:rPr>
              <w:t>Foreign corporate</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5,257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866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restart"/>
          </w:tcPr>
          <w:p>
            <w:pPr>
              <w:jc w:val="right"/>
              <w:ind w:right="29"/>
              <w:spacing w:after="0"/>
              <w:rPr>
                <w:sz w:val="20"/>
                <w:szCs w:val="20"/>
                <w:color w:val="auto"/>
              </w:rPr>
            </w:pPr>
            <w:r>
              <w:rPr>
                <w:rFonts w:ascii="Arial" w:cs="Arial" w:eastAsia="Arial" w:hAnsi="Arial"/>
                <w:sz w:val="14"/>
                <w:szCs w:val="14"/>
                <w:color w:val="auto"/>
              </w:rPr>
              <w:t>6,123</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State and political subdivision</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3,841</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3,858</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180"/>
              <w:spacing w:after="0"/>
              <w:rPr>
                <w:sz w:val="20"/>
                <w:szCs w:val="20"/>
                <w:color w:val="auto"/>
              </w:rPr>
            </w:pPr>
            <w:r>
              <w:rPr>
                <w:rFonts w:ascii="Arial" w:cs="Arial" w:eastAsia="Arial" w:hAnsi="Arial"/>
                <w:sz w:val="14"/>
                <w:szCs w:val="14"/>
                <w:color w:val="auto"/>
              </w:rPr>
              <w:t>CMBS</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3,529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restart"/>
          </w:tcPr>
          <w:p>
            <w:pPr>
              <w:jc w:val="right"/>
              <w:ind w:right="29"/>
              <w:spacing w:after="0"/>
              <w:rPr>
                <w:sz w:val="20"/>
                <w:szCs w:val="20"/>
                <w:color w:val="auto"/>
              </w:rPr>
            </w:pPr>
            <w:r>
              <w:rPr>
                <w:rFonts w:ascii="Arial" w:cs="Arial" w:eastAsia="Arial" w:hAnsi="Arial"/>
                <w:sz w:val="14"/>
                <w:szCs w:val="14"/>
                <w:color w:val="auto"/>
              </w:rPr>
              <w:t>3,696</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ABS</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2,383</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2,598</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180"/>
              <w:spacing w:after="0"/>
              <w:rPr>
                <w:sz w:val="20"/>
                <w:szCs w:val="20"/>
                <w:color w:val="auto"/>
              </w:rPr>
            </w:pPr>
            <w:r>
              <w:rPr>
                <w:rFonts w:ascii="Arial" w:cs="Arial" w:eastAsia="Arial" w:hAnsi="Arial"/>
                <w:sz w:val="14"/>
                <w:szCs w:val="14"/>
                <w:color w:val="auto"/>
              </w:rPr>
              <w:t>Foreign government</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1,103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60" w:type="dxa"/>
            <w:vAlign w:val="bottom"/>
            <w:vMerge w:val="restart"/>
          </w:tcPr>
          <w:p>
            <w:pPr>
              <w:jc w:val="right"/>
              <w:ind w:right="29"/>
              <w:spacing w:after="0"/>
              <w:rPr>
                <w:sz w:val="20"/>
                <w:szCs w:val="20"/>
                <w:color w:val="auto"/>
              </w:rPr>
            </w:pPr>
            <w:r>
              <w:rPr>
                <w:rFonts w:ascii="Arial" w:cs="Arial" w:eastAsia="Arial" w:hAnsi="Arial"/>
                <w:sz w:val="14"/>
                <w:szCs w:val="14"/>
                <w:color w:val="auto"/>
              </w:rPr>
              <w:t>1,103</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fixed maturity securities</w:t>
            </w:r>
          </w:p>
        </w:tc>
        <w:tc>
          <w:tcPr>
            <w:tcW w:w="3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6,110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49,767</w:t>
            </w: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4,022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59,899</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40"/>
              <w:spacing w:after="0"/>
              <w:rPr>
                <w:sz w:val="20"/>
                <w:szCs w:val="20"/>
                <w:color w:val="auto"/>
              </w:rPr>
            </w:pPr>
            <w:r>
              <w:rPr>
                <w:rFonts w:ascii="Arial" w:cs="Arial" w:eastAsia="Arial" w:hAnsi="Arial"/>
                <w:sz w:val="14"/>
                <w:szCs w:val="14"/>
                <w:color w:val="auto"/>
              </w:rPr>
              <w:t>Equity securities</w:t>
            </w:r>
          </w:p>
        </w:tc>
        <w:tc>
          <w:tcPr>
            <w:tcW w:w="32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vMerge w:val="restart"/>
          </w:tcPr>
          <w:p>
            <w:pPr>
              <w:jc w:val="right"/>
              <w:ind w:right="29"/>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investments</w:t>
            </w:r>
          </w:p>
        </w:tc>
        <w:tc>
          <w:tcPr>
            <w:tcW w:w="32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702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568</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1,272</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Commercial mortgage loans held by CSEs — FVO</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60" w:type="dxa"/>
            <w:vAlign w:val="bottom"/>
            <w:vMerge w:val="restart"/>
          </w:tcPr>
          <w:p>
            <w:pPr>
              <w:jc w:val="right"/>
              <w:ind w:right="29"/>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assets: (1)</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180"/>
              <w:spacing w:after="0"/>
              <w:rPr>
                <w:sz w:val="20"/>
                <w:szCs w:val="20"/>
                <w:color w:val="auto"/>
              </w:rPr>
            </w:pPr>
            <w:r>
              <w:rPr>
                <w:rFonts w:ascii="Arial" w:cs="Arial" w:eastAsia="Arial" w:hAnsi="Arial"/>
                <w:sz w:val="14"/>
                <w:szCs w:val="14"/>
                <w:color w:val="auto"/>
              </w:rPr>
              <w:t>Interest rate</w:t>
            </w:r>
          </w:p>
        </w:tc>
        <w:tc>
          <w:tcPr>
            <w:tcW w:w="32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2,142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60" w:type="dxa"/>
            <w:vAlign w:val="bottom"/>
            <w:vMerge w:val="restart"/>
          </w:tcPr>
          <w:p>
            <w:pPr>
              <w:jc w:val="right"/>
              <w:ind w:right="29"/>
              <w:spacing w:after="0"/>
              <w:rPr>
                <w:sz w:val="20"/>
                <w:szCs w:val="20"/>
                <w:color w:val="auto"/>
              </w:rPr>
            </w:pPr>
            <w:r>
              <w:rPr>
                <w:rFonts w:ascii="Arial" w:cs="Arial" w:eastAsia="Arial" w:hAnsi="Arial"/>
                <w:sz w:val="14"/>
                <w:szCs w:val="14"/>
                <w:color w:val="auto"/>
              </w:rPr>
              <w:t>2,151</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exchange rate</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348</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180"/>
              <w:spacing w:after="0"/>
              <w:rPr>
                <w:sz w:val="20"/>
                <w:szCs w:val="20"/>
                <w:color w:val="auto"/>
              </w:rPr>
            </w:pPr>
            <w:r>
              <w:rPr>
                <w:rFonts w:ascii="Arial" w:cs="Arial" w:eastAsia="Arial" w:hAnsi="Arial"/>
                <w:sz w:val="14"/>
                <w:szCs w:val="14"/>
                <w:color w:val="auto"/>
              </w:rPr>
              <w:t>Credit</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restart"/>
          </w:tcPr>
          <w:p>
            <w:pPr>
              <w:jc w:val="right"/>
              <w:ind w:right="29"/>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market</w:t>
            </w:r>
          </w:p>
        </w:tc>
        <w:tc>
          <w:tcPr>
            <w:tcW w:w="32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860</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280"/>
              <w:spacing w:after="0"/>
              <w:rPr>
                <w:sz w:val="20"/>
                <w:szCs w:val="20"/>
                <w:color w:val="auto"/>
              </w:rPr>
            </w:pPr>
            <w:r>
              <w:rPr>
                <w:rFonts w:ascii="Arial" w:cs="Arial" w:eastAsia="Arial" w:hAnsi="Arial"/>
                <w:sz w:val="14"/>
                <w:szCs w:val="14"/>
                <w:color w:val="auto"/>
              </w:rPr>
              <w:t>Total derivative assets</w:t>
            </w:r>
          </w:p>
        </w:tc>
        <w:tc>
          <w:tcPr>
            <w:tcW w:w="32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3,370</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vMerge w:val="restart"/>
          </w:tcPr>
          <w:p>
            <w:pPr>
              <w:jc w:val="right"/>
              <w:ind w:right="29"/>
              <w:spacing w:after="0"/>
              <w:rPr>
                <w:sz w:val="20"/>
                <w:szCs w:val="20"/>
                <w:color w:val="auto"/>
              </w:rPr>
            </w:pPr>
            <w:r>
              <w:rPr>
                <w:rFonts w:ascii="Arial" w:cs="Arial" w:eastAsia="Arial" w:hAnsi="Arial"/>
                <w:sz w:val="14"/>
                <w:szCs w:val="14"/>
                <w:color w:val="auto"/>
              </w:rPr>
              <w:t>3,603</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Embedded derivatives within asset host contracts (2)</w:t>
            </w:r>
          </w:p>
        </w:tc>
        <w:tc>
          <w:tcPr>
            <w:tcW w:w="32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Separate account assets</w:t>
            </w:r>
          </w:p>
        </w:tc>
        <w:tc>
          <w:tcPr>
            <w:tcW w:w="32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720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104,616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restart"/>
          </w:tcPr>
          <w:p>
            <w:pPr>
              <w:jc w:val="right"/>
              <w:ind w:right="29"/>
              <w:spacing w:after="0"/>
              <w:rPr>
                <w:sz w:val="20"/>
                <w:szCs w:val="20"/>
                <w:color w:val="auto"/>
              </w:rPr>
            </w:pPr>
            <w:r>
              <w:rPr>
                <w:rFonts w:ascii="Arial" w:cs="Arial" w:eastAsia="Arial" w:hAnsi="Arial"/>
                <w:sz w:val="14"/>
                <w:szCs w:val="14"/>
                <w:color w:val="auto"/>
              </w:rPr>
              <w:t>105,346</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assets</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7,617</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158,581</w:t>
            </w:r>
          </w:p>
        </w:tc>
        <w:tc>
          <w:tcPr>
            <w:tcW w:w="12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4,767</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170,965</w:t>
            </w:r>
          </w:p>
        </w:tc>
        <w:tc>
          <w:tcPr>
            <w:tcW w:w="0" w:type="dxa"/>
            <w:vAlign w:val="bottom"/>
          </w:tcPr>
          <w:p>
            <w:pPr>
              <w:spacing w:after="0"/>
              <w:rPr>
                <w:sz w:val="1"/>
                <w:szCs w:val="1"/>
                <w:color w:val="auto"/>
              </w:rPr>
            </w:pPr>
          </w:p>
        </w:tc>
      </w:tr>
      <w:tr>
        <w:trPr>
          <w:trHeight w:val="60"/>
        </w:trPr>
        <w:tc>
          <w:tcPr>
            <w:tcW w:w="516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3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6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1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liabilities: (1)</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180"/>
              <w:spacing w:after="0"/>
              <w:rPr>
                <w:sz w:val="20"/>
                <w:szCs w:val="20"/>
                <w:color w:val="auto"/>
              </w:rPr>
            </w:pPr>
            <w:r>
              <w:rPr>
                <w:rFonts w:ascii="Arial" w:cs="Arial" w:eastAsia="Arial" w:hAnsi="Arial"/>
                <w:sz w:val="14"/>
                <w:szCs w:val="14"/>
                <w:color w:val="auto"/>
              </w:rPr>
              <w:t>Interest rate</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1,690</w:t>
            </w:r>
          </w:p>
        </w:tc>
        <w:tc>
          <w:tcPr>
            <w:tcW w:w="120" w:type="dxa"/>
            <w:vAlign w:val="bottom"/>
          </w:tcPr>
          <w:p>
            <w:pPr>
              <w:spacing w:after="0"/>
              <w:rPr>
                <w:sz w:val="16"/>
                <w:szCs w:val="16"/>
                <w:color w:val="auto"/>
              </w:rPr>
            </w:pP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611</w:t>
            </w:r>
          </w:p>
        </w:tc>
        <w:tc>
          <w:tcPr>
            <w:tcW w:w="100" w:type="dxa"/>
            <w:vAlign w:val="bottom"/>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29"/>
              <w:spacing w:after="0"/>
              <w:rPr>
                <w:sz w:val="20"/>
                <w:szCs w:val="20"/>
                <w:color w:val="auto"/>
              </w:rPr>
            </w:pPr>
            <w:r>
              <w:rPr>
                <w:rFonts w:ascii="Arial" w:cs="Arial" w:eastAsia="Arial" w:hAnsi="Arial"/>
                <w:sz w:val="14"/>
                <w:szCs w:val="14"/>
                <w:color w:val="auto"/>
              </w:rPr>
              <w:t>2,301</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exchange rate</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180"/>
              <w:spacing w:after="0"/>
              <w:rPr>
                <w:sz w:val="20"/>
                <w:szCs w:val="20"/>
                <w:color w:val="auto"/>
              </w:rPr>
            </w:pPr>
            <w:r>
              <w:rPr>
                <w:rFonts w:ascii="Arial" w:cs="Arial" w:eastAsia="Arial" w:hAnsi="Arial"/>
                <w:sz w:val="14"/>
                <w:szCs w:val="14"/>
                <w:color w:val="auto"/>
              </w:rPr>
              <w:t>Equity market</w:t>
            </w:r>
          </w:p>
        </w:tc>
        <w:tc>
          <w:tcPr>
            <w:tcW w:w="32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1,038</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530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restart"/>
          </w:tcPr>
          <w:p>
            <w:pPr>
              <w:jc w:val="right"/>
              <w:ind w:right="29"/>
              <w:spacing w:after="0"/>
              <w:rPr>
                <w:sz w:val="20"/>
                <w:szCs w:val="20"/>
                <w:color w:val="auto"/>
              </w:rPr>
            </w:pPr>
            <w:r>
              <w:rPr>
                <w:rFonts w:ascii="Arial" w:cs="Arial" w:eastAsia="Arial" w:hAnsi="Arial"/>
                <w:sz w:val="14"/>
                <w:szCs w:val="14"/>
                <w:color w:val="auto"/>
              </w:rPr>
              <w:t>1,568</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derivative liabilities</w:t>
            </w:r>
          </w:p>
        </w:tc>
        <w:tc>
          <w:tcPr>
            <w:tcW w:w="3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2,742</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1,141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3,883</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40"/>
              <w:spacing w:after="0"/>
              <w:rPr>
                <w:sz w:val="20"/>
                <w:szCs w:val="20"/>
                <w:color w:val="auto"/>
              </w:rPr>
            </w:pPr>
            <w:r>
              <w:rPr>
                <w:rFonts w:ascii="Arial" w:cs="Arial" w:eastAsia="Arial" w:hAnsi="Arial"/>
                <w:sz w:val="14"/>
                <w:szCs w:val="14"/>
                <w:color w:val="auto"/>
              </w:rPr>
              <w:t>Embedded derivatives within liability host contracts (2)</w:t>
            </w:r>
          </w:p>
        </w:tc>
        <w:tc>
          <w:tcPr>
            <w:tcW w:w="320" w:type="dxa"/>
            <w:vAlign w:val="bottom"/>
          </w:tcPr>
          <w:p>
            <w:pPr>
              <w:spacing w:after="0"/>
              <w:rPr>
                <w:sz w:val="14"/>
                <w:szCs w:val="14"/>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3,170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vMerge w:val="restart"/>
          </w:tcPr>
          <w:p>
            <w:pPr>
              <w:jc w:val="right"/>
              <w:ind w:right="29"/>
              <w:spacing w:after="0"/>
              <w:rPr>
                <w:sz w:val="20"/>
                <w:szCs w:val="20"/>
                <w:color w:val="auto"/>
              </w:rPr>
            </w:pPr>
            <w:r>
              <w:rPr>
                <w:rFonts w:ascii="Arial" w:cs="Arial" w:eastAsia="Arial" w:hAnsi="Arial"/>
                <w:sz w:val="14"/>
                <w:szCs w:val="14"/>
                <w:color w:val="auto"/>
              </w:rPr>
              <w:t>3,170</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of CSEs — FVO</w:t>
            </w:r>
          </w:p>
        </w:tc>
        <w:tc>
          <w:tcPr>
            <w:tcW w:w="32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680"/>
              <w:spacing w:after="0"/>
              <w:rPr>
                <w:sz w:val="20"/>
                <w:szCs w:val="20"/>
                <w:color w:val="auto"/>
              </w:rPr>
            </w:pPr>
            <w:r>
              <w:rPr>
                <w:rFonts w:ascii="Arial" w:cs="Arial" w:eastAsia="Arial" w:hAnsi="Arial"/>
                <w:sz w:val="14"/>
                <w:szCs w:val="14"/>
                <w:color w:val="auto"/>
              </w:rPr>
              <w:t>Total liabilities</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2,765</w:t>
            </w:r>
          </w:p>
        </w:tc>
        <w:tc>
          <w:tcPr>
            <w:tcW w:w="120" w:type="dxa"/>
            <w:vAlign w:val="bottom"/>
          </w:tcPr>
          <w:p>
            <w:pPr>
              <w:spacing w:after="0"/>
              <w:rPr>
                <w:sz w:val="14"/>
                <w:szCs w:val="14"/>
                <w:color w:val="auto"/>
              </w:rPr>
            </w:pP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4,311</w:t>
            </w:r>
          </w:p>
        </w:tc>
        <w:tc>
          <w:tcPr>
            <w:tcW w:w="10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29"/>
              <w:spacing w:after="0"/>
              <w:rPr>
                <w:sz w:val="20"/>
                <w:szCs w:val="20"/>
                <w:color w:val="auto"/>
              </w:rPr>
            </w:pPr>
            <w:r>
              <w:rPr>
                <w:rFonts w:ascii="Arial" w:cs="Arial" w:eastAsia="Arial" w:hAnsi="Arial"/>
                <w:sz w:val="14"/>
                <w:szCs w:val="14"/>
                <w:color w:val="auto"/>
              </w:rPr>
              <w:t>7,076</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7620</wp:posOffset>
            </wp:positionV>
            <wp:extent cx="39789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-98425</wp:posOffset>
            </wp:positionV>
            <wp:extent cx="39789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93" w:lineRule="exact"/>
        <w:rPr>
          <w:sz w:val="20"/>
          <w:szCs w:val="20"/>
          <w:color w:val="auto"/>
        </w:rPr>
      </w:pPr>
    </w:p>
    <w:p>
      <w:pPr>
        <w:jc w:val="both"/>
        <w:ind w:left="500" w:hanging="492"/>
        <w:spacing w:after="0" w:line="259"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Derivative assets are presented within other invested assets on the consolidated balance sheets and derivative liabilities are presented within other liabilities on the consolidated balance sheets. The amounts are presented gross in the tables above to reflect the presentation on the consolidated balance sheets, but are presented net for purposes of the rollforward in the Fair Value Measurements Using Significant Unobservable Inputs (Level 3) tables.</w:t>
      </w:r>
    </w:p>
    <w:p>
      <w:pPr>
        <w:spacing w:after="0" w:line="78"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Embedded derivatives within asset host contracts are presented within premiums, reinsurance and other receivables and other invested assets on the consolidated balance sheets. Embedded derivatives within liability host contracts are presented within policyholder account balances, on the consolidated balance sheets. At December 31, 2017 and 2016, debt and equity securities also included embedded derivatives of ($52) million and ($49) million, respectively.</w:t>
      </w:r>
    </w:p>
    <w:p>
      <w:pPr>
        <w:sectPr>
          <w:pgSz w:w="11900" w:h="16838" w:orient="portrait"/>
          <w:cols w:equalWidth="0" w:num="1">
            <w:col w:w="11420"/>
          </w:cols>
          <w:pgMar w:left="240" w:top="229"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1420"/>
          </w:cols>
          <w:pgMar w:left="240" w:top="229" w:right="239" w:bottom="1440" w:gutter="0" w:footer="0" w:header="0"/>
          <w:type w:val="continuous"/>
        </w:sectPr>
      </w:pPr>
    </w:p>
    <w:bookmarkStart w:id="141" w:name="page142"/>
    <w:bookmarkEnd w:id="1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Valuation Controls and Procedures</w:t>
      </w:r>
    </w:p>
    <w:p>
      <w:pPr>
        <w:spacing w:after="0" w:line="117"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The Company monitors and provides oversight of valuation controls and policies for securities, mortgage loans and derivatives, which are primarily executed by MLIA.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based on changing market conditions. In addition, the Chief Accounting Officer periodically reports to the Audit Committee of Brighthouse’s Board of Directors regarding compliance with fair value accounting standards.</w:t>
      </w:r>
    </w:p>
    <w:p>
      <w:pPr>
        <w:spacing w:after="0" w:line="85" w:lineRule="exact"/>
        <w:rPr>
          <w:sz w:val="20"/>
          <w:szCs w:val="20"/>
          <w:color w:val="auto"/>
        </w:rPr>
      </w:pPr>
    </w:p>
    <w:p>
      <w:pPr>
        <w:jc w:val="both"/>
        <w:ind w:left="340" w:firstLine="324"/>
        <w:spacing w:after="0" w:line="287" w:lineRule="auto"/>
        <w:rPr>
          <w:sz w:val="20"/>
          <w:szCs w:val="20"/>
          <w:color w:val="auto"/>
        </w:rPr>
      </w:pPr>
      <w:r>
        <w:rPr>
          <w:rFonts w:ascii="Arial" w:cs="Arial" w:eastAsia="Arial" w:hAnsi="Arial"/>
          <w:sz w:val="16"/>
          <w:szCs w:val="16"/>
          <w:color w:val="auto"/>
        </w:rPr>
        <w:t>The fair value of financial assets and financial liabilities is based on quoted market prices, where available. The Company assesses whether prices received represent a reasonable estimate of fair value through controls designed to ensure valuations represent an exit price. MLIA performs several controls,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 Fixed maturity securities priced using independent non-binding broker quotations represent less than 1% of the total estimated fair value of fixed maturity securities and 5% of the total estimated fair value of Level 3 fixed maturity securities at December 31, 2017.</w:t>
      </w:r>
    </w:p>
    <w:p>
      <w:pPr>
        <w:spacing w:after="0" w:line="65"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MLIA also applies a formal process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MLIA will use the last available price.</w:t>
      </w:r>
    </w:p>
    <w:p>
      <w:pPr>
        <w:spacing w:after="0" w:line="79"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The Company reviews outputs of MLIA’s controls and performs additional controls, including certain monthly controls, which include but are not limited to, performing balance sheet analytics to assess reasonableness of period to 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year ended December 31, 2017.</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Determination of Fair Value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Fixed maturities</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The fair values for actively traded marketable bonds, primarily U.S. government and agency securities, are determined using the quoted market prices and are classified as Level 1 assets. For fixed maturities classified as Level 2 assets, fair values are determined using either a market or income approach and are valued based on a variety of observable inputs as described below.</w:t>
      </w:r>
    </w:p>
    <w:p>
      <w:pPr>
        <w:spacing w:after="0" w:line="12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i w:val="1"/>
          <w:iCs w:val="1"/>
          <w:color w:val="auto"/>
        </w:rPr>
        <w:t xml:space="preserve">U.S. corporate and foreign corporate securities: </w:t>
      </w:r>
      <w:r>
        <w:rPr>
          <w:rFonts w:ascii="Arial" w:cs="Arial" w:eastAsia="Arial" w:hAnsi="Arial"/>
          <w:sz w:val="18"/>
          <w:szCs w:val="18"/>
          <w:color w:val="auto"/>
        </w:rPr>
        <w:t>Fair value is determined using third-party commercial pricing services, with the primary inputs</w:t>
      </w:r>
      <w:r>
        <w:rPr>
          <w:rFonts w:ascii="Arial" w:cs="Arial" w:eastAsia="Arial" w:hAnsi="Arial"/>
          <w:sz w:val="18"/>
          <w:szCs w:val="18"/>
          <w:i w:val="1"/>
          <w:iCs w:val="1"/>
          <w:color w:val="auto"/>
        </w:rPr>
        <w:t xml:space="preserve"> </w:t>
      </w:r>
      <w:r>
        <w:rPr>
          <w:rFonts w:ascii="Arial" w:cs="Arial" w:eastAsia="Arial" w:hAnsi="Arial"/>
          <w:sz w:val="18"/>
          <w:szCs w:val="18"/>
          <w:color w:val="auto"/>
        </w:rPr>
        <w:t>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spacing w:after="0" w:line="134"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i w:val="1"/>
          <w:iCs w:val="1"/>
          <w:color w:val="auto"/>
        </w:rPr>
        <w:t xml:space="preserve">U.S. government and agency, state and political subdivision and foreign government securities: </w:t>
      </w:r>
      <w:r>
        <w:rPr>
          <w:rFonts w:ascii="Arial" w:cs="Arial" w:eastAsia="Arial" w:hAnsi="Arial"/>
          <w:sz w:val="18"/>
          <w:szCs w:val="18"/>
          <w:color w:val="auto"/>
        </w:rPr>
        <w:t>Fair value is determined using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pricing services, with the primary inputs being quoted prices in markets that are not active, benchmark U.S. Treasury yield or other yields, spread off the U.S. Treasury yield curve for the identical security, issuer ratings and issuer spreads, broker dealer quotes, and comparable securities that are actively traded.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22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(continued)</w:t>
      </w:r>
    </w:p>
    <w:p>
      <w:pPr>
        <w:spacing w:after="0" w:line="200" w:lineRule="exact"/>
        <w:rPr>
          <w:sz w:val="20"/>
          <w:szCs w:val="20"/>
          <w:color w:val="auto"/>
        </w:rPr>
      </w:pPr>
    </w:p>
    <w:p>
      <w:pPr>
        <w:spacing w:after="0" w:line="218" w:lineRule="exact"/>
        <w:rPr>
          <w:sz w:val="20"/>
          <w:szCs w:val="20"/>
          <w:color w:val="auto"/>
        </w:rPr>
      </w:pPr>
    </w:p>
    <w:p>
      <w:pPr>
        <w:jc w:val="both"/>
        <w:ind w:left="340" w:firstLine="324"/>
        <w:spacing w:after="0" w:line="276" w:lineRule="auto"/>
        <w:rPr>
          <w:sz w:val="20"/>
          <w:szCs w:val="20"/>
          <w:color w:val="auto"/>
        </w:rPr>
      </w:pPr>
      <w:r>
        <w:rPr>
          <w:rFonts w:ascii="Arial" w:cs="Arial" w:eastAsia="Arial" w:hAnsi="Arial"/>
          <w:sz w:val="17"/>
          <w:szCs w:val="17"/>
          <w:i w:val="1"/>
          <w:iCs w:val="1"/>
          <w:color w:val="auto"/>
        </w:rPr>
        <w:t xml:space="preserve">Structured securities: </w:t>
      </w:r>
      <w:r>
        <w:rPr>
          <w:rFonts w:ascii="Arial" w:cs="Arial" w:eastAsia="Arial" w:hAnsi="Arial"/>
          <w:sz w:val="17"/>
          <w:szCs w:val="17"/>
          <w:color w:val="auto"/>
        </w:rPr>
        <w:t>Fair value is determined using third-party commercial pricing services, with the primary inputs being quoted prices in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w:t>
      </w:r>
    </w:p>
    <w:p>
      <w:pPr>
        <w:spacing w:after="0" w:line="119"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i w:val="1"/>
          <w:iCs w:val="1"/>
          <w:u w:val="single" w:color="auto"/>
          <w:color w:val="auto"/>
        </w:rPr>
        <w:t xml:space="preserve">Equity securities, short-term investments, commercial mortgage loans held by CSEs </w:t>
      </w:r>
      <w:r>
        <w:rPr>
          <w:rFonts w:ascii="MS PGothic" w:cs="MS PGothic" w:eastAsia="MS PGothic" w:hAnsi="MS PGothic"/>
          <w:sz w:val="18"/>
          <w:szCs w:val="18"/>
          <w:i w:val="1"/>
          <w:iCs w:val="1"/>
          <w:u w:val="single" w:color="auto"/>
          <w:color w:val="auto"/>
        </w:rPr>
        <w:t>‑</w:t>
      </w:r>
      <w:r>
        <w:rPr>
          <w:rFonts w:ascii="Arial" w:cs="Arial" w:eastAsia="Arial" w:hAnsi="Arial"/>
          <w:sz w:val="18"/>
          <w:szCs w:val="18"/>
          <w:i w:val="1"/>
          <w:iCs w:val="1"/>
          <w:u w:val="single" w:color="auto"/>
          <w:color w:val="auto"/>
        </w:rPr>
        <w:t xml:space="preserve"> FVO and long-term debt of CSEs - FVO</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The fair value for actively traded equity and short-term investments are determined using quoted market prices and are classified as Level 1 assets. For financial instruments classified as Level 2 assets or liabilities, fair values are determined using a market approach and are valued based on a variety of observable inputs as described below.</w:t>
      </w:r>
    </w:p>
    <w:p>
      <w:pPr>
        <w:spacing w:after="0" w:line="12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i w:val="1"/>
          <w:iCs w:val="1"/>
          <w:color w:val="auto"/>
        </w:rPr>
        <w:t xml:space="preserve">Equity securities and short-term investments: </w:t>
      </w:r>
      <w:r>
        <w:rPr>
          <w:rFonts w:ascii="Arial" w:cs="Arial" w:eastAsia="Arial" w:hAnsi="Arial"/>
          <w:sz w:val="18"/>
          <w:szCs w:val="18"/>
          <w:color w:val="auto"/>
        </w:rPr>
        <w:t>Fair value is determined using third-party commercial pricing services, with the primary input being</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in markets that are not active.</w:t>
      </w:r>
    </w:p>
    <w:p>
      <w:pPr>
        <w:spacing w:after="0" w:line="116"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i w:val="1"/>
          <w:iCs w:val="1"/>
          <w:color w:val="auto"/>
        </w:rPr>
        <w:t xml:space="preserve">Commercial mortgage loans held by CSEs - FVO and long-term debt of CSEs - FVO: </w:t>
      </w:r>
      <w:r>
        <w:rPr>
          <w:rFonts w:ascii="Arial" w:cs="Arial" w:eastAsia="Arial" w:hAnsi="Arial"/>
          <w:sz w:val="18"/>
          <w:szCs w:val="18"/>
          <w:color w:val="auto"/>
        </w:rPr>
        <w:t>Fair value is determined using third-party commercial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with the primary input being quoted securitization market price determined principally by independent pricing services using observable inputs or quoted prices or reported NAV provided by the fund managers.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Derivatives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fair values for exchange-traded derivatives are determined using the quoted market prices and are classified as Level 1 assets.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79"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spacing w:after="0" w:line="85"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spacing w:after="0" w:line="73" w:lineRule="exact"/>
        <w:rPr>
          <w:sz w:val="20"/>
          <w:szCs w:val="20"/>
          <w:color w:val="auto"/>
        </w:rPr>
      </w:pPr>
    </w:p>
    <w:p>
      <w:pPr>
        <w:jc w:val="both"/>
        <w:ind w:left="340" w:firstLine="324"/>
        <w:spacing w:after="0" w:line="253" w:lineRule="auto"/>
        <w:rPr>
          <w:sz w:val="20"/>
          <w:szCs w:val="20"/>
          <w:color w:val="auto"/>
        </w:rPr>
      </w:pPr>
      <w:r>
        <w:rPr>
          <w:rFonts w:ascii="Arial" w:cs="Arial" w:eastAsia="Arial" w:hAnsi="Arial"/>
          <w:sz w:val="18"/>
          <w:szCs w:val="18"/>
          <w:color w:val="auto"/>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22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Embedded Derivatives</w:t>
      </w:r>
    </w:p>
    <w:p>
      <w:pPr>
        <w:spacing w:after="0" w:line="117" w:lineRule="exact"/>
        <w:rPr>
          <w:sz w:val="20"/>
          <w:szCs w:val="20"/>
          <w:color w:val="auto"/>
        </w:rPr>
      </w:pPr>
    </w:p>
    <w:p>
      <w:pPr>
        <w:jc w:val="both"/>
        <w:ind w:left="340" w:right="20" w:firstLine="324"/>
        <w:spacing w:after="0" w:line="264" w:lineRule="auto"/>
        <w:rPr>
          <w:sz w:val="20"/>
          <w:szCs w:val="20"/>
          <w:color w:val="auto"/>
        </w:rPr>
      </w:pPr>
      <w:r>
        <w:rPr>
          <w:rFonts w:ascii="Arial" w:cs="Arial" w:eastAsia="Arial" w:hAnsi="Arial"/>
          <w:sz w:val="18"/>
          <w:szCs w:val="18"/>
          <w:color w:val="auto"/>
        </w:rPr>
        <w:t>Embedded derivatives principally include certain direct, assumed and ceded variable annuity guarantees, equity or bond indexed crediting rates within certain annuity contracts, and those related to funds withheld on ceded reinsurance agreements. Embedded derivatives are recorded at estimated fair value with changes in estimated fair value reported in net income.</w:t>
      </w:r>
    </w:p>
    <w:p>
      <w:pPr>
        <w:spacing w:after="0" w:line="73" w:lineRule="exact"/>
        <w:rPr>
          <w:sz w:val="20"/>
          <w:szCs w:val="20"/>
          <w:color w:val="auto"/>
        </w:rPr>
      </w:pPr>
    </w:p>
    <w:p>
      <w:pPr>
        <w:jc w:val="both"/>
        <w:ind w:left="340" w:firstLine="324"/>
        <w:spacing w:after="0" w:line="312" w:lineRule="auto"/>
        <w:rPr>
          <w:sz w:val="20"/>
          <w:szCs w:val="20"/>
          <w:color w:val="auto"/>
        </w:rPr>
      </w:pPr>
      <w:r>
        <w:rPr>
          <w:rFonts w:ascii="Arial" w:cs="Arial" w:eastAsia="Arial" w:hAnsi="Arial"/>
          <w:sz w:val="16"/>
          <w:szCs w:val="16"/>
          <w:color w:val="auto"/>
        </w:rPr>
        <w:t>The Company issues certain variable annuity products with guaranteed minimum benefits. GMWBs, GMABs and certain GMIBs contain embedded derivatives, which are measured at estimated fair value separately from the host variable annuity contract, with changes in estimated fair value reported in net derivative gains (losses). These embedded derivatives are classified within policyholder account balances on the consolidated balance sheets.</w:t>
      </w:r>
    </w:p>
    <w:p>
      <w:pPr>
        <w:spacing w:after="0" w:line="39"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The Company’s actuarial department calculates the fair value of these embedded derivatives, which are estimated as the present value of projected future benefits minus the present value of projected future fees using actuarial and capital market assumptions including expectations concerning policyholder behavior. The calculation is based on in-force business, and is performed using standard actuarial valuation software which projects future cash flows from the embedded derivative over multiple risk neutral stochastic scenarios using observable risk-free rates.</w:t>
      </w:r>
    </w:p>
    <w:p>
      <w:pPr>
        <w:spacing w:after="0" w:line="63"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Capital market assumptions, such as risk-free rates and implied volatilities, are based on market prices for publicly traded instruments to the extent that prices for such instruments are observable. Implied volatilities beyond the observable period are extrapolated based on observable implied volatilities and historical volatilities. Actuarial assumptions, including mortality, lapse, withdrawal and utilization, are unobservable and are reviewed at least annually based on actuarial studies of historical experience.</w:t>
      </w:r>
    </w:p>
    <w:p>
      <w:pPr>
        <w:spacing w:after="0" w:line="79"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The valuation of these guarantee liabilities includes nonperformance risk adjustments and adjustments for a risk margin related to non-capital market inputs. The nonperformance adjustment is determined by taking into consideration publicly available information relating to spreads in the secondary market for Brighthouse Financial, Inc.’s debt. These observable spreads are then adjusted to reflect the priority of these liabilities and claims paying ability of the issuing insurance subsidiaries as compared to Brighthouse Financial, Inc.’s overall financial strength.</w:t>
      </w:r>
    </w:p>
    <w:p>
      <w:pPr>
        <w:spacing w:after="0" w:line="63"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Risk margins are established to capture the non-capital market risks of the instrument which represent the additional compensation a market participant would require to assume the risks related to the uncertainties of such actuarial assumptions as annuitization, premium persistency, partial withdrawal and surrenders. The establishment of risk margins requires the use of significant management judgment, including assumptions of the amount and cost of capital needed to cover the guarantees. These guarantees may be more costly than expected in volatile or declining equity markets. Market conditions including, but not limited to, changes in interest rates, equity indices, market volatility and foreign currency exchange rates; changes in nonperformance risk; and variations in actuarial assumptions regarding policyholder behavior, mortality and risk margins related to non-capital market inputs, may result in significant fluctuations in the estimated fair value of the guarantees that could materially affect net income.</w:t>
      </w:r>
    </w:p>
    <w:p>
      <w:pPr>
        <w:spacing w:after="0" w:line="59"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Company recaptured from a former affiliate the risk associated with certain GMIBs. These embedded derivatives are included in policyholder account balances on the consolidated balance sheets with changes in estimated fair value reported in net derivative gains (losses). The value of the embedded derivatives on these recaptured risks is determined using a methodology consistent with that described previously for the guarantees directly written by the Company.</w:t>
      </w:r>
    </w:p>
    <w:p>
      <w:pPr>
        <w:spacing w:after="0" w:line="79" w:lineRule="exact"/>
        <w:rPr>
          <w:sz w:val="20"/>
          <w:szCs w:val="20"/>
          <w:color w:val="auto"/>
        </w:rPr>
      </w:pPr>
    </w:p>
    <w:p>
      <w:pPr>
        <w:jc w:val="both"/>
        <w:ind w:left="340" w:firstLine="324"/>
        <w:spacing w:after="0" w:line="272" w:lineRule="auto"/>
        <w:rPr>
          <w:sz w:val="20"/>
          <w:szCs w:val="20"/>
          <w:color w:val="auto"/>
        </w:rPr>
      </w:pPr>
      <w:r>
        <w:rPr>
          <w:rFonts w:ascii="Arial" w:cs="Arial" w:eastAsia="Arial" w:hAnsi="Arial"/>
          <w:sz w:val="17"/>
          <w:szCs w:val="17"/>
          <w:color w:val="auto"/>
        </w:rPr>
        <w:t>The Company ceded to a former affiliate the risk associated with certain of the GMIBs, GMABs and GMWBs described above that are also accounted for as embedded derivatives. In addition to ceding risks associated with guarantees that are accounted for as embedded derivatives, the Company also cedes, to a former affiliate, certain directly written GMIBs that are accounted for as insurance (i.e., not as embedded derivatives), but where the reinsurance agreement contains an embedded derivative. These embedded derivatives are included within premiums, reinsurance and other receivables on the consolidated balance sheets with changes in estimated fair value reported in net derivative gains (losses). The value of the embedded derivatives on the ceded risk is determined using a methodology consistent with that described previously for the guarantees directly written by the Company with the exception of the input for nonperformance risk that reflects the credit of the reinsurer.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229"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(continued)</w:t>
      </w:r>
    </w:p>
    <w:p>
      <w:pPr>
        <w:spacing w:after="0" w:line="364"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The estimated fair value of the embedded derivatives within funds withheld related to certain ceded reinsurance is determined based on the change in estimated fair value of the underlying assets held by the Company in a reference portfolio backing the funds withheld liability. The estimated fair value of the underlying assets is determined as previously described in “— Investments — Securities, Short-term Investments and Long-term Debt of CSEs — FVO.” The estimated fair value of these embedded derivatives is included, along with their funds withheld hosts, in other liabilities on the consolidated balance sheets with changes in estimated fair value recorded in net derivative gains (losses). Changes in the credit spreads on the underlying assets, interest rates and market volatility may result in significant fluctuations in the estimated fair value of these embedded derivatives that could materially affect net income.</w:t>
      </w:r>
    </w:p>
    <w:p>
      <w:pPr>
        <w:spacing w:after="0" w:line="81"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Company issues certain annuity contracts which allow the policyholder to participate in returns from equity indices. These equity indexed features are embedded derivatives which are measured at estimated fair value separately from the host fixed annuity contract, with changes in estimated fair value reported in net derivative gains (losses). These embedded derivatives are classified within policyholder account balances on the consolidated balance sheets.</w:t>
      </w:r>
    </w:p>
    <w:p>
      <w:pPr>
        <w:spacing w:after="0" w:line="79"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The estimated fair value of the embedded equity indexed derivatives, based on the present value of future equity returns to the policyholder using actuarial and present value assumptions including expectations concerning policyholder behavior, is calculated by the Company’s actuarial department. The calculation is based on in-force business and uses standard capital market techniques, such as Black-Scholes, to calculate the value of the portion of the embedded derivative for which the terms are set. The portion of the embedded derivative covering the period beyond where terms are set is calculated as the present value of amounts expected to be spent to provide equity indexed returns in those periods. The valuation of these embedded derivatives also includes the establishment of a risk margin, as well as changes in nonperformance risk.</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Transfers between Levels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Overall, transfers between levels occur when there are changes in the observability of inputs and market activity. Transfers into or out of any level are assumed to occur at the beginning of the period.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Transfers between Levels 1 and 2:</w:t>
      </w:r>
    </w:p>
    <w:p>
      <w:pPr>
        <w:spacing w:after="0" w:line="11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For assets and liabilities measured at estimated fair value and still held at December 31, 2017 and 2016, transfers between Levels 1 and 2 were not significant.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Transfers into or out of Level 3:</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22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Assets and Liabilities Measured at Fair Value Using Significant Unobservable Inputs (Level 3)</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following table presents 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at:</w:t>
      </w:r>
    </w:p>
    <w:p>
      <w:pPr>
        <w:spacing w:after="0" w:line="341" w:lineRule="exact"/>
        <w:rPr>
          <w:sz w:val="20"/>
          <w:szCs w:val="20"/>
          <w:color w:val="auto"/>
        </w:rPr>
      </w:pPr>
    </w:p>
    <w:tbl>
      <w:tblPr>
        <w:tblLayout w:type="fixed"/>
        <w:tblInd w:w="120" w:type="dxa"/>
        <w:tblCellMar>
          <w:top w:w="0" w:type="dxa"/>
          <w:left w:w="0" w:type="dxa"/>
          <w:bottom w:w="0" w:type="dxa"/>
          <w:right w:w="0" w:type="dxa"/>
        </w:tblCellMar>
      </w:tblPr>
      <w:tr>
        <w:trPr>
          <w:trHeight w:val="122"/>
        </w:trPr>
        <w:tc>
          <w:tcPr>
            <w:tcW w:w="2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4"/>
            <w:vMerge w:val="restart"/>
          </w:tcPr>
          <w:p>
            <w:pPr>
              <w:ind w:left="200"/>
              <w:spacing w:after="0"/>
              <w:rPr>
                <w:sz w:val="20"/>
                <w:szCs w:val="20"/>
                <w:color w:val="auto"/>
              </w:rPr>
            </w:pPr>
            <w:r>
              <w:rPr>
                <w:rFonts w:ascii="Arial" w:cs="Arial" w:eastAsia="Arial" w:hAnsi="Arial"/>
                <w:sz w:val="10"/>
                <w:szCs w:val="10"/>
                <w:b w:val="1"/>
                <w:bCs w:val="1"/>
                <w:color w:val="auto"/>
                <w:w w:val="86"/>
              </w:rPr>
              <w:t>December 31, 2017</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4"/>
            <w:vMerge w:val="restart"/>
          </w:tcPr>
          <w:p>
            <w:pPr>
              <w:ind w:left="200"/>
              <w:spacing w:after="0"/>
              <w:rPr>
                <w:sz w:val="20"/>
                <w:szCs w:val="20"/>
                <w:color w:val="auto"/>
              </w:rPr>
            </w:pPr>
            <w:r>
              <w:rPr>
                <w:rFonts w:ascii="Arial" w:cs="Arial" w:eastAsia="Arial" w:hAnsi="Arial"/>
                <w:sz w:val="10"/>
                <w:szCs w:val="10"/>
                <w:b w:val="1"/>
                <w:bCs w:val="1"/>
                <w:color w:val="auto"/>
                <w:w w:val="86"/>
              </w:rPr>
              <w:t>December 31, 2016</w:t>
            </w:r>
          </w:p>
        </w:tc>
        <w:tc>
          <w:tcPr>
            <w:tcW w:w="76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4"/>
              </w:rPr>
              <w:t>Impact of</w:t>
            </w:r>
          </w:p>
        </w:tc>
        <w:tc>
          <w:tcPr>
            <w:tcW w:w="0" w:type="dxa"/>
            <w:vAlign w:val="bottom"/>
          </w:tcPr>
          <w:p>
            <w:pPr>
              <w:spacing w:after="0"/>
              <w:rPr>
                <w:sz w:val="1"/>
                <w:szCs w:val="1"/>
                <w:color w:val="auto"/>
              </w:rPr>
            </w:pPr>
          </w:p>
        </w:tc>
      </w:tr>
      <w:tr>
        <w:trPr>
          <w:trHeight w:val="59"/>
        </w:trPr>
        <w:tc>
          <w:tcPr>
            <w:tcW w:w="2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gridSpan w:val="4"/>
            <w:vMerge w:val="continue"/>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gridSpan w:val="4"/>
            <w:vMerge w:val="continue"/>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vMerge w:val="restart"/>
          </w:tcPr>
          <w:p>
            <w:pPr>
              <w:jc w:val="center"/>
              <w:spacing w:after="0" w:line="79" w:lineRule="exact"/>
              <w:rPr>
                <w:sz w:val="20"/>
                <w:szCs w:val="20"/>
                <w:color w:val="auto"/>
              </w:rPr>
            </w:pPr>
            <w:r>
              <w:rPr>
                <w:rFonts w:ascii="Arial" w:cs="Arial" w:eastAsia="Arial" w:hAnsi="Arial"/>
                <w:sz w:val="9"/>
                <w:szCs w:val="9"/>
                <w:b w:val="1"/>
                <w:bCs w:val="1"/>
                <w:color w:val="auto"/>
              </w:rPr>
              <w:t>Increase in Input</w:t>
            </w:r>
          </w:p>
        </w:tc>
        <w:tc>
          <w:tcPr>
            <w:tcW w:w="0" w:type="dxa"/>
            <w:vAlign w:val="bottom"/>
          </w:tcPr>
          <w:p>
            <w:pPr>
              <w:spacing w:after="0"/>
              <w:rPr>
                <w:sz w:val="1"/>
                <w:szCs w:val="1"/>
                <w:color w:val="auto"/>
              </w:rPr>
            </w:pPr>
          </w:p>
        </w:tc>
      </w:tr>
      <w:tr>
        <w:trPr>
          <w:trHeight w:val="26"/>
        </w:trPr>
        <w:tc>
          <w:tcPr>
            <w:tcW w:w="2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ind w:left="460"/>
              <w:spacing w:after="0"/>
              <w:rPr>
                <w:sz w:val="20"/>
                <w:szCs w:val="20"/>
                <w:color w:val="auto"/>
              </w:rPr>
            </w:pPr>
            <w:r>
              <w:rPr>
                <w:rFonts w:ascii="Arial" w:cs="Arial" w:eastAsia="Arial" w:hAnsi="Arial"/>
                <w:sz w:val="10"/>
                <w:szCs w:val="10"/>
                <w:b w:val="1"/>
                <w:bCs w:val="1"/>
                <w:color w:val="auto"/>
              </w:rPr>
              <w:t>Significant</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8"/>
              </w:rPr>
              <w:t>Weighted</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184"/>
              <w:spacing w:after="0"/>
              <w:rPr>
                <w:sz w:val="20"/>
                <w:szCs w:val="20"/>
                <w:color w:val="auto"/>
              </w:rPr>
            </w:pPr>
            <w:r>
              <w:rPr>
                <w:rFonts w:ascii="Arial" w:cs="Arial" w:eastAsia="Arial" w:hAnsi="Arial"/>
                <w:sz w:val="10"/>
                <w:szCs w:val="10"/>
                <w:b w:val="1"/>
                <w:bCs w:val="1"/>
                <w:color w:val="auto"/>
                <w:w w:val="88"/>
              </w:rPr>
              <w:t>Weighted</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89"/>
              </w:rPr>
              <w:t>on Estimated</w:t>
            </w:r>
          </w:p>
        </w:tc>
        <w:tc>
          <w:tcPr>
            <w:tcW w:w="0" w:type="dxa"/>
            <w:vAlign w:val="bottom"/>
          </w:tcPr>
          <w:p>
            <w:pPr>
              <w:spacing w:after="0"/>
              <w:rPr>
                <w:sz w:val="1"/>
                <w:szCs w:val="1"/>
                <w:color w:val="auto"/>
              </w:rPr>
            </w:pPr>
          </w:p>
        </w:tc>
      </w:tr>
      <w:tr>
        <w:trPr>
          <w:trHeight w:val="126"/>
        </w:trPr>
        <w:tc>
          <w:tcPr>
            <w:tcW w:w="2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ind w:left="120"/>
              <w:spacing w:after="0"/>
              <w:rPr>
                <w:sz w:val="20"/>
                <w:szCs w:val="20"/>
                <w:color w:val="auto"/>
              </w:rPr>
            </w:pPr>
            <w:r>
              <w:rPr>
                <w:rFonts w:ascii="Arial" w:cs="Arial" w:eastAsia="Arial" w:hAnsi="Arial"/>
                <w:sz w:val="10"/>
                <w:szCs w:val="10"/>
                <w:b w:val="1"/>
                <w:bCs w:val="1"/>
                <w:color w:val="auto"/>
              </w:rPr>
              <w:t>Valuation Techniques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80" w:type="dxa"/>
            <w:vAlign w:val="bottom"/>
            <w:gridSpan w:val="2"/>
          </w:tcPr>
          <w:p>
            <w:pPr>
              <w:ind w:left="240"/>
              <w:spacing w:after="0"/>
              <w:rPr>
                <w:sz w:val="20"/>
                <w:szCs w:val="20"/>
                <w:color w:val="auto"/>
              </w:rPr>
            </w:pPr>
            <w:r>
              <w:rPr>
                <w:rFonts w:ascii="Arial" w:cs="Arial" w:eastAsia="Arial" w:hAnsi="Arial"/>
                <w:sz w:val="10"/>
                <w:szCs w:val="10"/>
                <w:b w:val="1"/>
                <w:bCs w:val="1"/>
                <w:color w:val="auto"/>
              </w:rPr>
              <w:t>Unobservable Inputs</w:t>
            </w:r>
          </w:p>
        </w:tc>
        <w:tc>
          <w:tcPr>
            <w:tcW w:w="46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b w:val="1"/>
                <w:bCs w:val="1"/>
                <w:color w:val="auto"/>
                <w:w w:val="84"/>
              </w:rPr>
              <w:t>Range</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8"/>
              </w:rPr>
              <w:t>Average (1)</w:t>
            </w:r>
          </w:p>
        </w:tc>
        <w:tc>
          <w:tcPr>
            <w:tcW w:w="46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b w:val="1"/>
                <w:bCs w:val="1"/>
                <w:color w:val="auto"/>
                <w:w w:val="84"/>
              </w:rPr>
              <w:t>Range</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184"/>
              <w:spacing w:after="0"/>
              <w:rPr>
                <w:sz w:val="20"/>
                <w:szCs w:val="20"/>
                <w:color w:val="auto"/>
              </w:rPr>
            </w:pPr>
            <w:r>
              <w:rPr>
                <w:rFonts w:ascii="Arial" w:cs="Arial" w:eastAsia="Arial" w:hAnsi="Arial"/>
                <w:sz w:val="10"/>
                <w:szCs w:val="10"/>
                <w:b w:val="1"/>
                <w:bCs w:val="1"/>
                <w:color w:val="auto"/>
                <w:w w:val="88"/>
              </w:rPr>
              <w:t>Average (1)</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2"/>
              </w:rPr>
              <w:t>Fair Value (2)</w:t>
            </w:r>
          </w:p>
        </w:tc>
        <w:tc>
          <w:tcPr>
            <w:tcW w:w="0" w:type="dxa"/>
            <w:vAlign w:val="bottom"/>
          </w:tcPr>
          <w:p>
            <w:pPr>
              <w:spacing w:after="0"/>
              <w:rPr>
                <w:sz w:val="1"/>
                <w:szCs w:val="1"/>
                <w:color w:val="auto"/>
              </w:rPr>
            </w:pPr>
          </w:p>
        </w:tc>
      </w:tr>
      <w:tr>
        <w:trPr>
          <w:trHeight w:val="26"/>
        </w:trPr>
        <w:tc>
          <w:tcPr>
            <w:tcW w:w="2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2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Fixed maturity securities (3)</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260" w:type="dxa"/>
            <w:vAlign w:val="bottom"/>
          </w:tcPr>
          <w:p>
            <w:pPr>
              <w:ind w:left="20"/>
              <w:spacing w:after="0"/>
              <w:rPr>
                <w:sz w:val="20"/>
                <w:szCs w:val="20"/>
                <w:color w:val="auto"/>
              </w:rPr>
            </w:pPr>
            <w:r>
              <w:rPr>
                <w:rFonts w:ascii="Arial" w:cs="Arial" w:eastAsia="Arial" w:hAnsi="Arial"/>
                <w:sz w:val="12"/>
                <w:szCs w:val="12"/>
                <w:color w:val="auto"/>
              </w:rPr>
              <w:t>U.S. corporate and foreign corporate</w:t>
            </w:r>
          </w:p>
        </w:tc>
        <w:tc>
          <w:tcPr>
            <w:tcW w:w="180" w:type="dxa"/>
            <w:vAlign w:val="bottom"/>
          </w:tcPr>
          <w:p>
            <w:pPr>
              <w:ind w:left="80"/>
              <w:spacing w:after="0"/>
              <w:rPr>
                <w:sz w:val="20"/>
                <w:szCs w:val="20"/>
                <w:color w:val="auto"/>
              </w:rPr>
            </w:pPr>
            <w:r>
              <w:rPr>
                <w:rFonts w:ascii="Arial" w:cs="Arial" w:eastAsia="Arial" w:hAnsi="Arial"/>
                <w:sz w:val="12"/>
                <w:szCs w:val="12"/>
                <w:color w:val="auto"/>
              </w:rPr>
              <w:t>•</w:t>
            </w:r>
          </w:p>
        </w:tc>
        <w:tc>
          <w:tcPr>
            <w:tcW w:w="1340" w:type="dxa"/>
            <w:vAlign w:val="bottom"/>
          </w:tcPr>
          <w:p>
            <w:pPr>
              <w:ind w:left="60"/>
              <w:spacing w:after="0"/>
              <w:rPr>
                <w:sz w:val="20"/>
                <w:szCs w:val="20"/>
                <w:color w:val="auto"/>
              </w:rPr>
            </w:pPr>
            <w:r>
              <w:rPr>
                <w:rFonts w:ascii="Arial" w:cs="Arial" w:eastAsia="Arial" w:hAnsi="Arial"/>
                <w:sz w:val="12"/>
                <w:szCs w:val="12"/>
                <w:color w:val="auto"/>
              </w:rPr>
              <w:t>Matrix pricing</w:t>
            </w:r>
          </w:p>
        </w:tc>
        <w:tc>
          <w:tcPr>
            <w:tcW w:w="100" w:type="dxa"/>
            <w:vAlign w:val="bottom"/>
          </w:tcPr>
          <w:p>
            <w:pPr>
              <w:spacing w:after="0"/>
              <w:rPr>
                <w:sz w:val="21"/>
                <w:szCs w:val="21"/>
                <w:color w:val="auto"/>
              </w:rPr>
            </w:pPr>
          </w:p>
        </w:tc>
        <w:tc>
          <w:tcPr>
            <w:tcW w:w="200" w:type="dxa"/>
            <w:vAlign w:val="bottom"/>
          </w:tcPr>
          <w:p>
            <w:pPr>
              <w:ind w:left="100"/>
              <w:spacing w:after="0"/>
              <w:rPr>
                <w:sz w:val="20"/>
                <w:szCs w:val="20"/>
                <w:color w:val="auto"/>
              </w:rPr>
            </w:pPr>
            <w:r>
              <w:rPr>
                <w:rFonts w:ascii="Arial" w:cs="Arial" w:eastAsia="Arial" w:hAnsi="Arial"/>
                <w:sz w:val="12"/>
                <w:szCs w:val="12"/>
                <w:color w:val="auto"/>
              </w:rPr>
              <w:t>•</w:t>
            </w:r>
          </w:p>
        </w:tc>
        <w:tc>
          <w:tcPr>
            <w:tcW w:w="1680" w:type="dxa"/>
            <w:vAlign w:val="bottom"/>
            <w:gridSpan w:val="2"/>
          </w:tcPr>
          <w:p>
            <w:pPr>
              <w:ind w:left="40"/>
              <w:spacing w:after="0"/>
              <w:rPr>
                <w:sz w:val="20"/>
                <w:szCs w:val="20"/>
                <w:color w:val="auto"/>
              </w:rPr>
            </w:pPr>
            <w:r>
              <w:rPr>
                <w:rFonts w:ascii="Arial" w:cs="Arial" w:eastAsia="Arial" w:hAnsi="Arial"/>
                <w:sz w:val="12"/>
                <w:szCs w:val="12"/>
                <w:color w:val="auto"/>
              </w:rPr>
              <w:t>Offered quotes (4)</w:t>
            </w:r>
          </w:p>
        </w:tc>
        <w:tc>
          <w:tcPr>
            <w:tcW w:w="460" w:type="dxa"/>
            <w:vAlign w:val="bottom"/>
          </w:tcPr>
          <w:p>
            <w:pPr>
              <w:jc w:val="center"/>
              <w:ind w:left="42"/>
              <w:spacing w:after="0"/>
              <w:rPr>
                <w:sz w:val="20"/>
                <w:szCs w:val="20"/>
                <w:color w:val="auto"/>
              </w:rPr>
            </w:pPr>
            <w:r>
              <w:rPr>
                <w:rFonts w:ascii="Arial" w:cs="Arial" w:eastAsia="Arial" w:hAnsi="Arial"/>
                <w:sz w:val="12"/>
                <w:szCs w:val="12"/>
                <w:color w:val="auto"/>
                <w:w w:val="89"/>
              </w:rPr>
              <w:t>93</w:t>
            </w:r>
          </w:p>
        </w:tc>
        <w:tc>
          <w:tcPr>
            <w:tcW w:w="30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tcPr>
          <w:p>
            <w:pPr>
              <w:jc w:val="center"/>
              <w:ind w:right="42"/>
              <w:spacing w:after="0"/>
              <w:rPr>
                <w:sz w:val="20"/>
                <w:szCs w:val="20"/>
                <w:color w:val="auto"/>
              </w:rPr>
            </w:pPr>
            <w:r>
              <w:rPr>
                <w:rFonts w:ascii="Arial" w:cs="Arial" w:eastAsia="Arial" w:hAnsi="Arial"/>
                <w:sz w:val="12"/>
                <w:szCs w:val="12"/>
                <w:color w:val="auto"/>
                <w:w w:val="79"/>
              </w:rPr>
              <w:t>142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center"/>
              <w:ind w:right="64"/>
              <w:spacing w:after="0"/>
              <w:rPr>
                <w:sz w:val="20"/>
                <w:szCs w:val="20"/>
                <w:color w:val="auto"/>
              </w:rPr>
            </w:pPr>
            <w:r>
              <w:rPr>
                <w:rFonts w:ascii="Arial" w:cs="Arial" w:eastAsia="Arial" w:hAnsi="Arial"/>
                <w:sz w:val="12"/>
                <w:szCs w:val="12"/>
                <w:color w:val="auto"/>
                <w:w w:val="79"/>
              </w:rPr>
              <w:t>110</w:t>
            </w:r>
          </w:p>
        </w:tc>
        <w:tc>
          <w:tcPr>
            <w:tcW w:w="120" w:type="dxa"/>
            <w:vAlign w:val="bottom"/>
          </w:tcPr>
          <w:p>
            <w:pPr>
              <w:spacing w:after="0"/>
              <w:rPr>
                <w:sz w:val="21"/>
                <w:szCs w:val="21"/>
                <w:color w:val="auto"/>
              </w:rPr>
            </w:pPr>
          </w:p>
        </w:tc>
        <w:tc>
          <w:tcPr>
            <w:tcW w:w="460" w:type="dxa"/>
            <w:vAlign w:val="bottom"/>
          </w:tcPr>
          <w:p>
            <w:pPr>
              <w:jc w:val="center"/>
              <w:ind w:left="42"/>
              <w:spacing w:after="0"/>
              <w:rPr>
                <w:sz w:val="20"/>
                <w:szCs w:val="20"/>
                <w:color w:val="auto"/>
              </w:rPr>
            </w:pPr>
            <w:r>
              <w:rPr>
                <w:rFonts w:ascii="Arial" w:cs="Arial" w:eastAsia="Arial" w:hAnsi="Arial"/>
                <w:sz w:val="12"/>
                <w:szCs w:val="12"/>
                <w:color w:val="auto"/>
                <w:w w:val="89"/>
              </w:rPr>
              <w:t>18</w:t>
            </w:r>
          </w:p>
        </w:tc>
        <w:tc>
          <w:tcPr>
            <w:tcW w:w="30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tcPr>
          <w:p>
            <w:pPr>
              <w:jc w:val="center"/>
              <w:ind w:right="62"/>
              <w:spacing w:after="0"/>
              <w:rPr>
                <w:sz w:val="20"/>
                <w:szCs w:val="20"/>
                <w:color w:val="auto"/>
              </w:rPr>
            </w:pPr>
            <w:r>
              <w:rPr>
                <w:rFonts w:ascii="Arial" w:cs="Arial" w:eastAsia="Arial" w:hAnsi="Arial"/>
                <w:sz w:val="12"/>
                <w:szCs w:val="12"/>
                <w:color w:val="auto"/>
                <w:w w:val="89"/>
              </w:rPr>
              <w:t>138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center"/>
              <w:ind w:right="204"/>
              <w:spacing w:after="0"/>
              <w:rPr>
                <w:sz w:val="20"/>
                <w:szCs w:val="20"/>
                <w:color w:val="auto"/>
              </w:rPr>
            </w:pPr>
            <w:r>
              <w:rPr>
                <w:rFonts w:ascii="Arial" w:cs="Arial" w:eastAsia="Arial" w:hAnsi="Arial"/>
                <w:sz w:val="12"/>
                <w:szCs w:val="12"/>
                <w:color w:val="auto"/>
                <w:w w:val="89"/>
              </w:rPr>
              <w:t>104</w:t>
            </w:r>
          </w:p>
        </w:tc>
        <w:tc>
          <w:tcPr>
            <w:tcW w:w="1000" w:type="dxa"/>
            <w:vAlign w:val="bottom"/>
          </w:tcPr>
          <w:p>
            <w:pPr>
              <w:ind w:left="20"/>
              <w:spacing w:after="0"/>
              <w:rPr>
                <w:sz w:val="20"/>
                <w:szCs w:val="20"/>
                <w:color w:val="auto"/>
              </w:rPr>
            </w:pPr>
            <w:r>
              <w:rPr>
                <w:rFonts w:ascii="Arial" w:cs="Arial" w:eastAsia="Arial" w:hAnsi="Arial"/>
                <w:sz w:val="12"/>
                <w:szCs w:val="12"/>
                <w:color w:val="auto"/>
              </w:rPr>
              <w:t>Increase</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Market pricing</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Quoted prices (4)</w:t>
            </w:r>
          </w:p>
        </w:tc>
        <w:tc>
          <w:tcPr>
            <w:tcW w:w="460" w:type="dxa"/>
            <w:vAlign w:val="bottom"/>
            <w:tcBorders>
              <w:bottom w:val="single" w:sz="8" w:color="CCEEFF"/>
            </w:tcBorders>
            <w:shd w:val="clear" w:color="auto" w:fill="CCEEFF"/>
          </w:tcPr>
          <w:p>
            <w:pPr>
              <w:jc w:val="center"/>
              <w:ind w:left="42"/>
              <w:spacing w:after="0"/>
              <w:rPr>
                <w:sz w:val="20"/>
                <w:szCs w:val="20"/>
                <w:color w:val="auto"/>
              </w:rPr>
            </w:pPr>
            <w:r>
              <w:rPr>
                <w:rFonts w:ascii="Arial" w:cs="Arial" w:eastAsia="Arial" w:hAnsi="Arial"/>
                <w:sz w:val="12"/>
                <w:szCs w:val="12"/>
                <w:color w:val="auto"/>
                <w:w w:val="99"/>
              </w:rPr>
              <w:t>—</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tcBorders>
              <w:bottom w:val="single" w:sz="8" w:color="CCEEFF"/>
            </w:tcBorders>
            <w:shd w:val="clear" w:color="auto" w:fill="CCEEFF"/>
          </w:tcPr>
          <w:p>
            <w:pPr>
              <w:jc w:val="center"/>
              <w:ind w:right="42"/>
              <w:spacing w:after="0"/>
              <w:rPr>
                <w:sz w:val="20"/>
                <w:szCs w:val="20"/>
                <w:color w:val="auto"/>
              </w:rPr>
            </w:pPr>
            <w:r>
              <w:rPr>
                <w:rFonts w:ascii="Arial" w:cs="Arial" w:eastAsia="Arial" w:hAnsi="Arial"/>
                <w:sz w:val="12"/>
                <w:szCs w:val="12"/>
                <w:color w:val="auto"/>
                <w:w w:val="79"/>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ind w:right="64"/>
              <w:spacing w:after="0"/>
              <w:rPr>
                <w:sz w:val="20"/>
                <w:szCs w:val="20"/>
                <w:color w:val="auto"/>
              </w:rPr>
            </w:pPr>
            <w:r>
              <w:rPr>
                <w:rFonts w:ascii="Arial" w:cs="Arial" w:eastAsia="Arial" w:hAnsi="Arial"/>
                <w:sz w:val="12"/>
                <w:szCs w:val="12"/>
                <w:color w:val="auto"/>
                <w:w w:val="89"/>
              </w:rPr>
              <w:t>76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center"/>
              <w:ind w:left="42"/>
              <w:spacing w:after="0"/>
              <w:rPr>
                <w:sz w:val="20"/>
                <w:szCs w:val="20"/>
                <w:color w:val="auto"/>
              </w:rPr>
            </w:pPr>
            <w:r>
              <w:rPr>
                <w:rFonts w:ascii="Arial" w:cs="Arial" w:eastAsia="Arial" w:hAnsi="Arial"/>
                <w:sz w:val="12"/>
                <w:szCs w:val="12"/>
                <w:color w:val="auto"/>
                <w:w w:val="89"/>
              </w:rPr>
              <w:t>13</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tcBorders>
              <w:bottom w:val="single" w:sz="8" w:color="CCEEFF"/>
            </w:tcBorders>
            <w:shd w:val="clear" w:color="auto" w:fill="CCEEFF"/>
          </w:tcPr>
          <w:p>
            <w:pPr>
              <w:jc w:val="center"/>
              <w:ind w:right="62"/>
              <w:spacing w:after="0"/>
              <w:rPr>
                <w:sz w:val="20"/>
                <w:szCs w:val="20"/>
                <w:color w:val="auto"/>
              </w:rPr>
            </w:pPr>
            <w:r>
              <w:rPr>
                <w:rFonts w:ascii="Arial" w:cs="Arial" w:eastAsia="Arial" w:hAnsi="Arial"/>
                <w:sz w:val="12"/>
                <w:szCs w:val="12"/>
                <w:color w:val="auto"/>
                <w:w w:val="89"/>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right="184"/>
              <w:spacing w:after="0"/>
              <w:rPr>
                <w:sz w:val="20"/>
                <w:szCs w:val="20"/>
                <w:color w:val="auto"/>
              </w:rPr>
            </w:pPr>
            <w:r>
              <w:rPr>
                <w:rFonts w:ascii="Arial" w:cs="Arial" w:eastAsia="Arial" w:hAnsi="Arial"/>
                <w:sz w:val="12"/>
                <w:szCs w:val="12"/>
                <w:color w:val="auto"/>
                <w:w w:val="89"/>
              </w:rPr>
              <w:t>99</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Increase</w:t>
            </w: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2"/>
                <w:szCs w:val="12"/>
                <w:color w:val="auto"/>
              </w:rPr>
              <w:t>•</w:t>
            </w:r>
          </w:p>
        </w:tc>
        <w:tc>
          <w:tcPr>
            <w:tcW w:w="1340" w:type="dxa"/>
            <w:vAlign w:val="bottom"/>
          </w:tcPr>
          <w:p>
            <w:pPr>
              <w:ind w:left="60"/>
              <w:spacing w:after="0"/>
              <w:rPr>
                <w:sz w:val="20"/>
                <w:szCs w:val="20"/>
                <w:color w:val="auto"/>
              </w:rPr>
            </w:pPr>
            <w:r>
              <w:rPr>
                <w:rFonts w:ascii="Arial" w:cs="Arial" w:eastAsia="Arial" w:hAnsi="Arial"/>
                <w:sz w:val="12"/>
                <w:szCs w:val="12"/>
                <w:color w:val="auto"/>
              </w:rPr>
              <w:t>Consensus pricing</w:t>
            </w:r>
          </w:p>
        </w:tc>
        <w:tc>
          <w:tcPr>
            <w:tcW w:w="1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2"/>
                <w:szCs w:val="12"/>
                <w:color w:val="auto"/>
              </w:rPr>
              <w:t>•</w:t>
            </w:r>
          </w:p>
        </w:tc>
        <w:tc>
          <w:tcPr>
            <w:tcW w:w="1680" w:type="dxa"/>
            <w:vAlign w:val="bottom"/>
            <w:gridSpan w:val="2"/>
          </w:tcPr>
          <w:p>
            <w:pPr>
              <w:ind w:left="40"/>
              <w:spacing w:after="0"/>
              <w:rPr>
                <w:sz w:val="20"/>
                <w:szCs w:val="20"/>
                <w:color w:val="auto"/>
              </w:rPr>
            </w:pPr>
            <w:r>
              <w:rPr>
                <w:rFonts w:ascii="Arial" w:cs="Arial" w:eastAsia="Arial" w:hAnsi="Arial"/>
                <w:sz w:val="12"/>
                <w:szCs w:val="12"/>
                <w:color w:val="auto"/>
              </w:rPr>
              <w:t>Offered quotes (4)</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center"/>
              <w:ind w:left="42"/>
              <w:spacing w:after="0"/>
              <w:rPr>
                <w:sz w:val="20"/>
                <w:szCs w:val="20"/>
                <w:color w:val="auto"/>
              </w:rPr>
            </w:pPr>
            <w:r>
              <w:rPr>
                <w:rFonts w:ascii="Arial" w:cs="Arial" w:eastAsia="Arial" w:hAnsi="Arial"/>
                <w:sz w:val="12"/>
                <w:szCs w:val="12"/>
                <w:color w:val="auto"/>
                <w:w w:val="89"/>
              </w:rPr>
              <w:t>37</w:t>
            </w:r>
          </w:p>
        </w:tc>
        <w:tc>
          <w:tcPr>
            <w:tcW w:w="30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tcPr>
          <w:p>
            <w:pPr>
              <w:jc w:val="center"/>
              <w:ind w:right="62"/>
              <w:spacing w:after="0"/>
              <w:rPr>
                <w:sz w:val="20"/>
                <w:szCs w:val="20"/>
                <w:color w:val="auto"/>
              </w:rPr>
            </w:pPr>
            <w:r>
              <w:rPr>
                <w:rFonts w:ascii="Arial" w:cs="Arial" w:eastAsia="Arial" w:hAnsi="Arial"/>
                <w:sz w:val="12"/>
                <w:szCs w:val="12"/>
                <w:color w:val="auto"/>
                <w:w w:val="89"/>
              </w:rPr>
              <w:t>109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ind w:right="184"/>
              <w:spacing w:after="0"/>
              <w:rPr>
                <w:sz w:val="20"/>
                <w:szCs w:val="20"/>
                <w:color w:val="auto"/>
              </w:rPr>
            </w:pPr>
            <w:r>
              <w:rPr>
                <w:rFonts w:ascii="Arial" w:cs="Arial" w:eastAsia="Arial" w:hAnsi="Arial"/>
                <w:sz w:val="12"/>
                <w:szCs w:val="12"/>
                <w:color w:val="auto"/>
                <w:w w:val="89"/>
              </w:rPr>
              <w:t>85</w:t>
            </w:r>
          </w:p>
        </w:tc>
        <w:tc>
          <w:tcPr>
            <w:tcW w:w="1000" w:type="dxa"/>
            <w:vAlign w:val="bottom"/>
          </w:tcPr>
          <w:p>
            <w:pPr>
              <w:ind w:left="20"/>
              <w:spacing w:after="0"/>
              <w:rPr>
                <w:sz w:val="20"/>
                <w:szCs w:val="20"/>
                <w:color w:val="auto"/>
              </w:rPr>
            </w:pPr>
            <w:r>
              <w:rPr>
                <w:rFonts w:ascii="Arial" w:cs="Arial" w:eastAsia="Arial" w:hAnsi="Arial"/>
                <w:sz w:val="12"/>
                <w:szCs w:val="12"/>
                <w:color w:val="auto"/>
              </w:rPr>
              <w:t>Increase</w:t>
            </w:r>
          </w:p>
        </w:tc>
        <w:tc>
          <w:tcPr>
            <w:tcW w:w="0" w:type="dxa"/>
            <w:vAlign w:val="bottom"/>
          </w:tcPr>
          <w:p>
            <w:pPr>
              <w:spacing w:after="0"/>
              <w:rPr>
                <w:sz w:val="1"/>
                <w:szCs w:val="1"/>
                <w:color w:val="auto"/>
              </w:rPr>
            </w:pPr>
          </w:p>
        </w:tc>
      </w:tr>
      <w:tr>
        <w:trPr>
          <w:trHeight w:val="61"/>
        </w:trPr>
        <w:tc>
          <w:tcPr>
            <w:tcW w:w="22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RMBS</w:t>
            </w:r>
          </w:p>
        </w:tc>
        <w:tc>
          <w:tcPr>
            <w:tcW w:w="1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1340" w:type="dxa"/>
            <w:vAlign w:val="bottom"/>
            <w:shd w:val="clear" w:color="auto" w:fill="CCEEFF"/>
          </w:tcPr>
          <w:p>
            <w:pPr>
              <w:ind w:left="60"/>
              <w:spacing w:after="0"/>
              <w:rPr>
                <w:sz w:val="20"/>
                <w:szCs w:val="20"/>
                <w:color w:val="auto"/>
              </w:rPr>
            </w:pPr>
            <w:r>
              <w:rPr>
                <w:rFonts w:ascii="Arial" w:cs="Arial" w:eastAsia="Arial" w:hAnsi="Arial"/>
                <w:sz w:val="12"/>
                <w:szCs w:val="12"/>
                <w:color w:val="auto"/>
              </w:rPr>
              <w:t>Market pricing</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6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Quoted prices (4)</w:t>
            </w:r>
          </w:p>
        </w:tc>
        <w:tc>
          <w:tcPr>
            <w:tcW w:w="460" w:type="dxa"/>
            <w:vAlign w:val="bottom"/>
            <w:shd w:val="clear" w:color="auto" w:fill="CCEEFF"/>
          </w:tcPr>
          <w:p>
            <w:pPr>
              <w:jc w:val="center"/>
              <w:ind w:left="42"/>
              <w:spacing w:after="0"/>
              <w:rPr>
                <w:sz w:val="20"/>
                <w:szCs w:val="20"/>
                <w:color w:val="auto"/>
              </w:rPr>
            </w:pPr>
            <w:r>
              <w:rPr>
                <w:rFonts w:ascii="Arial" w:cs="Arial" w:eastAsia="Arial" w:hAnsi="Arial"/>
                <w:sz w:val="9"/>
                <w:szCs w:val="9"/>
                <w:color w:val="auto"/>
                <w:w w:val="78"/>
              </w:rPr>
              <w:t>3</w:t>
            </w:r>
          </w:p>
        </w:tc>
        <w:tc>
          <w:tcPr>
            <w:tcW w:w="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79"/>
              </w:rPr>
              <w:t>107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center"/>
              <w:ind w:right="64"/>
              <w:spacing w:after="0"/>
              <w:rPr>
                <w:sz w:val="20"/>
                <w:szCs w:val="20"/>
                <w:color w:val="auto"/>
              </w:rPr>
            </w:pPr>
            <w:r>
              <w:rPr>
                <w:rFonts w:ascii="Arial" w:cs="Arial" w:eastAsia="Arial" w:hAnsi="Arial"/>
                <w:sz w:val="12"/>
                <w:szCs w:val="12"/>
                <w:color w:val="auto"/>
                <w:w w:val="89"/>
              </w:rPr>
              <w:t>94</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89"/>
              </w:rPr>
              <w:t>38</w:t>
            </w:r>
          </w:p>
        </w:tc>
        <w:tc>
          <w:tcPr>
            <w:tcW w:w="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79"/>
              </w:rPr>
              <w:t>111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center"/>
              <w:ind w:right="184"/>
              <w:spacing w:after="0"/>
              <w:rPr>
                <w:sz w:val="20"/>
                <w:szCs w:val="20"/>
                <w:color w:val="auto"/>
              </w:rPr>
            </w:pPr>
            <w:r>
              <w:rPr>
                <w:rFonts w:ascii="Arial" w:cs="Arial" w:eastAsia="Arial" w:hAnsi="Arial"/>
                <w:sz w:val="12"/>
                <w:szCs w:val="12"/>
                <w:color w:val="auto"/>
                <w:w w:val="89"/>
              </w:rPr>
              <w:t>91</w:t>
            </w:r>
          </w:p>
        </w:tc>
        <w:tc>
          <w:tcPr>
            <w:tcW w:w="1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Increase (5)</w:t>
            </w:r>
          </w:p>
        </w:tc>
        <w:tc>
          <w:tcPr>
            <w:tcW w:w="0" w:type="dxa"/>
            <w:vAlign w:val="bottom"/>
          </w:tcPr>
          <w:p>
            <w:pPr>
              <w:spacing w:after="0"/>
              <w:rPr>
                <w:sz w:val="1"/>
                <w:szCs w:val="1"/>
                <w:color w:val="auto"/>
              </w:rPr>
            </w:pPr>
          </w:p>
        </w:tc>
      </w:tr>
      <w:tr>
        <w:trPr>
          <w:trHeight w:val="61"/>
        </w:trPr>
        <w:tc>
          <w:tcPr>
            <w:tcW w:w="226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58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460" w:type="dxa"/>
            <w:vAlign w:val="bottom"/>
            <w:tcBorders>
              <w:bottom w:val="single" w:sz="8" w:color="auto"/>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46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64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460" w:type="dxa"/>
            <w:vAlign w:val="bottom"/>
            <w:tcBorders>
              <w:bottom w:val="single" w:sz="8" w:color="auto"/>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46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shd w:val="clear" w:color="auto" w:fill="CCEEFF"/>
          </w:tcPr>
          <w:p>
            <w:pPr>
              <w:spacing w:after="0"/>
              <w:rPr>
                <w:sz w:val="5"/>
                <w:szCs w:val="5"/>
                <w:color w:val="auto"/>
              </w:rPr>
            </w:pPr>
          </w:p>
        </w:tc>
        <w:tc>
          <w:tcPr>
            <w:tcW w:w="10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20"/>
              <w:spacing w:after="0"/>
              <w:rPr>
                <w:sz w:val="20"/>
                <w:szCs w:val="20"/>
                <w:color w:val="auto"/>
              </w:rPr>
            </w:pPr>
            <w:r>
              <w:rPr>
                <w:rFonts w:ascii="Arial" w:cs="Arial" w:eastAsia="Arial" w:hAnsi="Arial"/>
                <w:sz w:val="12"/>
                <w:szCs w:val="12"/>
                <w:color w:val="auto"/>
              </w:rPr>
              <w:t>ABS</w:t>
            </w:r>
          </w:p>
        </w:tc>
        <w:tc>
          <w:tcPr>
            <w:tcW w:w="180" w:type="dxa"/>
            <w:vAlign w:val="bottom"/>
          </w:tcPr>
          <w:p>
            <w:pPr>
              <w:ind w:left="80"/>
              <w:spacing w:after="0"/>
              <w:rPr>
                <w:sz w:val="20"/>
                <w:szCs w:val="20"/>
                <w:color w:val="auto"/>
              </w:rPr>
            </w:pPr>
            <w:r>
              <w:rPr>
                <w:rFonts w:ascii="Arial" w:cs="Arial" w:eastAsia="Arial" w:hAnsi="Arial"/>
                <w:sz w:val="12"/>
                <w:szCs w:val="12"/>
                <w:color w:val="auto"/>
              </w:rPr>
              <w:t>•</w:t>
            </w:r>
          </w:p>
        </w:tc>
        <w:tc>
          <w:tcPr>
            <w:tcW w:w="1340" w:type="dxa"/>
            <w:vAlign w:val="bottom"/>
          </w:tcPr>
          <w:p>
            <w:pPr>
              <w:ind w:left="60"/>
              <w:spacing w:after="0"/>
              <w:rPr>
                <w:sz w:val="20"/>
                <w:szCs w:val="20"/>
                <w:color w:val="auto"/>
              </w:rPr>
            </w:pPr>
            <w:r>
              <w:rPr>
                <w:rFonts w:ascii="Arial" w:cs="Arial" w:eastAsia="Arial" w:hAnsi="Arial"/>
                <w:sz w:val="12"/>
                <w:szCs w:val="12"/>
                <w:color w:val="auto"/>
              </w:rPr>
              <w:t>Market pricing</w:t>
            </w:r>
          </w:p>
        </w:tc>
        <w:tc>
          <w:tcPr>
            <w:tcW w:w="100" w:type="dxa"/>
            <w:vAlign w:val="bottom"/>
          </w:tcPr>
          <w:p>
            <w:pPr>
              <w:spacing w:after="0"/>
              <w:rPr>
                <w:sz w:val="17"/>
                <w:szCs w:val="17"/>
                <w:color w:val="auto"/>
              </w:rPr>
            </w:pPr>
          </w:p>
        </w:tc>
        <w:tc>
          <w:tcPr>
            <w:tcW w:w="200" w:type="dxa"/>
            <w:vAlign w:val="bottom"/>
          </w:tcPr>
          <w:p>
            <w:pPr>
              <w:ind w:left="100"/>
              <w:spacing w:after="0"/>
              <w:rPr>
                <w:sz w:val="20"/>
                <w:szCs w:val="20"/>
                <w:color w:val="auto"/>
              </w:rPr>
            </w:pPr>
            <w:r>
              <w:rPr>
                <w:rFonts w:ascii="Arial" w:cs="Arial" w:eastAsia="Arial" w:hAnsi="Arial"/>
                <w:sz w:val="12"/>
                <w:szCs w:val="12"/>
                <w:color w:val="auto"/>
              </w:rPr>
              <w:t>•</w:t>
            </w:r>
          </w:p>
        </w:tc>
        <w:tc>
          <w:tcPr>
            <w:tcW w:w="1680" w:type="dxa"/>
            <w:vAlign w:val="bottom"/>
            <w:gridSpan w:val="2"/>
          </w:tcPr>
          <w:p>
            <w:pPr>
              <w:ind w:left="40"/>
              <w:spacing w:after="0"/>
              <w:rPr>
                <w:sz w:val="20"/>
                <w:szCs w:val="20"/>
                <w:color w:val="auto"/>
              </w:rPr>
            </w:pPr>
            <w:r>
              <w:rPr>
                <w:rFonts w:ascii="Arial" w:cs="Arial" w:eastAsia="Arial" w:hAnsi="Arial"/>
                <w:sz w:val="12"/>
                <w:szCs w:val="12"/>
                <w:color w:val="auto"/>
              </w:rPr>
              <w:t>Quoted prices (4)</w:t>
            </w:r>
          </w:p>
        </w:tc>
        <w:tc>
          <w:tcPr>
            <w:tcW w:w="460" w:type="dxa"/>
            <w:vAlign w:val="bottom"/>
          </w:tcPr>
          <w:p>
            <w:pPr>
              <w:jc w:val="center"/>
              <w:ind w:left="42"/>
              <w:spacing w:after="0"/>
              <w:rPr>
                <w:sz w:val="20"/>
                <w:szCs w:val="20"/>
                <w:color w:val="auto"/>
              </w:rPr>
            </w:pPr>
            <w:r>
              <w:rPr>
                <w:rFonts w:ascii="Arial" w:cs="Arial" w:eastAsia="Arial" w:hAnsi="Arial"/>
                <w:sz w:val="12"/>
                <w:szCs w:val="12"/>
                <w:color w:val="auto"/>
                <w:w w:val="79"/>
              </w:rPr>
              <w:t>100</w:t>
            </w:r>
          </w:p>
        </w:tc>
        <w:tc>
          <w:tcPr>
            <w:tcW w:w="30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tcPr>
          <w:p>
            <w:pPr>
              <w:jc w:val="center"/>
              <w:ind w:right="42"/>
              <w:spacing w:after="0"/>
              <w:rPr>
                <w:sz w:val="20"/>
                <w:szCs w:val="20"/>
                <w:color w:val="auto"/>
              </w:rPr>
            </w:pPr>
            <w:r>
              <w:rPr>
                <w:rFonts w:ascii="Arial" w:cs="Arial" w:eastAsia="Arial" w:hAnsi="Arial"/>
                <w:sz w:val="12"/>
                <w:szCs w:val="12"/>
                <w:color w:val="auto"/>
                <w:w w:val="79"/>
              </w:rPr>
              <w:t>104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center"/>
              <w:ind w:right="64"/>
              <w:spacing w:after="0"/>
              <w:rPr>
                <w:sz w:val="20"/>
                <w:szCs w:val="20"/>
                <w:color w:val="auto"/>
              </w:rPr>
            </w:pPr>
            <w:r>
              <w:rPr>
                <w:rFonts w:ascii="Arial" w:cs="Arial" w:eastAsia="Arial" w:hAnsi="Arial"/>
                <w:sz w:val="12"/>
                <w:szCs w:val="12"/>
                <w:color w:val="auto"/>
                <w:w w:val="79"/>
              </w:rPr>
              <w:t>101</w:t>
            </w:r>
          </w:p>
        </w:tc>
        <w:tc>
          <w:tcPr>
            <w:tcW w:w="120" w:type="dxa"/>
            <w:vAlign w:val="bottom"/>
          </w:tcPr>
          <w:p>
            <w:pPr>
              <w:spacing w:after="0"/>
              <w:rPr>
                <w:sz w:val="17"/>
                <w:szCs w:val="17"/>
                <w:color w:val="auto"/>
              </w:rPr>
            </w:pPr>
          </w:p>
        </w:tc>
        <w:tc>
          <w:tcPr>
            <w:tcW w:w="460" w:type="dxa"/>
            <w:vAlign w:val="bottom"/>
          </w:tcPr>
          <w:p>
            <w:pPr>
              <w:jc w:val="center"/>
              <w:ind w:left="42"/>
              <w:spacing w:after="0"/>
              <w:rPr>
                <w:sz w:val="20"/>
                <w:szCs w:val="20"/>
                <w:color w:val="auto"/>
              </w:rPr>
            </w:pPr>
            <w:r>
              <w:rPr>
                <w:rFonts w:ascii="Arial" w:cs="Arial" w:eastAsia="Arial" w:hAnsi="Arial"/>
                <w:sz w:val="12"/>
                <w:szCs w:val="12"/>
                <w:color w:val="auto"/>
                <w:w w:val="89"/>
              </w:rPr>
              <w:t>94</w:t>
            </w:r>
          </w:p>
        </w:tc>
        <w:tc>
          <w:tcPr>
            <w:tcW w:w="30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tcPr>
          <w:p>
            <w:pPr>
              <w:jc w:val="center"/>
              <w:ind w:right="62"/>
              <w:spacing w:after="0"/>
              <w:rPr>
                <w:sz w:val="20"/>
                <w:szCs w:val="20"/>
                <w:color w:val="auto"/>
              </w:rPr>
            </w:pPr>
            <w:r>
              <w:rPr>
                <w:rFonts w:ascii="Arial" w:cs="Arial" w:eastAsia="Arial" w:hAnsi="Arial"/>
                <w:sz w:val="12"/>
                <w:szCs w:val="12"/>
                <w:color w:val="auto"/>
                <w:w w:val="89"/>
              </w:rPr>
              <w:t>106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ind w:right="204"/>
              <w:spacing w:after="0"/>
              <w:rPr>
                <w:sz w:val="20"/>
                <w:szCs w:val="20"/>
                <w:color w:val="auto"/>
              </w:rPr>
            </w:pPr>
            <w:r>
              <w:rPr>
                <w:rFonts w:ascii="Arial" w:cs="Arial" w:eastAsia="Arial" w:hAnsi="Arial"/>
                <w:sz w:val="12"/>
                <w:szCs w:val="12"/>
                <w:color w:val="auto"/>
                <w:w w:val="89"/>
              </w:rPr>
              <w:t>100</w:t>
            </w:r>
          </w:p>
        </w:tc>
        <w:tc>
          <w:tcPr>
            <w:tcW w:w="1000" w:type="dxa"/>
            <w:vAlign w:val="bottom"/>
          </w:tcPr>
          <w:p>
            <w:pPr>
              <w:ind w:left="20"/>
              <w:spacing w:after="0"/>
              <w:rPr>
                <w:sz w:val="20"/>
                <w:szCs w:val="20"/>
                <w:color w:val="auto"/>
              </w:rPr>
            </w:pPr>
            <w:r>
              <w:rPr>
                <w:rFonts w:ascii="Arial" w:cs="Arial" w:eastAsia="Arial" w:hAnsi="Arial"/>
                <w:sz w:val="12"/>
                <w:szCs w:val="12"/>
                <w:color w:val="auto"/>
              </w:rPr>
              <w:t>Increase (5)</w:t>
            </w:r>
          </w:p>
        </w:tc>
        <w:tc>
          <w:tcPr>
            <w:tcW w:w="0" w:type="dxa"/>
            <w:vAlign w:val="bottom"/>
          </w:tcPr>
          <w:p>
            <w:pPr>
              <w:spacing w:after="0"/>
              <w:rPr>
                <w:sz w:val="1"/>
                <w:szCs w:val="1"/>
                <w:color w:val="auto"/>
              </w:rPr>
            </w:pPr>
          </w:p>
        </w:tc>
      </w:tr>
      <w:tr>
        <w:trPr>
          <w:trHeight w:val="61"/>
        </w:trPr>
        <w:tc>
          <w:tcPr>
            <w:tcW w:w="2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1340" w:type="dxa"/>
            <w:vAlign w:val="bottom"/>
            <w:shd w:val="clear" w:color="auto" w:fill="CCEEFF"/>
          </w:tcPr>
          <w:p>
            <w:pPr>
              <w:ind w:left="60"/>
              <w:spacing w:after="0"/>
              <w:rPr>
                <w:sz w:val="20"/>
                <w:szCs w:val="20"/>
                <w:color w:val="auto"/>
              </w:rPr>
            </w:pPr>
            <w:r>
              <w:rPr>
                <w:rFonts w:ascii="Arial" w:cs="Arial" w:eastAsia="Arial" w:hAnsi="Arial"/>
                <w:sz w:val="12"/>
                <w:szCs w:val="12"/>
                <w:color w:val="auto"/>
              </w:rPr>
              <w:t>Consensus pricing</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6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Offered quotes (4)</w:t>
            </w:r>
          </w:p>
        </w:tc>
        <w:tc>
          <w:tcPr>
            <w:tcW w:w="46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79"/>
              </w:rPr>
              <w:t>100</w:t>
            </w:r>
          </w:p>
        </w:tc>
        <w:tc>
          <w:tcPr>
            <w:tcW w:w="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79"/>
              </w:rPr>
              <w:t>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right="64"/>
              <w:spacing w:after="0"/>
              <w:rPr>
                <w:sz w:val="20"/>
                <w:szCs w:val="20"/>
                <w:color w:val="auto"/>
              </w:rPr>
            </w:pPr>
            <w:r>
              <w:rPr>
                <w:rFonts w:ascii="Arial" w:cs="Arial" w:eastAsia="Arial" w:hAnsi="Arial"/>
                <w:sz w:val="12"/>
                <w:szCs w:val="12"/>
                <w:color w:val="auto"/>
                <w:w w:val="79"/>
              </w:rPr>
              <w:t>100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89"/>
              </w:rPr>
              <w:t>98</w:t>
            </w:r>
          </w:p>
        </w:tc>
        <w:tc>
          <w:tcPr>
            <w:tcW w:w="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shd w:val="clear" w:color="auto" w:fill="CCEEFF"/>
          </w:tcPr>
          <w:p>
            <w:pPr>
              <w:jc w:val="center"/>
              <w:ind w:right="62"/>
              <w:spacing w:after="0"/>
              <w:rPr>
                <w:sz w:val="20"/>
                <w:szCs w:val="20"/>
                <w:color w:val="auto"/>
              </w:rPr>
            </w:pPr>
            <w:r>
              <w:rPr>
                <w:rFonts w:ascii="Arial" w:cs="Arial" w:eastAsia="Arial" w:hAnsi="Arial"/>
                <w:sz w:val="12"/>
                <w:szCs w:val="12"/>
                <w:color w:val="auto"/>
                <w:w w:val="89"/>
              </w:rPr>
              <w:t>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184"/>
              <w:spacing w:after="0"/>
              <w:rPr>
                <w:sz w:val="20"/>
                <w:szCs w:val="20"/>
                <w:color w:val="auto"/>
              </w:rPr>
            </w:pPr>
            <w:r>
              <w:rPr>
                <w:rFonts w:ascii="Arial" w:cs="Arial" w:eastAsia="Arial" w:hAnsi="Arial"/>
                <w:sz w:val="12"/>
                <w:szCs w:val="12"/>
                <w:color w:val="auto"/>
                <w:w w:val="89"/>
              </w:rPr>
              <w:t>99</w:t>
            </w:r>
          </w:p>
        </w:tc>
        <w:tc>
          <w:tcPr>
            <w:tcW w:w="1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Increase (5)</w:t>
            </w:r>
          </w:p>
        </w:tc>
        <w:tc>
          <w:tcPr>
            <w:tcW w:w="0" w:type="dxa"/>
            <w:vAlign w:val="bottom"/>
          </w:tcPr>
          <w:p>
            <w:pPr>
              <w:spacing w:after="0"/>
              <w:rPr>
                <w:sz w:val="1"/>
                <w:szCs w:val="1"/>
                <w:color w:val="auto"/>
              </w:rPr>
            </w:pPr>
          </w:p>
        </w:tc>
      </w:tr>
      <w:tr>
        <w:trPr>
          <w:trHeight w:val="61"/>
        </w:trPr>
        <w:tc>
          <w:tcPr>
            <w:tcW w:w="226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58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460" w:type="dxa"/>
            <w:vAlign w:val="bottom"/>
            <w:tcBorders>
              <w:bottom w:val="single" w:sz="8" w:color="auto"/>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46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64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460" w:type="dxa"/>
            <w:vAlign w:val="bottom"/>
            <w:tcBorders>
              <w:bottom w:val="single" w:sz="8" w:color="auto"/>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46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shd w:val="clear" w:color="auto" w:fill="CCEEFF"/>
          </w:tcPr>
          <w:p>
            <w:pPr>
              <w:spacing w:after="0"/>
              <w:rPr>
                <w:sz w:val="5"/>
                <w:szCs w:val="5"/>
                <w:color w:val="auto"/>
              </w:rPr>
            </w:pPr>
          </w:p>
        </w:tc>
        <w:tc>
          <w:tcPr>
            <w:tcW w:w="10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260" w:type="dxa"/>
            <w:vAlign w:val="bottom"/>
          </w:tcPr>
          <w:p>
            <w:pPr>
              <w:ind w:left="20"/>
              <w:spacing w:after="0"/>
              <w:rPr>
                <w:sz w:val="20"/>
                <w:szCs w:val="20"/>
                <w:color w:val="auto"/>
              </w:rPr>
            </w:pPr>
            <w:r>
              <w:rPr>
                <w:rFonts w:ascii="Arial" w:cs="Arial" w:eastAsia="Arial" w:hAnsi="Arial"/>
                <w:sz w:val="12"/>
                <w:szCs w:val="12"/>
                <w:b w:val="1"/>
                <w:bCs w:val="1"/>
                <w:color w:val="auto"/>
              </w:rPr>
              <w:t>Derivatives</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rate</w:t>
            </w:r>
          </w:p>
        </w:tc>
        <w:tc>
          <w:tcPr>
            <w:tcW w:w="1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1340" w:type="dxa"/>
            <w:vAlign w:val="bottom"/>
            <w:shd w:val="clear" w:color="auto" w:fill="CCEEFF"/>
          </w:tcPr>
          <w:p>
            <w:pPr>
              <w:ind w:left="60"/>
              <w:spacing w:after="0"/>
              <w:rPr>
                <w:sz w:val="20"/>
                <w:szCs w:val="20"/>
                <w:color w:val="auto"/>
              </w:rPr>
            </w:pPr>
            <w:r>
              <w:rPr>
                <w:rFonts w:ascii="Arial" w:cs="Arial" w:eastAsia="Arial" w:hAnsi="Arial"/>
                <w:sz w:val="12"/>
                <w:szCs w:val="12"/>
                <w:color w:val="auto"/>
                <w:w w:val="93"/>
              </w:rPr>
              <w:t>Present value techniques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6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Repurchase rates (7)</w:t>
            </w:r>
          </w:p>
        </w:tc>
        <w:tc>
          <w:tcPr>
            <w:tcW w:w="46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99"/>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700" w:type="dxa"/>
            <w:vAlign w:val="bottom"/>
            <w:gridSpan w:val="3"/>
            <w:shd w:val="clear" w:color="auto" w:fill="CCEEFF"/>
          </w:tcPr>
          <w:p>
            <w:pPr>
              <w:jc w:val="center"/>
              <w:ind w:right="340"/>
              <w:spacing w:after="0"/>
              <w:rPr>
                <w:sz w:val="20"/>
                <w:szCs w:val="20"/>
                <w:color w:val="auto"/>
              </w:rPr>
            </w:pPr>
            <w:r>
              <w:rPr>
                <w:rFonts w:ascii="Arial" w:cs="Arial" w:eastAsia="Arial" w:hAnsi="Arial"/>
                <w:sz w:val="12"/>
                <w:szCs w:val="12"/>
                <w:color w:val="auto"/>
                <w:w w:val="99"/>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93"/>
              </w:rPr>
              <w:t>(44)</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9"/>
              </w:rPr>
              <w:t>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Decrease (6)</w:t>
            </w:r>
          </w:p>
        </w:tc>
        <w:tc>
          <w:tcPr>
            <w:tcW w:w="0" w:type="dxa"/>
            <w:vAlign w:val="bottom"/>
          </w:tcPr>
          <w:p>
            <w:pPr>
              <w:spacing w:after="0"/>
              <w:rPr>
                <w:sz w:val="1"/>
                <w:szCs w:val="1"/>
                <w:color w:val="auto"/>
              </w:rPr>
            </w:pPr>
          </w:p>
        </w:tc>
      </w:tr>
      <w:tr>
        <w:trPr>
          <w:trHeight w:val="61"/>
        </w:trPr>
        <w:tc>
          <w:tcPr>
            <w:tcW w:w="22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58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460" w:type="dxa"/>
            <w:vAlign w:val="bottom"/>
            <w:tcBorders>
              <w:bottom w:val="single" w:sz="8" w:color="auto"/>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46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64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460" w:type="dxa"/>
            <w:vAlign w:val="bottom"/>
            <w:tcBorders>
              <w:bottom w:val="single" w:sz="8" w:color="auto"/>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46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shd w:val="clear" w:color="auto" w:fill="CCEEFF"/>
          </w:tcPr>
          <w:p>
            <w:pPr>
              <w:spacing w:after="0"/>
              <w:rPr>
                <w:sz w:val="5"/>
                <w:szCs w:val="5"/>
                <w:color w:val="auto"/>
              </w:rPr>
            </w:pPr>
          </w:p>
        </w:tc>
        <w:tc>
          <w:tcPr>
            <w:tcW w:w="10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260" w:type="dxa"/>
            <w:vAlign w:val="bottom"/>
          </w:tcPr>
          <w:p>
            <w:pPr>
              <w:ind w:left="20"/>
              <w:spacing w:after="0"/>
              <w:rPr>
                <w:sz w:val="20"/>
                <w:szCs w:val="20"/>
                <w:color w:val="auto"/>
              </w:rPr>
            </w:pPr>
            <w:r>
              <w:rPr>
                <w:rFonts w:ascii="Arial" w:cs="Arial" w:eastAsia="Arial" w:hAnsi="Arial"/>
                <w:sz w:val="12"/>
                <w:szCs w:val="12"/>
                <w:color w:val="auto"/>
              </w:rPr>
              <w:t>Credit</w:t>
            </w:r>
          </w:p>
        </w:tc>
        <w:tc>
          <w:tcPr>
            <w:tcW w:w="180" w:type="dxa"/>
            <w:vAlign w:val="bottom"/>
          </w:tcPr>
          <w:p>
            <w:pPr>
              <w:ind w:left="80"/>
              <w:spacing w:after="0"/>
              <w:rPr>
                <w:sz w:val="20"/>
                <w:szCs w:val="20"/>
                <w:color w:val="auto"/>
              </w:rPr>
            </w:pPr>
            <w:r>
              <w:rPr>
                <w:rFonts w:ascii="Arial" w:cs="Arial" w:eastAsia="Arial" w:hAnsi="Arial"/>
                <w:sz w:val="12"/>
                <w:szCs w:val="12"/>
                <w:color w:val="auto"/>
              </w:rPr>
              <w:t>•</w:t>
            </w:r>
          </w:p>
        </w:tc>
        <w:tc>
          <w:tcPr>
            <w:tcW w:w="1340" w:type="dxa"/>
            <w:vAlign w:val="bottom"/>
          </w:tcPr>
          <w:p>
            <w:pPr>
              <w:ind w:left="60"/>
              <w:spacing w:after="0"/>
              <w:rPr>
                <w:sz w:val="20"/>
                <w:szCs w:val="20"/>
                <w:color w:val="auto"/>
              </w:rPr>
            </w:pPr>
            <w:r>
              <w:rPr>
                <w:rFonts w:ascii="Arial" w:cs="Arial" w:eastAsia="Arial" w:hAnsi="Arial"/>
                <w:sz w:val="12"/>
                <w:szCs w:val="12"/>
                <w:color w:val="auto"/>
                <w:w w:val="93"/>
              </w:rPr>
              <w:t>Present value techniques</w:t>
            </w:r>
          </w:p>
        </w:tc>
        <w:tc>
          <w:tcPr>
            <w:tcW w:w="100" w:type="dxa"/>
            <w:vAlign w:val="bottom"/>
          </w:tcPr>
          <w:p>
            <w:pPr>
              <w:spacing w:after="0"/>
              <w:rPr>
                <w:sz w:val="16"/>
                <w:szCs w:val="16"/>
                <w:color w:val="auto"/>
              </w:rPr>
            </w:pPr>
          </w:p>
        </w:tc>
        <w:tc>
          <w:tcPr>
            <w:tcW w:w="200" w:type="dxa"/>
            <w:vAlign w:val="bottom"/>
          </w:tcPr>
          <w:p>
            <w:pPr>
              <w:ind w:left="100"/>
              <w:spacing w:after="0"/>
              <w:rPr>
                <w:sz w:val="20"/>
                <w:szCs w:val="20"/>
                <w:color w:val="auto"/>
              </w:rPr>
            </w:pPr>
            <w:r>
              <w:rPr>
                <w:rFonts w:ascii="Arial" w:cs="Arial" w:eastAsia="Arial" w:hAnsi="Arial"/>
                <w:sz w:val="12"/>
                <w:szCs w:val="12"/>
                <w:color w:val="auto"/>
              </w:rPr>
              <w:t>•</w:t>
            </w:r>
          </w:p>
        </w:tc>
        <w:tc>
          <w:tcPr>
            <w:tcW w:w="1680" w:type="dxa"/>
            <w:vAlign w:val="bottom"/>
            <w:gridSpan w:val="2"/>
          </w:tcPr>
          <w:p>
            <w:pPr>
              <w:ind w:left="40"/>
              <w:spacing w:after="0"/>
              <w:rPr>
                <w:sz w:val="20"/>
                <w:szCs w:val="20"/>
                <w:color w:val="auto"/>
              </w:rPr>
            </w:pPr>
            <w:r>
              <w:rPr>
                <w:rFonts w:ascii="Arial" w:cs="Arial" w:eastAsia="Arial" w:hAnsi="Arial"/>
                <w:sz w:val="12"/>
                <w:szCs w:val="12"/>
                <w:color w:val="auto"/>
              </w:rPr>
              <w:t>Credit spreads (8)</w:t>
            </w:r>
          </w:p>
        </w:tc>
        <w:tc>
          <w:tcPr>
            <w:tcW w:w="460" w:type="dxa"/>
            <w:vAlign w:val="bottom"/>
          </w:tcPr>
          <w:p>
            <w:pPr>
              <w:jc w:val="center"/>
              <w:ind w:left="42"/>
              <w:spacing w:after="0"/>
              <w:rPr>
                <w:sz w:val="20"/>
                <w:szCs w:val="20"/>
                <w:color w:val="auto"/>
              </w:rPr>
            </w:pPr>
            <w:r>
              <w:rPr>
                <w:rFonts w:ascii="Arial" w:cs="Arial" w:eastAsia="Arial" w:hAnsi="Arial"/>
                <w:sz w:val="12"/>
                <w:szCs w:val="12"/>
                <w:color w:val="auto"/>
                <w:w w:val="99"/>
              </w:rPr>
              <w:t>—</w:t>
            </w:r>
          </w:p>
        </w:tc>
        <w:tc>
          <w:tcPr>
            <w:tcW w:w="30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700" w:type="dxa"/>
            <w:vAlign w:val="bottom"/>
            <w:gridSpan w:val="3"/>
          </w:tcPr>
          <w:p>
            <w:pPr>
              <w:jc w:val="center"/>
              <w:ind w:right="340"/>
              <w:spacing w:after="0"/>
              <w:rPr>
                <w:sz w:val="20"/>
                <w:szCs w:val="20"/>
                <w:color w:val="auto"/>
              </w:rPr>
            </w:pPr>
            <w:r>
              <w:rPr>
                <w:rFonts w:ascii="Arial" w:cs="Arial" w:eastAsia="Arial" w:hAnsi="Arial"/>
                <w:sz w:val="12"/>
                <w:szCs w:val="12"/>
                <w:color w:val="auto"/>
                <w:w w:val="99"/>
              </w:rPr>
              <w:t>—</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center"/>
              <w:ind w:left="42"/>
              <w:spacing w:after="0"/>
              <w:rPr>
                <w:sz w:val="20"/>
                <w:szCs w:val="20"/>
                <w:color w:val="auto"/>
              </w:rPr>
            </w:pPr>
            <w:r>
              <w:rPr>
                <w:rFonts w:ascii="Arial" w:cs="Arial" w:eastAsia="Arial" w:hAnsi="Arial"/>
                <w:sz w:val="12"/>
                <w:szCs w:val="12"/>
                <w:color w:val="auto"/>
                <w:w w:val="89"/>
              </w:rPr>
              <w:t>97</w:t>
            </w:r>
          </w:p>
        </w:tc>
        <w:tc>
          <w:tcPr>
            <w:tcW w:w="30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tcPr>
          <w:p>
            <w:pPr>
              <w:jc w:val="center"/>
              <w:ind w:right="42"/>
              <w:spacing w:after="0"/>
              <w:rPr>
                <w:sz w:val="20"/>
                <w:szCs w:val="20"/>
                <w:color w:val="auto"/>
              </w:rPr>
            </w:pPr>
            <w:r>
              <w:rPr>
                <w:rFonts w:ascii="Arial" w:cs="Arial" w:eastAsia="Arial" w:hAnsi="Arial"/>
                <w:sz w:val="12"/>
                <w:szCs w:val="12"/>
                <w:color w:val="auto"/>
                <w:w w:val="89"/>
              </w:rPr>
              <w:t>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Decrease (6)</w:t>
            </w:r>
          </w:p>
        </w:tc>
        <w:tc>
          <w:tcPr>
            <w:tcW w:w="0" w:type="dxa"/>
            <w:vAlign w:val="bottom"/>
          </w:tcPr>
          <w:p>
            <w:pPr>
              <w:spacing w:after="0"/>
              <w:rPr>
                <w:sz w:val="1"/>
                <w:szCs w:val="1"/>
                <w:color w:val="auto"/>
              </w:rPr>
            </w:pPr>
          </w:p>
        </w:tc>
      </w:tr>
      <w:tr>
        <w:trPr>
          <w:trHeight w:val="74"/>
        </w:trPr>
        <w:tc>
          <w:tcPr>
            <w:tcW w:w="2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1340" w:type="dxa"/>
            <w:vAlign w:val="bottom"/>
            <w:shd w:val="clear" w:color="auto" w:fill="CCEEFF"/>
          </w:tcPr>
          <w:p>
            <w:pPr>
              <w:ind w:left="60"/>
              <w:spacing w:after="0"/>
              <w:rPr>
                <w:sz w:val="20"/>
                <w:szCs w:val="20"/>
                <w:color w:val="auto"/>
              </w:rPr>
            </w:pPr>
            <w:r>
              <w:rPr>
                <w:rFonts w:ascii="Arial" w:cs="Arial" w:eastAsia="Arial" w:hAnsi="Arial"/>
                <w:sz w:val="12"/>
                <w:szCs w:val="12"/>
                <w:color w:val="auto"/>
              </w:rPr>
              <w:t>Consensus pricing</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6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Offered quotes (9)</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26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58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460" w:type="dxa"/>
            <w:vAlign w:val="bottom"/>
            <w:tcBorders>
              <w:bottom w:val="single" w:sz="8" w:color="auto"/>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46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64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460" w:type="dxa"/>
            <w:vAlign w:val="bottom"/>
            <w:tcBorders>
              <w:bottom w:val="single" w:sz="8" w:color="auto"/>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46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shd w:val="clear" w:color="auto" w:fill="CCEEFF"/>
          </w:tcPr>
          <w:p>
            <w:pPr>
              <w:spacing w:after="0"/>
              <w:rPr>
                <w:sz w:val="5"/>
                <w:szCs w:val="5"/>
                <w:color w:val="auto"/>
              </w:rPr>
            </w:pPr>
          </w:p>
        </w:tc>
        <w:tc>
          <w:tcPr>
            <w:tcW w:w="10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260" w:type="dxa"/>
            <w:vAlign w:val="bottom"/>
          </w:tcPr>
          <w:p>
            <w:pPr>
              <w:ind w:left="20"/>
              <w:spacing w:after="0"/>
              <w:rPr>
                <w:sz w:val="20"/>
                <w:szCs w:val="20"/>
                <w:color w:val="auto"/>
              </w:rPr>
            </w:pPr>
            <w:r>
              <w:rPr>
                <w:rFonts w:ascii="Arial" w:cs="Arial" w:eastAsia="Arial" w:hAnsi="Arial"/>
                <w:sz w:val="12"/>
                <w:szCs w:val="12"/>
                <w:color w:val="auto"/>
              </w:rPr>
              <w:t>Equity market</w:t>
            </w:r>
          </w:p>
        </w:tc>
        <w:tc>
          <w:tcPr>
            <w:tcW w:w="180" w:type="dxa"/>
            <w:vAlign w:val="bottom"/>
          </w:tcPr>
          <w:p>
            <w:pPr>
              <w:ind w:left="80"/>
              <w:spacing w:after="0"/>
              <w:rPr>
                <w:sz w:val="20"/>
                <w:szCs w:val="20"/>
                <w:color w:val="auto"/>
              </w:rPr>
            </w:pPr>
            <w:r>
              <w:rPr>
                <w:rFonts w:ascii="Arial" w:cs="Arial" w:eastAsia="Arial" w:hAnsi="Arial"/>
                <w:sz w:val="12"/>
                <w:szCs w:val="12"/>
                <w:color w:val="auto"/>
              </w:rPr>
              <w:t>•</w:t>
            </w:r>
          </w:p>
        </w:tc>
        <w:tc>
          <w:tcPr>
            <w:tcW w:w="1340" w:type="dxa"/>
            <w:vAlign w:val="bottom"/>
          </w:tcPr>
          <w:p>
            <w:pPr>
              <w:ind w:left="60"/>
              <w:spacing w:after="0"/>
              <w:rPr>
                <w:sz w:val="20"/>
                <w:szCs w:val="20"/>
                <w:color w:val="auto"/>
              </w:rPr>
            </w:pPr>
            <w:r>
              <w:rPr>
                <w:rFonts w:ascii="Arial" w:cs="Arial" w:eastAsia="Arial" w:hAnsi="Arial"/>
                <w:sz w:val="12"/>
                <w:szCs w:val="12"/>
                <w:color w:val="auto"/>
                <w:w w:val="93"/>
              </w:rPr>
              <w:t>Present value techniques</w:t>
            </w:r>
          </w:p>
        </w:tc>
        <w:tc>
          <w:tcPr>
            <w:tcW w:w="100" w:type="dxa"/>
            <w:vAlign w:val="bottom"/>
          </w:tcPr>
          <w:p>
            <w:pPr>
              <w:spacing w:after="0"/>
              <w:rPr>
                <w:sz w:val="12"/>
                <w:szCs w:val="12"/>
                <w:color w:val="auto"/>
              </w:rPr>
            </w:pPr>
          </w:p>
        </w:tc>
        <w:tc>
          <w:tcPr>
            <w:tcW w:w="200" w:type="dxa"/>
            <w:vAlign w:val="bottom"/>
          </w:tcPr>
          <w:p>
            <w:pPr>
              <w:ind w:left="100"/>
              <w:spacing w:after="0"/>
              <w:rPr>
                <w:sz w:val="20"/>
                <w:szCs w:val="20"/>
                <w:color w:val="auto"/>
              </w:rPr>
            </w:pPr>
            <w:r>
              <w:rPr>
                <w:rFonts w:ascii="Arial" w:cs="Arial" w:eastAsia="Arial" w:hAnsi="Arial"/>
                <w:sz w:val="12"/>
                <w:szCs w:val="12"/>
                <w:color w:val="auto"/>
              </w:rPr>
              <w:t>•</w:t>
            </w:r>
          </w:p>
        </w:tc>
        <w:tc>
          <w:tcPr>
            <w:tcW w:w="1680" w:type="dxa"/>
            <w:vAlign w:val="bottom"/>
            <w:gridSpan w:val="2"/>
          </w:tcPr>
          <w:p>
            <w:pPr>
              <w:ind w:left="40"/>
              <w:spacing w:after="0"/>
              <w:rPr>
                <w:sz w:val="20"/>
                <w:szCs w:val="20"/>
                <w:color w:val="auto"/>
              </w:rPr>
            </w:pPr>
            <w:r>
              <w:rPr>
                <w:rFonts w:ascii="Arial" w:cs="Arial" w:eastAsia="Arial" w:hAnsi="Arial"/>
                <w:sz w:val="12"/>
                <w:szCs w:val="12"/>
                <w:color w:val="auto"/>
              </w:rPr>
              <w:t>Volatility (10)</w:t>
            </w:r>
          </w:p>
        </w:tc>
        <w:tc>
          <w:tcPr>
            <w:tcW w:w="460" w:type="dxa"/>
            <w:vAlign w:val="bottom"/>
          </w:tcPr>
          <w:p>
            <w:pPr>
              <w:jc w:val="center"/>
              <w:ind w:left="42"/>
              <w:spacing w:after="0"/>
              <w:rPr>
                <w:sz w:val="20"/>
                <w:szCs w:val="20"/>
                <w:color w:val="auto"/>
              </w:rPr>
            </w:pPr>
            <w:r>
              <w:rPr>
                <w:rFonts w:ascii="Arial" w:cs="Arial" w:eastAsia="Arial" w:hAnsi="Arial"/>
                <w:sz w:val="12"/>
                <w:szCs w:val="12"/>
                <w:color w:val="auto"/>
                <w:w w:val="83"/>
              </w:rPr>
              <w:t>11%</w:t>
            </w:r>
          </w:p>
        </w:tc>
        <w:tc>
          <w:tcPr>
            <w:tcW w:w="30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tcPr>
          <w:p>
            <w:pPr>
              <w:jc w:val="center"/>
              <w:ind w:right="42"/>
              <w:spacing w:after="0"/>
              <w:rPr>
                <w:sz w:val="20"/>
                <w:szCs w:val="20"/>
                <w:color w:val="auto"/>
              </w:rPr>
            </w:pPr>
            <w:r>
              <w:rPr>
                <w:rFonts w:ascii="Arial" w:cs="Arial" w:eastAsia="Arial" w:hAnsi="Arial"/>
                <w:sz w:val="12"/>
                <w:szCs w:val="12"/>
                <w:color w:val="auto"/>
                <w:w w:val="83"/>
              </w:rPr>
              <w:t>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center"/>
              <w:ind w:left="22"/>
              <w:spacing w:after="0"/>
              <w:rPr>
                <w:sz w:val="20"/>
                <w:szCs w:val="20"/>
                <w:color w:val="auto"/>
              </w:rPr>
            </w:pPr>
            <w:r>
              <w:rPr>
                <w:rFonts w:ascii="Arial" w:cs="Arial" w:eastAsia="Arial" w:hAnsi="Arial"/>
                <w:sz w:val="12"/>
                <w:szCs w:val="12"/>
                <w:color w:val="auto"/>
                <w:w w:val="91"/>
              </w:rPr>
              <w:t>14%</w:t>
            </w:r>
          </w:p>
        </w:tc>
        <w:tc>
          <w:tcPr>
            <w:tcW w:w="30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tcPr>
          <w:p>
            <w:pPr>
              <w:jc w:val="center"/>
              <w:ind w:right="62"/>
              <w:spacing w:after="0"/>
              <w:rPr>
                <w:sz w:val="20"/>
                <w:szCs w:val="20"/>
                <w:color w:val="auto"/>
              </w:rPr>
            </w:pPr>
            <w:r>
              <w:rPr>
                <w:rFonts w:ascii="Arial" w:cs="Arial" w:eastAsia="Arial" w:hAnsi="Arial"/>
                <w:sz w:val="12"/>
                <w:szCs w:val="12"/>
                <w:color w:val="auto"/>
                <w:w w:val="91"/>
              </w:rPr>
              <w:t>32%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Increase (6)</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ind w:left="220"/>
              <w:spacing w:after="0" w:line="135" w:lineRule="exact"/>
              <w:rPr>
                <w:sz w:val="20"/>
                <w:szCs w:val="20"/>
                <w:color w:val="auto"/>
              </w:rPr>
            </w:pPr>
            <w:r>
              <w:rPr>
                <w:rFonts w:ascii="Arial" w:cs="Arial" w:eastAsia="Arial" w:hAnsi="Arial"/>
                <w:sz w:val="12"/>
                <w:szCs w:val="12"/>
                <w:color w:val="auto"/>
              </w:rPr>
              <w:t>or option pricing</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ind w:left="220"/>
              <w:spacing w:after="0"/>
              <w:rPr>
                <w:sz w:val="20"/>
                <w:szCs w:val="20"/>
                <w:color w:val="auto"/>
              </w:rPr>
            </w:pPr>
            <w:r>
              <w:rPr>
                <w:rFonts w:ascii="Arial" w:cs="Arial" w:eastAsia="Arial" w:hAnsi="Arial"/>
                <w:sz w:val="12"/>
                <w:szCs w:val="12"/>
                <w:color w:val="auto"/>
              </w:rPr>
              <w:t>models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6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Correlation (11)</w:t>
            </w:r>
          </w:p>
        </w:tc>
        <w:tc>
          <w:tcPr>
            <w:tcW w:w="46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83"/>
              </w:rPr>
              <w:t>10%</w:t>
            </w:r>
          </w:p>
        </w:tc>
        <w:tc>
          <w:tcPr>
            <w:tcW w:w="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3"/>
              </w:rPr>
              <w:t>30%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center"/>
              <w:ind w:left="22"/>
              <w:spacing w:after="0"/>
              <w:rPr>
                <w:sz w:val="20"/>
                <w:szCs w:val="20"/>
                <w:color w:val="auto"/>
              </w:rPr>
            </w:pPr>
            <w:r>
              <w:rPr>
                <w:rFonts w:ascii="Arial" w:cs="Arial" w:eastAsia="Arial" w:hAnsi="Arial"/>
                <w:sz w:val="12"/>
                <w:szCs w:val="12"/>
                <w:color w:val="auto"/>
                <w:w w:val="91"/>
              </w:rPr>
              <w:t>40%</w:t>
            </w:r>
          </w:p>
        </w:tc>
        <w:tc>
          <w:tcPr>
            <w:tcW w:w="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shd w:val="clear" w:color="auto" w:fill="CCEEFF"/>
          </w:tcPr>
          <w:p>
            <w:pPr>
              <w:jc w:val="center"/>
              <w:ind w:right="62"/>
              <w:spacing w:after="0"/>
              <w:rPr>
                <w:sz w:val="20"/>
                <w:szCs w:val="20"/>
                <w:color w:val="auto"/>
              </w:rPr>
            </w:pPr>
            <w:r>
              <w:rPr>
                <w:rFonts w:ascii="Arial" w:cs="Arial" w:eastAsia="Arial" w:hAnsi="Arial"/>
                <w:sz w:val="12"/>
                <w:szCs w:val="12"/>
                <w:color w:val="auto"/>
                <w:w w:val="91"/>
              </w:rPr>
              <w:t>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226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34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15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spacing w:after="0"/>
              <w:rPr>
                <w:sz w:val="8"/>
                <w:szCs w:val="8"/>
                <w:color w:val="auto"/>
              </w:rPr>
            </w:pPr>
          </w:p>
        </w:tc>
        <w:tc>
          <w:tcPr>
            <w:tcW w:w="100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260" w:type="dxa"/>
            <w:vAlign w:val="bottom"/>
          </w:tcPr>
          <w:p>
            <w:pPr>
              <w:ind w:left="20"/>
              <w:spacing w:after="0"/>
              <w:rPr>
                <w:sz w:val="20"/>
                <w:szCs w:val="20"/>
                <w:color w:val="auto"/>
              </w:rPr>
            </w:pPr>
            <w:r>
              <w:rPr>
                <w:rFonts w:ascii="Arial" w:cs="Arial" w:eastAsia="Arial" w:hAnsi="Arial"/>
                <w:sz w:val="12"/>
                <w:szCs w:val="12"/>
                <w:b w:val="1"/>
                <w:bCs w:val="1"/>
                <w:color w:val="auto"/>
              </w:rPr>
              <w:t>Embedded derivatives</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Direct, assumed and ceded guaranteed</w:t>
            </w:r>
          </w:p>
        </w:tc>
        <w:tc>
          <w:tcPr>
            <w:tcW w:w="1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1340" w:type="dxa"/>
            <w:vAlign w:val="bottom"/>
            <w:shd w:val="clear" w:color="auto" w:fill="CCEEFF"/>
          </w:tcPr>
          <w:p>
            <w:pPr>
              <w:ind w:left="60"/>
              <w:spacing w:after="0"/>
              <w:rPr>
                <w:sz w:val="20"/>
                <w:szCs w:val="20"/>
                <w:color w:val="auto"/>
              </w:rPr>
            </w:pPr>
            <w:r>
              <w:rPr>
                <w:rFonts w:ascii="Arial" w:cs="Arial" w:eastAsia="Arial" w:hAnsi="Arial"/>
                <w:sz w:val="12"/>
                <w:szCs w:val="12"/>
                <w:color w:val="auto"/>
                <w:w w:val="93"/>
              </w:rPr>
              <w:t>Option pricing techniques</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6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Mortality rates:</w:t>
            </w: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minimum benefits</w:t>
            </w:r>
          </w:p>
        </w:tc>
        <w:tc>
          <w:tcPr>
            <w:tcW w:w="18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ind w:left="180"/>
              <w:spacing w:after="0"/>
              <w:rPr>
                <w:sz w:val="20"/>
                <w:szCs w:val="20"/>
                <w:color w:val="auto"/>
              </w:rPr>
            </w:pPr>
            <w:r>
              <w:rPr>
                <w:rFonts w:ascii="Arial" w:cs="Arial" w:eastAsia="Arial" w:hAnsi="Arial"/>
                <w:sz w:val="12"/>
                <w:szCs w:val="12"/>
                <w:color w:val="auto"/>
              </w:rPr>
              <w:t>Ages 0 - 40</w:t>
            </w:r>
          </w:p>
        </w:tc>
        <w:tc>
          <w:tcPr>
            <w:tcW w:w="460" w:type="dxa"/>
            <w:vAlign w:val="bottom"/>
          </w:tcPr>
          <w:p>
            <w:pPr>
              <w:jc w:val="center"/>
              <w:ind w:left="42"/>
              <w:spacing w:after="0"/>
              <w:rPr>
                <w:sz w:val="20"/>
                <w:szCs w:val="20"/>
                <w:color w:val="auto"/>
              </w:rPr>
            </w:pPr>
            <w:r>
              <w:rPr>
                <w:rFonts w:ascii="Arial" w:cs="Arial" w:eastAsia="Arial" w:hAnsi="Arial"/>
                <w:sz w:val="12"/>
                <w:szCs w:val="12"/>
                <w:color w:val="auto"/>
                <w:w w:val="91"/>
              </w:rPr>
              <w:t>0%</w:t>
            </w:r>
          </w:p>
        </w:tc>
        <w:tc>
          <w:tcPr>
            <w:tcW w:w="30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tcPr>
          <w:p>
            <w:pPr>
              <w:jc w:val="center"/>
              <w:ind w:right="22"/>
              <w:spacing w:after="0"/>
              <w:rPr>
                <w:sz w:val="20"/>
                <w:szCs w:val="20"/>
                <w:color w:val="auto"/>
              </w:rPr>
            </w:pPr>
            <w:r>
              <w:rPr>
                <w:rFonts w:ascii="Arial" w:cs="Arial" w:eastAsia="Arial" w:hAnsi="Arial"/>
                <w:sz w:val="12"/>
                <w:szCs w:val="12"/>
                <w:color w:val="auto"/>
                <w:w w:val="88"/>
              </w:rPr>
              <w:t>0.09%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center"/>
              <w:ind w:left="42"/>
              <w:spacing w:after="0"/>
              <w:rPr>
                <w:sz w:val="20"/>
                <w:szCs w:val="20"/>
                <w:color w:val="auto"/>
              </w:rPr>
            </w:pPr>
            <w:r>
              <w:rPr>
                <w:rFonts w:ascii="Arial" w:cs="Arial" w:eastAsia="Arial" w:hAnsi="Arial"/>
                <w:sz w:val="12"/>
                <w:szCs w:val="12"/>
                <w:color w:val="auto"/>
                <w:w w:val="91"/>
              </w:rPr>
              <w:t>0%</w:t>
            </w:r>
          </w:p>
        </w:tc>
        <w:tc>
          <w:tcPr>
            <w:tcW w:w="30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tcPr>
          <w:p>
            <w:pPr>
              <w:jc w:val="center"/>
              <w:ind w:right="62"/>
              <w:spacing w:after="0"/>
              <w:rPr>
                <w:sz w:val="20"/>
                <w:szCs w:val="20"/>
                <w:color w:val="auto"/>
              </w:rPr>
            </w:pPr>
            <w:r>
              <w:rPr>
                <w:rFonts w:ascii="Arial" w:cs="Arial" w:eastAsia="Arial" w:hAnsi="Arial"/>
                <w:sz w:val="12"/>
                <w:szCs w:val="12"/>
                <w:color w:val="auto"/>
                <w:w w:val="88"/>
              </w:rPr>
              <w:t>0.09%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Decrease (12)</w:t>
            </w:r>
          </w:p>
        </w:tc>
        <w:tc>
          <w:tcPr>
            <w:tcW w:w="0" w:type="dxa"/>
            <w:vAlign w:val="bottom"/>
          </w:tcPr>
          <w:p>
            <w:pPr>
              <w:spacing w:after="0"/>
              <w:rPr>
                <w:sz w:val="1"/>
                <w:szCs w:val="1"/>
                <w:color w:val="auto"/>
              </w:rPr>
            </w:pPr>
          </w:p>
        </w:tc>
      </w:tr>
      <w:tr>
        <w:trPr>
          <w:trHeight w:val="101"/>
        </w:trPr>
        <w:tc>
          <w:tcPr>
            <w:tcW w:w="2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Ages 41 - 60</w:t>
            </w:r>
          </w:p>
        </w:tc>
        <w:tc>
          <w:tcPr>
            <w:tcW w:w="46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93"/>
              </w:rPr>
              <w:t>0.04%</w:t>
            </w:r>
          </w:p>
        </w:tc>
        <w:tc>
          <w:tcPr>
            <w:tcW w:w="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8"/>
              </w:rPr>
              <w:t>0.65%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center"/>
              <w:ind w:left="22"/>
              <w:spacing w:after="0"/>
              <w:rPr>
                <w:sz w:val="20"/>
                <w:szCs w:val="20"/>
                <w:color w:val="auto"/>
              </w:rPr>
            </w:pPr>
            <w:r>
              <w:rPr>
                <w:rFonts w:ascii="Arial" w:cs="Arial" w:eastAsia="Arial" w:hAnsi="Arial"/>
                <w:sz w:val="12"/>
                <w:szCs w:val="12"/>
                <w:color w:val="auto"/>
                <w:w w:val="88"/>
              </w:rPr>
              <w:t>0.04%</w:t>
            </w:r>
          </w:p>
        </w:tc>
        <w:tc>
          <w:tcPr>
            <w:tcW w:w="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shd w:val="clear" w:color="auto" w:fill="CCEEFF"/>
          </w:tcPr>
          <w:p>
            <w:pPr>
              <w:jc w:val="center"/>
              <w:ind w:right="62"/>
              <w:spacing w:after="0"/>
              <w:rPr>
                <w:sz w:val="20"/>
                <w:szCs w:val="20"/>
                <w:color w:val="auto"/>
              </w:rPr>
            </w:pPr>
            <w:r>
              <w:rPr>
                <w:rFonts w:ascii="Arial" w:cs="Arial" w:eastAsia="Arial" w:hAnsi="Arial"/>
                <w:sz w:val="12"/>
                <w:szCs w:val="12"/>
                <w:color w:val="auto"/>
                <w:w w:val="88"/>
              </w:rPr>
              <w:t>0.65%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Decrease (12)</w:t>
            </w:r>
          </w:p>
        </w:tc>
        <w:tc>
          <w:tcPr>
            <w:tcW w:w="0" w:type="dxa"/>
            <w:vAlign w:val="bottom"/>
          </w:tcPr>
          <w:p>
            <w:pPr>
              <w:spacing w:after="0"/>
              <w:rPr>
                <w:sz w:val="1"/>
                <w:szCs w:val="1"/>
                <w:color w:val="auto"/>
              </w:rPr>
            </w:pPr>
          </w:p>
        </w:tc>
      </w:tr>
      <w:tr>
        <w:trPr>
          <w:trHeight w:val="101"/>
        </w:trPr>
        <w:tc>
          <w:tcPr>
            <w:tcW w:w="2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ind w:left="180"/>
              <w:spacing w:after="0"/>
              <w:rPr>
                <w:sz w:val="20"/>
                <w:szCs w:val="20"/>
                <w:color w:val="auto"/>
              </w:rPr>
            </w:pPr>
            <w:r>
              <w:rPr>
                <w:rFonts w:ascii="Arial" w:cs="Arial" w:eastAsia="Arial" w:hAnsi="Arial"/>
                <w:sz w:val="12"/>
                <w:szCs w:val="12"/>
                <w:color w:val="auto"/>
              </w:rPr>
              <w:t>Ages 61 - 115</w:t>
            </w:r>
          </w:p>
        </w:tc>
        <w:tc>
          <w:tcPr>
            <w:tcW w:w="460" w:type="dxa"/>
            <w:vAlign w:val="bottom"/>
          </w:tcPr>
          <w:p>
            <w:pPr>
              <w:jc w:val="center"/>
              <w:ind w:left="42"/>
              <w:spacing w:after="0"/>
              <w:rPr>
                <w:sz w:val="20"/>
                <w:szCs w:val="20"/>
                <w:color w:val="auto"/>
              </w:rPr>
            </w:pPr>
            <w:r>
              <w:rPr>
                <w:rFonts w:ascii="Arial" w:cs="Arial" w:eastAsia="Arial" w:hAnsi="Arial"/>
                <w:sz w:val="12"/>
                <w:szCs w:val="12"/>
                <w:color w:val="auto"/>
                <w:w w:val="93"/>
              </w:rPr>
              <w:t>0.26%</w:t>
            </w:r>
          </w:p>
        </w:tc>
        <w:tc>
          <w:tcPr>
            <w:tcW w:w="30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tcPr>
          <w:p>
            <w:pPr>
              <w:jc w:val="center"/>
              <w:ind w:right="42"/>
              <w:spacing w:after="0"/>
              <w:rPr>
                <w:sz w:val="20"/>
                <w:szCs w:val="20"/>
                <w:color w:val="auto"/>
              </w:rPr>
            </w:pPr>
            <w:r>
              <w:rPr>
                <w:rFonts w:ascii="Arial" w:cs="Arial" w:eastAsia="Arial" w:hAnsi="Arial"/>
                <w:sz w:val="12"/>
                <w:szCs w:val="12"/>
                <w:color w:val="auto"/>
                <w:w w:val="91"/>
              </w:rPr>
              <w:t>100%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center"/>
              <w:ind w:left="22"/>
              <w:spacing w:after="0"/>
              <w:rPr>
                <w:sz w:val="20"/>
                <w:szCs w:val="20"/>
                <w:color w:val="auto"/>
              </w:rPr>
            </w:pPr>
            <w:r>
              <w:rPr>
                <w:rFonts w:ascii="Arial" w:cs="Arial" w:eastAsia="Arial" w:hAnsi="Arial"/>
                <w:sz w:val="12"/>
                <w:szCs w:val="12"/>
                <w:color w:val="auto"/>
                <w:w w:val="88"/>
              </w:rPr>
              <w:t>0.26%</w:t>
            </w:r>
          </w:p>
        </w:tc>
        <w:tc>
          <w:tcPr>
            <w:tcW w:w="30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tcPr>
          <w:p>
            <w:pPr>
              <w:jc w:val="center"/>
              <w:ind w:right="42"/>
              <w:spacing w:after="0"/>
              <w:rPr>
                <w:sz w:val="20"/>
                <w:szCs w:val="20"/>
                <w:color w:val="auto"/>
              </w:rPr>
            </w:pPr>
            <w:r>
              <w:rPr>
                <w:rFonts w:ascii="Arial" w:cs="Arial" w:eastAsia="Arial" w:hAnsi="Arial"/>
                <w:sz w:val="12"/>
                <w:szCs w:val="12"/>
                <w:color w:val="auto"/>
                <w:w w:val="91"/>
              </w:rPr>
              <w:t>100%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Decrease (12)</w:t>
            </w:r>
          </w:p>
        </w:tc>
        <w:tc>
          <w:tcPr>
            <w:tcW w:w="0" w:type="dxa"/>
            <w:vAlign w:val="bottom"/>
          </w:tcPr>
          <w:p>
            <w:pPr>
              <w:spacing w:after="0"/>
              <w:rPr>
                <w:sz w:val="1"/>
                <w:szCs w:val="1"/>
                <w:color w:val="auto"/>
              </w:rPr>
            </w:pPr>
          </w:p>
        </w:tc>
      </w:tr>
      <w:tr>
        <w:trPr>
          <w:trHeight w:val="101"/>
        </w:trPr>
        <w:tc>
          <w:tcPr>
            <w:tcW w:w="2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6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Lapse rates:</w:t>
            </w: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2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ind w:left="180"/>
              <w:spacing w:after="0"/>
              <w:rPr>
                <w:sz w:val="20"/>
                <w:szCs w:val="20"/>
                <w:color w:val="auto"/>
              </w:rPr>
            </w:pPr>
            <w:r>
              <w:rPr>
                <w:rFonts w:ascii="Arial" w:cs="Arial" w:eastAsia="Arial" w:hAnsi="Arial"/>
                <w:sz w:val="12"/>
                <w:szCs w:val="12"/>
                <w:color w:val="auto"/>
              </w:rPr>
              <w:t>Durations 1 - 10</w:t>
            </w:r>
          </w:p>
        </w:tc>
        <w:tc>
          <w:tcPr>
            <w:tcW w:w="460" w:type="dxa"/>
            <w:vAlign w:val="bottom"/>
          </w:tcPr>
          <w:p>
            <w:pPr>
              <w:jc w:val="center"/>
              <w:ind w:left="42"/>
              <w:spacing w:after="0"/>
              <w:rPr>
                <w:sz w:val="20"/>
                <w:szCs w:val="20"/>
                <w:color w:val="auto"/>
              </w:rPr>
            </w:pPr>
            <w:r>
              <w:rPr>
                <w:rFonts w:ascii="Arial" w:cs="Arial" w:eastAsia="Arial" w:hAnsi="Arial"/>
                <w:sz w:val="12"/>
                <w:szCs w:val="12"/>
                <w:color w:val="auto"/>
                <w:w w:val="93"/>
              </w:rPr>
              <w:t>0.25%</w:t>
            </w:r>
          </w:p>
        </w:tc>
        <w:tc>
          <w:tcPr>
            <w:tcW w:w="30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tcPr>
          <w:p>
            <w:pPr>
              <w:jc w:val="center"/>
              <w:ind w:right="42"/>
              <w:spacing w:after="0"/>
              <w:rPr>
                <w:sz w:val="20"/>
                <w:szCs w:val="20"/>
                <w:color w:val="auto"/>
              </w:rPr>
            </w:pPr>
            <w:r>
              <w:rPr>
                <w:rFonts w:ascii="Arial" w:cs="Arial" w:eastAsia="Arial" w:hAnsi="Arial"/>
                <w:sz w:val="12"/>
                <w:szCs w:val="12"/>
                <w:color w:val="auto"/>
                <w:w w:val="91"/>
              </w:rPr>
              <w:t>100%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center"/>
              <w:ind w:left="22"/>
              <w:spacing w:after="0"/>
              <w:rPr>
                <w:sz w:val="20"/>
                <w:szCs w:val="20"/>
                <w:color w:val="auto"/>
              </w:rPr>
            </w:pPr>
            <w:r>
              <w:rPr>
                <w:rFonts w:ascii="Arial" w:cs="Arial" w:eastAsia="Arial" w:hAnsi="Arial"/>
                <w:sz w:val="12"/>
                <w:szCs w:val="12"/>
                <w:color w:val="auto"/>
                <w:w w:val="88"/>
              </w:rPr>
              <w:t>0.25%</w:t>
            </w:r>
          </w:p>
        </w:tc>
        <w:tc>
          <w:tcPr>
            <w:tcW w:w="30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tcPr>
          <w:p>
            <w:pPr>
              <w:jc w:val="center"/>
              <w:ind w:right="42"/>
              <w:spacing w:after="0"/>
              <w:rPr>
                <w:sz w:val="20"/>
                <w:szCs w:val="20"/>
                <w:color w:val="auto"/>
              </w:rPr>
            </w:pPr>
            <w:r>
              <w:rPr>
                <w:rFonts w:ascii="Arial" w:cs="Arial" w:eastAsia="Arial" w:hAnsi="Arial"/>
                <w:sz w:val="12"/>
                <w:szCs w:val="12"/>
                <w:color w:val="auto"/>
                <w:w w:val="91"/>
              </w:rPr>
              <w:t>100%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Decrease (13)</w:t>
            </w:r>
          </w:p>
        </w:tc>
        <w:tc>
          <w:tcPr>
            <w:tcW w:w="0" w:type="dxa"/>
            <w:vAlign w:val="bottom"/>
          </w:tcPr>
          <w:p>
            <w:pPr>
              <w:spacing w:after="0"/>
              <w:rPr>
                <w:sz w:val="1"/>
                <w:szCs w:val="1"/>
                <w:color w:val="auto"/>
              </w:rPr>
            </w:pPr>
          </w:p>
        </w:tc>
      </w:tr>
      <w:tr>
        <w:trPr>
          <w:trHeight w:val="101"/>
        </w:trPr>
        <w:tc>
          <w:tcPr>
            <w:tcW w:w="2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Durations 11 - 20</w:t>
            </w:r>
          </w:p>
        </w:tc>
        <w:tc>
          <w:tcPr>
            <w:tcW w:w="46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91"/>
              </w:rPr>
              <w:t>2%</w:t>
            </w:r>
          </w:p>
        </w:tc>
        <w:tc>
          <w:tcPr>
            <w:tcW w:w="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91"/>
              </w:rPr>
              <w:t>100%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91"/>
              </w:rPr>
              <w:t>2%</w:t>
            </w:r>
          </w:p>
        </w:tc>
        <w:tc>
          <w:tcPr>
            <w:tcW w:w="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91"/>
              </w:rPr>
              <w:t>100%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Decrease (13)</w:t>
            </w:r>
          </w:p>
        </w:tc>
        <w:tc>
          <w:tcPr>
            <w:tcW w:w="0" w:type="dxa"/>
            <w:vAlign w:val="bottom"/>
          </w:tcPr>
          <w:p>
            <w:pPr>
              <w:spacing w:after="0"/>
              <w:rPr>
                <w:sz w:val="1"/>
                <w:szCs w:val="1"/>
                <w:color w:val="auto"/>
              </w:rPr>
            </w:pPr>
          </w:p>
        </w:tc>
      </w:tr>
      <w:tr>
        <w:trPr>
          <w:trHeight w:val="101"/>
        </w:trPr>
        <w:tc>
          <w:tcPr>
            <w:tcW w:w="2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ind w:left="180"/>
              <w:spacing w:after="0"/>
              <w:rPr>
                <w:sz w:val="20"/>
                <w:szCs w:val="20"/>
                <w:color w:val="auto"/>
              </w:rPr>
            </w:pPr>
            <w:r>
              <w:rPr>
                <w:rFonts w:ascii="Arial" w:cs="Arial" w:eastAsia="Arial" w:hAnsi="Arial"/>
                <w:sz w:val="12"/>
                <w:szCs w:val="12"/>
                <w:color w:val="auto"/>
              </w:rPr>
              <w:t>Durations 21 - 116</w:t>
            </w:r>
          </w:p>
        </w:tc>
        <w:tc>
          <w:tcPr>
            <w:tcW w:w="460" w:type="dxa"/>
            <w:vAlign w:val="bottom"/>
          </w:tcPr>
          <w:p>
            <w:pPr>
              <w:jc w:val="center"/>
              <w:ind w:left="42"/>
              <w:spacing w:after="0"/>
              <w:rPr>
                <w:sz w:val="20"/>
                <w:szCs w:val="20"/>
                <w:color w:val="auto"/>
              </w:rPr>
            </w:pPr>
            <w:r>
              <w:rPr>
                <w:rFonts w:ascii="Arial" w:cs="Arial" w:eastAsia="Arial" w:hAnsi="Arial"/>
                <w:sz w:val="12"/>
                <w:szCs w:val="12"/>
                <w:color w:val="auto"/>
                <w:w w:val="91"/>
              </w:rPr>
              <w:t>2%</w:t>
            </w:r>
          </w:p>
        </w:tc>
        <w:tc>
          <w:tcPr>
            <w:tcW w:w="30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tcPr>
          <w:p>
            <w:pPr>
              <w:jc w:val="center"/>
              <w:ind w:right="42"/>
              <w:spacing w:after="0"/>
              <w:rPr>
                <w:sz w:val="20"/>
                <w:szCs w:val="20"/>
                <w:color w:val="auto"/>
              </w:rPr>
            </w:pPr>
            <w:r>
              <w:rPr>
                <w:rFonts w:ascii="Arial" w:cs="Arial" w:eastAsia="Arial" w:hAnsi="Arial"/>
                <w:sz w:val="12"/>
                <w:szCs w:val="12"/>
                <w:color w:val="auto"/>
                <w:w w:val="91"/>
              </w:rPr>
              <w:t>100%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center"/>
              <w:ind w:left="42"/>
              <w:spacing w:after="0"/>
              <w:rPr>
                <w:sz w:val="20"/>
                <w:szCs w:val="20"/>
                <w:color w:val="auto"/>
              </w:rPr>
            </w:pPr>
            <w:r>
              <w:rPr>
                <w:rFonts w:ascii="Arial" w:cs="Arial" w:eastAsia="Arial" w:hAnsi="Arial"/>
                <w:sz w:val="12"/>
                <w:szCs w:val="12"/>
                <w:color w:val="auto"/>
                <w:w w:val="91"/>
              </w:rPr>
              <w:t>2%</w:t>
            </w:r>
          </w:p>
        </w:tc>
        <w:tc>
          <w:tcPr>
            <w:tcW w:w="30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tcPr>
          <w:p>
            <w:pPr>
              <w:jc w:val="center"/>
              <w:ind w:right="42"/>
              <w:spacing w:after="0"/>
              <w:rPr>
                <w:sz w:val="20"/>
                <w:szCs w:val="20"/>
                <w:color w:val="auto"/>
              </w:rPr>
            </w:pPr>
            <w:r>
              <w:rPr>
                <w:rFonts w:ascii="Arial" w:cs="Arial" w:eastAsia="Arial" w:hAnsi="Arial"/>
                <w:sz w:val="12"/>
                <w:szCs w:val="12"/>
                <w:color w:val="auto"/>
                <w:w w:val="91"/>
              </w:rPr>
              <w:t>100%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Decrease (13)</w:t>
            </w:r>
          </w:p>
        </w:tc>
        <w:tc>
          <w:tcPr>
            <w:tcW w:w="0" w:type="dxa"/>
            <w:vAlign w:val="bottom"/>
          </w:tcPr>
          <w:p>
            <w:pPr>
              <w:spacing w:after="0"/>
              <w:rPr>
                <w:sz w:val="1"/>
                <w:szCs w:val="1"/>
                <w:color w:val="auto"/>
              </w:rPr>
            </w:pPr>
          </w:p>
        </w:tc>
      </w:tr>
      <w:tr>
        <w:trPr>
          <w:trHeight w:val="101"/>
        </w:trPr>
        <w:tc>
          <w:tcPr>
            <w:tcW w:w="2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6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Utilization rates</w:t>
            </w:r>
          </w:p>
        </w:tc>
        <w:tc>
          <w:tcPr>
            <w:tcW w:w="46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91"/>
              </w:rPr>
              <w:t>0%</w:t>
            </w:r>
          </w:p>
        </w:tc>
        <w:tc>
          <w:tcPr>
            <w:tcW w:w="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3"/>
              </w:rPr>
              <w:t>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91"/>
              </w:rPr>
              <w:t>0%</w:t>
            </w:r>
          </w:p>
        </w:tc>
        <w:tc>
          <w:tcPr>
            <w:tcW w:w="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shd w:val="clear" w:color="auto" w:fill="CCEEFF"/>
          </w:tcPr>
          <w:p>
            <w:pPr>
              <w:jc w:val="center"/>
              <w:ind w:right="62"/>
              <w:spacing w:after="0"/>
              <w:rPr>
                <w:sz w:val="20"/>
                <w:szCs w:val="20"/>
                <w:color w:val="auto"/>
              </w:rPr>
            </w:pPr>
            <w:r>
              <w:rPr>
                <w:rFonts w:ascii="Arial" w:cs="Arial" w:eastAsia="Arial" w:hAnsi="Arial"/>
                <w:sz w:val="12"/>
                <w:szCs w:val="12"/>
                <w:color w:val="auto"/>
                <w:w w:val="91"/>
              </w:rPr>
              <w:t>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Increase (14)</w:t>
            </w:r>
          </w:p>
        </w:tc>
        <w:tc>
          <w:tcPr>
            <w:tcW w:w="0" w:type="dxa"/>
            <w:vAlign w:val="bottom"/>
          </w:tcPr>
          <w:p>
            <w:pPr>
              <w:spacing w:after="0"/>
              <w:rPr>
                <w:sz w:val="1"/>
                <w:szCs w:val="1"/>
                <w:color w:val="auto"/>
              </w:rPr>
            </w:pPr>
          </w:p>
        </w:tc>
      </w:tr>
      <w:tr>
        <w:trPr>
          <w:trHeight w:val="101"/>
        </w:trPr>
        <w:tc>
          <w:tcPr>
            <w:tcW w:w="2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ind w:left="100"/>
              <w:spacing w:after="0"/>
              <w:rPr>
                <w:sz w:val="20"/>
                <w:szCs w:val="20"/>
                <w:color w:val="auto"/>
              </w:rPr>
            </w:pPr>
            <w:r>
              <w:rPr>
                <w:rFonts w:ascii="Arial" w:cs="Arial" w:eastAsia="Arial" w:hAnsi="Arial"/>
                <w:sz w:val="12"/>
                <w:szCs w:val="12"/>
                <w:color w:val="auto"/>
              </w:rPr>
              <w:t>•</w:t>
            </w:r>
          </w:p>
        </w:tc>
        <w:tc>
          <w:tcPr>
            <w:tcW w:w="1680" w:type="dxa"/>
            <w:vAlign w:val="bottom"/>
            <w:gridSpan w:val="2"/>
          </w:tcPr>
          <w:p>
            <w:pPr>
              <w:ind w:left="40"/>
              <w:spacing w:after="0"/>
              <w:rPr>
                <w:sz w:val="20"/>
                <w:szCs w:val="20"/>
                <w:color w:val="auto"/>
              </w:rPr>
            </w:pPr>
            <w:r>
              <w:rPr>
                <w:rFonts w:ascii="Arial" w:cs="Arial" w:eastAsia="Arial" w:hAnsi="Arial"/>
                <w:sz w:val="12"/>
                <w:szCs w:val="12"/>
                <w:color w:val="auto"/>
              </w:rPr>
              <w:t>Withdrawal rates</w:t>
            </w:r>
          </w:p>
        </w:tc>
        <w:tc>
          <w:tcPr>
            <w:tcW w:w="460" w:type="dxa"/>
            <w:vAlign w:val="bottom"/>
          </w:tcPr>
          <w:p>
            <w:pPr>
              <w:jc w:val="center"/>
              <w:ind w:left="42"/>
              <w:spacing w:after="0"/>
              <w:rPr>
                <w:sz w:val="20"/>
                <w:szCs w:val="20"/>
                <w:color w:val="auto"/>
              </w:rPr>
            </w:pPr>
            <w:r>
              <w:rPr>
                <w:rFonts w:ascii="Arial" w:cs="Arial" w:eastAsia="Arial" w:hAnsi="Arial"/>
                <w:sz w:val="12"/>
                <w:szCs w:val="12"/>
                <w:color w:val="auto"/>
                <w:w w:val="93"/>
              </w:rPr>
              <w:t>0.25%</w:t>
            </w:r>
          </w:p>
        </w:tc>
        <w:tc>
          <w:tcPr>
            <w:tcW w:w="30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tcPr>
          <w:p>
            <w:pPr>
              <w:jc w:val="center"/>
              <w:ind w:right="42"/>
              <w:spacing w:after="0"/>
              <w:rPr>
                <w:sz w:val="20"/>
                <w:szCs w:val="20"/>
                <w:color w:val="auto"/>
              </w:rPr>
            </w:pPr>
            <w:r>
              <w:rPr>
                <w:rFonts w:ascii="Arial" w:cs="Arial" w:eastAsia="Arial" w:hAnsi="Arial"/>
                <w:sz w:val="12"/>
                <w:szCs w:val="12"/>
                <w:color w:val="auto"/>
                <w:w w:val="83"/>
              </w:rPr>
              <w:t>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center"/>
              <w:ind w:left="22"/>
              <w:spacing w:after="0"/>
              <w:rPr>
                <w:sz w:val="20"/>
                <w:szCs w:val="20"/>
                <w:color w:val="auto"/>
              </w:rPr>
            </w:pPr>
            <w:r>
              <w:rPr>
                <w:rFonts w:ascii="Arial" w:cs="Arial" w:eastAsia="Arial" w:hAnsi="Arial"/>
                <w:sz w:val="12"/>
                <w:szCs w:val="12"/>
                <w:color w:val="auto"/>
                <w:w w:val="88"/>
              </w:rPr>
              <w:t>0.25%</w:t>
            </w:r>
          </w:p>
        </w:tc>
        <w:tc>
          <w:tcPr>
            <w:tcW w:w="30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tcPr>
          <w:p>
            <w:pPr>
              <w:jc w:val="center"/>
              <w:ind w:right="62"/>
              <w:spacing w:after="0"/>
              <w:rPr>
                <w:sz w:val="20"/>
                <w:szCs w:val="20"/>
                <w:color w:val="auto"/>
              </w:rPr>
            </w:pPr>
            <w:r>
              <w:rPr>
                <w:rFonts w:ascii="Arial" w:cs="Arial" w:eastAsia="Arial" w:hAnsi="Arial"/>
                <w:sz w:val="12"/>
                <w:szCs w:val="12"/>
                <w:color w:val="auto"/>
                <w:w w:val="91"/>
              </w:rPr>
              <w:t>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2"/>
                <w:szCs w:val="12"/>
                <w:color w:val="auto"/>
                <w:w w:val="84"/>
              </w:rPr>
              <w:t>(15)</w:t>
            </w:r>
          </w:p>
        </w:tc>
        <w:tc>
          <w:tcPr>
            <w:tcW w:w="0" w:type="dxa"/>
            <w:vAlign w:val="bottom"/>
          </w:tcPr>
          <w:p>
            <w:pPr>
              <w:spacing w:after="0"/>
              <w:rPr>
                <w:sz w:val="1"/>
                <w:szCs w:val="1"/>
                <w:color w:val="auto"/>
              </w:rPr>
            </w:pPr>
          </w:p>
        </w:tc>
      </w:tr>
      <w:tr>
        <w:trPr>
          <w:trHeight w:val="101"/>
        </w:trPr>
        <w:tc>
          <w:tcPr>
            <w:tcW w:w="2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6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Long-term equity volatilities</w:t>
            </w:r>
          </w:p>
        </w:tc>
        <w:tc>
          <w:tcPr>
            <w:tcW w:w="46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88"/>
              </w:rPr>
              <w:t>17.40%</w:t>
            </w:r>
          </w:p>
        </w:tc>
        <w:tc>
          <w:tcPr>
            <w:tcW w:w="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3"/>
              </w:rPr>
              <w:t>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88"/>
              </w:rPr>
              <w:t>17.40%</w:t>
            </w:r>
          </w:p>
        </w:tc>
        <w:tc>
          <w:tcPr>
            <w:tcW w:w="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shd w:val="clear" w:color="auto" w:fill="CCEEFF"/>
          </w:tcPr>
          <w:p>
            <w:pPr>
              <w:jc w:val="center"/>
              <w:ind w:right="62"/>
              <w:spacing w:after="0"/>
              <w:rPr>
                <w:sz w:val="20"/>
                <w:szCs w:val="20"/>
                <w:color w:val="auto"/>
              </w:rPr>
            </w:pPr>
            <w:r>
              <w:rPr>
                <w:rFonts w:ascii="Arial" w:cs="Arial" w:eastAsia="Arial" w:hAnsi="Arial"/>
                <w:sz w:val="12"/>
                <w:szCs w:val="12"/>
                <w:color w:val="auto"/>
                <w:w w:val="91"/>
              </w:rPr>
              <w:t>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Increase (16)</w:t>
            </w:r>
          </w:p>
        </w:tc>
        <w:tc>
          <w:tcPr>
            <w:tcW w:w="0" w:type="dxa"/>
            <w:vAlign w:val="bottom"/>
          </w:tcPr>
          <w:p>
            <w:pPr>
              <w:spacing w:after="0"/>
              <w:rPr>
                <w:sz w:val="1"/>
                <w:szCs w:val="1"/>
                <w:color w:val="auto"/>
              </w:rPr>
            </w:pPr>
          </w:p>
        </w:tc>
      </w:tr>
      <w:tr>
        <w:trPr>
          <w:trHeight w:val="101"/>
        </w:trPr>
        <w:tc>
          <w:tcPr>
            <w:tcW w:w="2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ind w:left="100"/>
              <w:spacing w:after="0"/>
              <w:rPr>
                <w:sz w:val="20"/>
                <w:szCs w:val="20"/>
                <w:color w:val="auto"/>
              </w:rPr>
            </w:pPr>
            <w:r>
              <w:rPr>
                <w:rFonts w:ascii="Arial" w:cs="Arial" w:eastAsia="Arial" w:hAnsi="Arial"/>
                <w:sz w:val="12"/>
                <w:szCs w:val="12"/>
                <w:color w:val="auto"/>
              </w:rPr>
              <w:t>•</w:t>
            </w:r>
          </w:p>
        </w:tc>
        <w:tc>
          <w:tcPr>
            <w:tcW w:w="1680" w:type="dxa"/>
            <w:vAlign w:val="bottom"/>
            <w:gridSpan w:val="2"/>
          </w:tcPr>
          <w:p>
            <w:pPr>
              <w:ind w:left="40"/>
              <w:spacing w:after="0"/>
              <w:rPr>
                <w:sz w:val="20"/>
                <w:szCs w:val="20"/>
                <w:color w:val="auto"/>
              </w:rPr>
            </w:pPr>
            <w:r>
              <w:rPr>
                <w:rFonts w:ascii="Arial" w:cs="Arial" w:eastAsia="Arial" w:hAnsi="Arial"/>
                <w:sz w:val="12"/>
                <w:szCs w:val="12"/>
                <w:color w:val="auto"/>
              </w:rPr>
              <w:t>Nonperformance risk spread</w:t>
            </w:r>
          </w:p>
        </w:tc>
        <w:tc>
          <w:tcPr>
            <w:tcW w:w="460" w:type="dxa"/>
            <w:vAlign w:val="bottom"/>
          </w:tcPr>
          <w:p>
            <w:pPr>
              <w:jc w:val="center"/>
              <w:ind w:left="42"/>
              <w:spacing w:after="0"/>
              <w:rPr>
                <w:sz w:val="20"/>
                <w:szCs w:val="20"/>
                <w:color w:val="auto"/>
              </w:rPr>
            </w:pPr>
            <w:r>
              <w:rPr>
                <w:rFonts w:ascii="Arial" w:cs="Arial" w:eastAsia="Arial" w:hAnsi="Arial"/>
                <w:sz w:val="12"/>
                <w:szCs w:val="12"/>
                <w:color w:val="auto"/>
                <w:w w:val="93"/>
              </w:rPr>
              <w:t>0.64%</w:t>
            </w:r>
          </w:p>
        </w:tc>
        <w:tc>
          <w:tcPr>
            <w:tcW w:w="30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tcPr>
          <w:p>
            <w:pPr>
              <w:jc w:val="center"/>
              <w:ind w:right="22"/>
              <w:spacing w:after="0"/>
              <w:rPr>
                <w:sz w:val="20"/>
                <w:szCs w:val="20"/>
                <w:color w:val="auto"/>
              </w:rPr>
            </w:pPr>
            <w:r>
              <w:rPr>
                <w:rFonts w:ascii="Arial" w:cs="Arial" w:eastAsia="Arial" w:hAnsi="Arial"/>
                <w:sz w:val="12"/>
                <w:szCs w:val="12"/>
                <w:color w:val="auto"/>
                <w:w w:val="88"/>
              </w:rPr>
              <w:t>1.43%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center"/>
              <w:ind w:left="22"/>
              <w:spacing w:after="0"/>
              <w:rPr>
                <w:sz w:val="20"/>
                <w:szCs w:val="20"/>
                <w:color w:val="auto"/>
              </w:rPr>
            </w:pPr>
            <w:r>
              <w:rPr>
                <w:rFonts w:ascii="Arial" w:cs="Arial" w:eastAsia="Arial" w:hAnsi="Arial"/>
                <w:sz w:val="12"/>
                <w:szCs w:val="12"/>
                <w:color w:val="auto"/>
                <w:w w:val="88"/>
              </w:rPr>
              <w:t>0.04%</w:t>
            </w:r>
          </w:p>
        </w:tc>
        <w:tc>
          <w:tcPr>
            <w:tcW w:w="30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460" w:type="dxa"/>
            <w:vAlign w:val="bottom"/>
          </w:tcPr>
          <w:p>
            <w:pPr>
              <w:jc w:val="center"/>
              <w:ind w:right="62"/>
              <w:spacing w:after="0"/>
              <w:rPr>
                <w:sz w:val="20"/>
                <w:szCs w:val="20"/>
                <w:color w:val="auto"/>
              </w:rPr>
            </w:pPr>
            <w:r>
              <w:rPr>
                <w:rFonts w:ascii="Arial" w:cs="Arial" w:eastAsia="Arial" w:hAnsi="Arial"/>
                <w:sz w:val="12"/>
                <w:szCs w:val="12"/>
                <w:color w:val="auto"/>
                <w:w w:val="88"/>
              </w:rPr>
              <w:t>0.57%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Decrease (17)</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113"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weighted average for fixed maturity securities is determined based on the estimated fair value of the securities.</w:t>
      </w:r>
    </w:p>
    <w:p>
      <w:pPr>
        <w:spacing w:after="0" w:line="117" w:lineRule="exact"/>
        <w:rPr>
          <w:rFonts w:ascii="Arial" w:cs="Arial" w:eastAsia="Arial" w:hAnsi="Arial"/>
          <w:sz w:val="18"/>
          <w:szCs w:val="18"/>
          <w:color w:val="auto"/>
        </w:rPr>
      </w:pPr>
    </w:p>
    <w:p>
      <w:pPr>
        <w:ind w:left="500" w:hanging="492"/>
        <w:spacing w:after="0" w:line="342" w:lineRule="auto"/>
        <w:tabs>
          <w:tab w:leader="none" w:pos="5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impact of a decrease in input would have the opposite impact on estimated fair value. For embedded derivatives, changes to direct and assumed guaranteed minimum benefits are based on liability positions; changes to ceded guaranteed minimum benefits are based on asset positions.</w:t>
      </w:r>
    </w:p>
    <w:p>
      <w:pPr>
        <w:spacing w:after="0" w:line="15" w:lineRule="exact"/>
        <w:rPr>
          <w:rFonts w:ascii="Arial" w:cs="Arial" w:eastAsia="Arial" w:hAnsi="Arial"/>
          <w:sz w:val="16"/>
          <w:szCs w:val="16"/>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Significant increases (decreases) in expected default rates in isolation would result in substantially lower (higher) valuations.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Range and weighted average are presented in accordance with the market convention for fixed maturity securities of dollars per hundred dollars of par.</w:t>
      </w:r>
    </w:p>
    <w:p>
      <w:pPr>
        <w:spacing w:after="0" w:line="140"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the assumptions used for the probability of default is accompanied by a directionally similar change in the assumption used for the loss severity and a directionally opposite change in the assumptions used for prepayment rates.</w:t>
      </w:r>
    </w:p>
    <w:p>
      <w:pPr>
        <w:sectPr>
          <w:pgSz w:w="11900" w:h="16838" w:orient="portrait"/>
          <w:cols w:equalWidth="0" w:num="1">
            <w:col w:w="11420"/>
          </w:cols>
          <w:pgMar w:left="240" w:top="229"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145</w:t>
      </w:r>
    </w:p>
    <w:p>
      <w:pPr>
        <w:sectPr>
          <w:pgSz w:w="11900" w:h="16838" w:orient="portrait"/>
          <w:cols w:equalWidth="0" w:num="1">
            <w:col w:w="11420"/>
          </w:cols>
          <w:pgMar w:left="240" w:top="229" w:right="239" w:bottom="1440" w:gutter="0" w:footer="0" w:header="0"/>
          <w:type w:val="continuous"/>
        </w:sectPr>
      </w:pPr>
    </w:p>
    <w:bookmarkStart w:id="146" w:name="page147"/>
    <w:bookmarkEnd w:id="1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(continued)</w:t>
      </w:r>
    </w:p>
    <w:p>
      <w:pPr>
        <w:spacing w:after="0" w:line="364"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Changes in estimated fair value are based on long U.S. dollar net asset positions and will be inversely impacted for short U.S. dollar net asset positions.</w:t>
      </w:r>
    </w:p>
    <w:p>
      <w:pPr>
        <w:spacing w:after="0" w:line="140" w:lineRule="exact"/>
        <w:rPr>
          <w:rFonts w:ascii="Arial" w:cs="Arial" w:eastAsia="Arial" w:hAnsi="Arial"/>
          <w:sz w:val="16"/>
          <w:szCs w:val="16"/>
          <w:color w:val="auto"/>
        </w:rPr>
      </w:pPr>
    </w:p>
    <w:p>
      <w:pPr>
        <w:ind w:left="500" w:hanging="492"/>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Ranges represent different repurchase rates utilized as components within the valuation methodology and are presented in basis points.</w:t>
      </w:r>
    </w:p>
    <w:p>
      <w:pPr>
        <w:spacing w:after="0" w:line="11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the risk quoted in basis points of a credit default event on the underlying instrument. Credit derivatives with significant unobservable inputs are primarily comprised of written credit default swaps.</w:t>
      </w:r>
    </w:p>
    <w:p>
      <w:pPr>
        <w:spacing w:after="0" w:line="6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December 31, 2017 and 2016, independent non-binding broker quotations were used in the determination of 1% and 3% of the total net derivative estimated fair value, respectively.</w:t>
      </w:r>
    </w:p>
    <w:p>
      <w:pPr>
        <w:spacing w:after="0" w:line="62"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Ranges represent the underlying equity volatility quoted in percentage points. Since this valuation methodology uses a range of inputs across multiple volatility surfaces to value the derivative, presenting a range is more representative of the unobservable input used in the valuation.</w:t>
      </w:r>
    </w:p>
    <w:p>
      <w:pPr>
        <w:spacing w:after="0" w:line="38" w:lineRule="exact"/>
        <w:rPr>
          <w:rFonts w:ascii="Arial" w:cs="Arial" w:eastAsia="Arial" w:hAnsi="Arial"/>
          <w:sz w:val="17"/>
          <w:szCs w:val="17"/>
          <w:color w:val="auto"/>
        </w:rPr>
      </w:pPr>
    </w:p>
    <w:p>
      <w:pPr>
        <w:jc w:val="both"/>
        <w:ind w:left="500" w:hanging="492"/>
        <w:spacing w:after="0" w:line="264"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Ranges represent the different correlation factors utilized as components within the valuation methodology. Presenting a range of correlation factors is more representative of the unobservable input used in the valuation. Increases (decreases) in correlation in isolation will increase (decrease) the significance of the change in valuations.</w:t>
      </w:r>
    </w:p>
    <w:p>
      <w:pPr>
        <w:spacing w:after="0" w:line="73" w:lineRule="exact"/>
        <w:rPr>
          <w:rFonts w:ascii="Arial" w:cs="Arial" w:eastAsia="Arial" w:hAnsi="Arial"/>
          <w:sz w:val="18"/>
          <w:szCs w:val="18"/>
          <w:color w:val="auto"/>
        </w:rPr>
      </w:pPr>
    </w:p>
    <w:p>
      <w:pPr>
        <w:jc w:val="both"/>
        <w:ind w:left="500" w:right="20" w:hanging="492"/>
        <w:spacing w:after="0" w:line="264"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Mortality rates vary by age and by demographic characteristics such as gender. Mortality rate assumptions are based on company experience. A mortality improvement assumption is also applied. For any given contract, mortality rates vary throughout the period over which cash flows are projected for purposes of valuing the embedded derivative.</w:t>
      </w:r>
    </w:p>
    <w:p>
      <w:pPr>
        <w:spacing w:after="0" w:line="73" w:lineRule="exact"/>
        <w:rPr>
          <w:rFonts w:ascii="Arial" w:cs="Arial" w:eastAsia="Arial" w:hAnsi="Arial"/>
          <w:sz w:val="18"/>
          <w:szCs w:val="18"/>
          <w:color w:val="auto"/>
        </w:rPr>
      </w:pPr>
    </w:p>
    <w:p>
      <w:pPr>
        <w:jc w:val="both"/>
        <w:ind w:left="500" w:hanging="492"/>
        <w:spacing w:after="0" w:line="257"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 lapse rates are adjusted at the contract level based on a comparison of the actuarially calculated guaranteed values and the current policyholder account value, as well as other factors, such as the applicability of any surrender charges. A dynamic lapse function reduces the base lapse rate when the guaranteed amount is greater than the account value as in the money contracts are less likely to lapse. Lapse rates are also generally assumed to be lower in periods when a surrender charge applies. For any given contract, lapse rates vary throughout the period over which cash flows are projected for purposes of valuing the embedded derivative.</w:t>
      </w:r>
    </w:p>
    <w:p>
      <w:pPr>
        <w:spacing w:after="0" w:line="80"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utilization rate assumption estimates the percentage of contract holders with a GMIB or lifetime withdrawal benefit who will elect to utilize the benefit upon becoming eligible. The rates may vary by the type of guarantee, the amount by which the guaranteed amount is greater than the account value, the contract’s withdrawal history and by the age of the policyholder. For any given contract, utilization rates vary throughout the period over which cash flows are projected for purposes of valuing the embedded derivative.</w:t>
      </w:r>
    </w:p>
    <w:p>
      <w:pPr>
        <w:spacing w:after="0" w:line="78" w:lineRule="exact"/>
        <w:rPr>
          <w:rFonts w:ascii="Arial" w:cs="Arial" w:eastAsia="Arial" w:hAnsi="Arial"/>
          <w:sz w:val="18"/>
          <w:szCs w:val="18"/>
          <w:color w:val="auto"/>
        </w:rPr>
      </w:pPr>
    </w:p>
    <w:p>
      <w:pPr>
        <w:jc w:val="both"/>
        <w:ind w:left="500" w:hanging="492"/>
        <w:spacing w:after="0" w:line="276" w:lineRule="auto"/>
        <w:tabs>
          <w:tab w:leader="none" w:pos="5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GMWBs, any increase (decrease) in withdrawal rates results in an increase (decrease) in the estimated fair value of the guarantees. For GMABs and GMIBs, any increase (decrease) in withdrawal rates results in a decrease (increase) in the estimated fair value.</w:t>
      </w:r>
    </w:p>
    <w:p>
      <w:pPr>
        <w:spacing w:after="0" w:line="64" w:lineRule="exact"/>
        <w:rPr>
          <w:rFonts w:ascii="Arial" w:cs="Arial" w:eastAsia="Arial" w:hAnsi="Arial"/>
          <w:sz w:val="17"/>
          <w:szCs w:val="17"/>
          <w:color w:val="auto"/>
        </w:rPr>
      </w:pPr>
    </w:p>
    <w:p>
      <w:pPr>
        <w:ind w:left="500" w:hanging="492"/>
        <w:spacing w:after="0" w:line="342" w:lineRule="auto"/>
        <w:tabs>
          <w:tab w:leader="none" w:pos="5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Long-term equity volatilities represent equity volatility beyond the period for which observable equity volatilities are available. For any given contract, long-term equity volatility rates vary throughout the period over which cash flows are projected for purposes of valuing the embedded derivative.</w:t>
      </w:r>
    </w:p>
    <w:p>
      <w:pPr>
        <w:spacing w:after="0" w:line="15"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Nonperformance risk spread varies by duration and by currency. For any given contract, multiple nonperformance risk spreads will apply, depending on the duration of the cash flow being discounted for purposes of valuing the embedded derivative.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22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(continued)</w:t>
      </w:r>
    </w:p>
    <w:p>
      <w:pPr>
        <w:spacing w:after="0" w:line="364"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The following is a summary of the valuation techniques and significant unobservable inputs used in the fair value measurement of assets and liabilities classified within Level 3 that are not included in the preceding table. Generally, all other classes of securities classified within Level 3, including those within separate account assets and embedded derivatives within funds withheld related to certain assumed reinsurance, use the same valuation techniques and significant unobservable inputs as previously described for Level 3 securities. This includes matrix pricing and discounted cash flow methodologies, inputs such as quoted prices for identical or similar securities that are less liquid and based on lower levels of trading activity than securities classified in Level 2, as well as independent non-binding broker quotations. The sensitivity of the estimated fair value to changes in the significant unobservable inputs for these other assets and liabilities is similar in nature to that described in the preceding table.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22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(continued)</w:t>
      </w:r>
    </w:p>
    <w:p>
      <w:pPr>
        <w:spacing w:after="0" w:line="364"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following tables summarize the change of all assets and (liabilities) measured at estimated fair value on a recurring basis using significant unobservable inputs (Level 3):</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60" w:type="dxa"/>
            <w:vAlign w:val="bottom"/>
            <w:gridSpan w:val="12"/>
          </w:tcPr>
          <w:p>
            <w:pPr>
              <w:jc w:val="center"/>
              <w:ind w:left="538"/>
              <w:spacing w:after="0"/>
              <w:rPr>
                <w:sz w:val="20"/>
                <w:szCs w:val="20"/>
                <w:color w:val="auto"/>
              </w:rPr>
            </w:pPr>
            <w:r>
              <w:rPr>
                <w:rFonts w:ascii="Arial" w:cs="Arial" w:eastAsia="Arial" w:hAnsi="Arial"/>
                <w:sz w:val="11"/>
                <w:szCs w:val="11"/>
                <w:b w:val="1"/>
                <w:bCs w:val="1"/>
                <w:color w:val="auto"/>
                <w:w w:val="88"/>
              </w:rPr>
              <w:t>Fair Value Measurements Using Significant Unobservable Inputs (Level 3)</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1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5"/>
          </w:tcPr>
          <w:p>
            <w:pPr>
              <w:ind w:left="140"/>
              <w:spacing w:after="0"/>
              <w:rPr>
                <w:sz w:val="20"/>
                <w:szCs w:val="20"/>
                <w:color w:val="auto"/>
              </w:rPr>
            </w:pPr>
            <w:r>
              <w:rPr>
                <w:rFonts w:ascii="Arial" w:cs="Arial" w:eastAsia="Arial" w:hAnsi="Arial"/>
                <w:sz w:val="11"/>
                <w:szCs w:val="11"/>
                <w:b w:val="1"/>
                <w:bCs w:val="1"/>
                <w:color w:val="auto"/>
              </w:rPr>
              <w:t>Fixed Maturity Securities</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8"/>
              </w:rPr>
              <w:t>State and</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58"/>
              <w:spacing w:after="0"/>
              <w:rPr>
                <w:sz w:val="20"/>
                <w:szCs w:val="20"/>
                <w:color w:val="auto"/>
              </w:rPr>
            </w:pPr>
            <w:r>
              <w:rPr>
                <w:rFonts w:ascii="Arial" w:cs="Arial" w:eastAsia="Arial" w:hAnsi="Arial"/>
                <w:sz w:val="11"/>
                <w:szCs w:val="11"/>
                <w:b w:val="1"/>
                <w:bCs w:val="1"/>
                <w:color w:val="auto"/>
                <w:w w:val="90"/>
              </w:rPr>
              <w:t>Separate</w:t>
            </w: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Structured</w:t>
            </w:r>
          </w:p>
        </w:tc>
        <w:tc>
          <w:tcPr>
            <w:tcW w:w="140" w:type="dxa"/>
            <w:vAlign w:val="bottom"/>
          </w:tcPr>
          <w:p>
            <w:pPr>
              <w:spacing w:after="0"/>
              <w:rPr>
                <w:sz w:val="10"/>
                <w:szCs w:val="10"/>
                <w:color w:val="auto"/>
              </w:rPr>
            </w:pPr>
          </w:p>
        </w:tc>
        <w:tc>
          <w:tcPr>
            <w:tcW w:w="9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Political</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Foreign</w:t>
            </w:r>
          </w:p>
        </w:tc>
        <w:tc>
          <w:tcPr>
            <w:tcW w:w="140" w:type="dxa"/>
            <w:vAlign w:val="bottom"/>
          </w:tcPr>
          <w:p>
            <w:pPr>
              <w:spacing w:after="0"/>
              <w:rPr>
                <w:sz w:val="10"/>
                <w:szCs w:val="10"/>
                <w:color w:val="auto"/>
              </w:rPr>
            </w:pPr>
          </w:p>
        </w:tc>
        <w:tc>
          <w:tcPr>
            <w:tcW w:w="7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5"/>
              </w:rPr>
              <w:t>Equity</w:t>
            </w:r>
          </w:p>
        </w:tc>
        <w:tc>
          <w:tcPr>
            <w:tcW w:w="120" w:type="dxa"/>
            <w:vAlign w:val="bottom"/>
          </w:tcPr>
          <w:p>
            <w:pPr>
              <w:spacing w:after="0"/>
              <w:rPr>
                <w:sz w:val="10"/>
                <w:szCs w:val="10"/>
                <w:color w:val="auto"/>
              </w:rPr>
            </w:pPr>
          </w:p>
        </w:tc>
        <w:tc>
          <w:tcPr>
            <w:tcW w:w="8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Short Term</w:t>
            </w:r>
          </w:p>
        </w:tc>
        <w:tc>
          <w:tcPr>
            <w:tcW w:w="200" w:type="dxa"/>
            <w:vAlign w:val="bottom"/>
          </w:tcPr>
          <w:p>
            <w:pPr>
              <w:spacing w:after="0"/>
              <w:rPr>
                <w:sz w:val="10"/>
                <w:szCs w:val="10"/>
                <w:color w:val="auto"/>
              </w:rPr>
            </w:pPr>
          </w:p>
        </w:tc>
        <w:tc>
          <w:tcPr>
            <w:tcW w:w="10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0"/>
              </w:rPr>
              <w:t>Net</w:t>
            </w:r>
          </w:p>
        </w:tc>
        <w:tc>
          <w:tcPr>
            <w:tcW w:w="160" w:type="dxa"/>
            <w:vAlign w:val="bottom"/>
          </w:tcPr>
          <w:p>
            <w:pPr>
              <w:spacing w:after="0"/>
              <w:rPr>
                <w:sz w:val="10"/>
                <w:szCs w:val="10"/>
                <w:color w:val="auto"/>
              </w:rPr>
            </w:pPr>
          </w:p>
        </w:tc>
        <w:tc>
          <w:tcPr>
            <w:tcW w:w="1080" w:type="dxa"/>
            <w:vAlign w:val="bottom"/>
            <w:gridSpan w:val="2"/>
          </w:tcPr>
          <w:p>
            <w:pPr>
              <w:jc w:val="right"/>
              <w:ind w:right="320"/>
              <w:spacing w:after="0" w:line="122" w:lineRule="exact"/>
              <w:rPr>
                <w:sz w:val="20"/>
                <w:szCs w:val="20"/>
                <w:color w:val="auto"/>
              </w:rPr>
            </w:pPr>
            <w:r>
              <w:rPr>
                <w:rFonts w:ascii="Arial" w:cs="Arial" w:eastAsia="Arial" w:hAnsi="Arial"/>
                <w:sz w:val="11"/>
                <w:szCs w:val="11"/>
                <w:b w:val="1"/>
                <w:bCs w:val="1"/>
                <w:color w:val="auto"/>
                <w:w w:val="96"/>
              </w:rPr>
              <w:t>Net Embedded</w:t>
            </w:r>
          </w:p>
        </w:tc>
        <w:tc>
          <w:tcPr>
            <w:tcW w:w="120" w:type="dxa"/>
            <w:vAlign w:val="bottom"/>
          </w:tcPr>
          <w:p>
            <w:pPr>
              <w:spacing w:after="0"/>
              <w:rPr>
                <w:sz w:val="10"/>
                <w:szCs w:val="10"/>
                <w:color w:val="auto"/>
              </w:rPr>
            </w:pPr>
          </w:p>
        </w:tc>
        <w:tc>
          <w:tcPr>
            <w:tcW w:w="660" w:type="dxa"/>
            <w:vAlign w:val="bottom"/>
          </w:tcPr>
          <w:p>
            <w:pPr>
              <w:jc w:val="center"/>
              <w:ind w:right="58"/>
              <w:spacing w:after="0" w:line="122" w:lineRule="exact"/>
              <w:rPr>
                <w:sz w:val="20"/>
                <w:szCs w:val="20"/>
                <w:color w:val="auto"/>
              </w:rPr>
            </w:pPr>
            <w:r>
              <w:rPr>
                <w:rFonts w:ascii="Arial" w:cs="Arial" w:eastAsia="Arial" w:hAnsi="Arial"/>
                <w:sz w:val="11"/>
                <w:szCs w:val="11"/>
                <w:b w:val="1"/>
                <w:bCs w:val="1"/>
                <w:color w:val="auto"/>
                <w:w w:val="86"/>
              </w:rPr>
              <w:t>Account</w:t>
            </w:r>
          </w:p>
        </w:tc>
        <w:tc>
          <w:tcPr>
            <w:tcW w:w="0" w:type="dxa"/>
            <w:vAlign w:val="bottom"/>
          </w:tcPr>
          <w:p>
            <w:pPr>
              <w:spacing w:after="0"/>
              <w:rPr>
                <w:sz w:val="1"/>
                <w:szCs w:val="1"/>
                <w:color w:val="auto"/>
              </w:rPr>
            </w:pPr>
          </w:p>
        </w:tc>
      </w:tr>
      <w:tr>
        <w:trPr>
          <w:trHeight w:val="140"/>
        </w:trPr>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Corporate (1)</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7"/>
              </w:rPr>
              <w:t>Securities</w:t>
            </w:r>
          </w:p>
        </w:tc>
        <w:tc>
          <w:tcPr>
            <w:tcW w:w="14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Subdivision</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Government</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Securities</w:t>
            </w:r>
          </w:p>
        </w:tc>
        <w:tc>
          <w:tcPr>
            <w:tcW w:w="120" w:type="dxa"/>
            <w:vAlign w:val="bottom"/>
          </w:tcPr>
          <w:p>
            <w:pPr>
              <w:spacing w:after="0"/>
              <w:rPr>
                <w:sz w:val="12"/>
                <w:szCs w:val="12"/>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Investments</w:t>
            </w:r>
          </w:p>
        </w:tc>
        <w:tc>
          <w:tcPr>
            <w:tcW w:w="200" w:type="dxa"/>
            <w:vAlign w:val="bottom"/>
          </w:tcPr>
          <w:p>
            <w:pPr>
              <w:spacing w:after="0"/>
              <w:rPr>
                <w:sz w:val="12"/>
                <w:szCs w:val="12"/>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0"/>
              </w:rPr>
              <w:t>Derivatives (2)</w:t>
            </w:r>
          </w:p>
        </w:tc>
        <w:tc>
          <w:tcPr>
            <w:tcW w:w="160" w:type="dxa"/>
            <w:vAlign w:val="bottom"/>
          </w:tcPr>
          <w:p>
            <w:pPr>
              <w:spacing w:after="0"/>
              <w:rPr>
                <w:sz w:val="12"/>
                <w:szCs w:val="12"/>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w w:val="95"/>
              </w:rPr>
              <w:t>Derivatives (3)</w:t>
            </w:r>
          </w:p>
        </w:tc>
        <w:tc>
          <w:tcPr>
            <w:tcW w:w="120" w:type="dxa"/>
            <w:vAlign w:val="bottom"/>
          </w:tcPr>
          <w:p>
            <w:pPr>
              <w:spacing w:after="0"/>
              <w:rPr>
                <w:sz w:val="12"/>
                <w:szCs w:val="12"/>
                <w:color w:val="auto"/>
              </w:rPr>
            </w:pPr>
          </w:p>
        </w:tc>
        <w:tc>
          <w:tcPr>
            <w:tcW w:w="660" w:type="dxa"/>
            <w:vAlign w:val="bottom"/>
          </w:tcPr>
          <w:p>
            <w:pPr>
              <w:jc w:val="center"/>
              <w:ind w:right="78"/>
              <w:spacing w:after="0"/>
              <w:rPr>
                <w:sz w:val="20"/>
                <w:szCs w:val="20"/>
                <w:color w:val="auto"/>
              </w:rPr>
            </w:pPr>
            <w:r>
              <w:rPr>
                <w:rFonts w:ascii="Arial" w:cs="Arial" w:eastAsia="Arial" w:hAnsi="Arial"/>
                <w:sz w:val="11"/>
                <w:szCs w:val="11"/>
                <w:b w:val="1"/>
                <w:bCs w:val="1"/>
                <w:color w:val="auto"/>
                <w:w w:val="83"/>
              </w:rPr>
              <w:t>Assets (4)</w:t>
            </w:r>
          </w:p>
        </w:tc>
        <w:tc>
          <w:tcPr>
            <w:tcW w:w="0" w:type="dxa"/>
            <w:vAlign w:val="bottom"/>
          </w:tcPr>
          <w:p>
            <w:pPr>
              <w:spacing w:after="0"/>
              <w:rPr>
                <w:sz w:val="1"/>
                <w:szCs w:val="1"/>
                <w:color w:val="auto"/>
              </w:rPr>
            </w:pPr>
          </w:p>
        </w:tc>
      </w:tr>
      <w:tr>
        <w:trPr>
          <w:trHeight w:val="22"/>
        </w:trPr>
        <w:tc>
          <w:tcPr>
            <w:tcW w:w="1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90"/>
              </w:rPr>
              <w:t>(In millions)</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January 1, 2016</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1,996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48"/>
        </w:trPr>
        <w:tc>
          <w:tcPr>
            <w:tcW w:w="1840" w:type="dxa"/>
            <w:vAlign w:val="bottom"/>
          </w:tcPr>
          <w:p>
            <w:pPr>
              <w:ind w:left="40"/>
              <w:spacing w:after="0" w:line="148" w:lineRule="exact"/>
              <w:rPr>
                <w:sz w:val="20"/>
                <w:szCs w:val="20"/>
                <w:color w:val="auto"/>
              </w:rPr>
            </w:pPr>
            <w:r>
              <w:rPr>
                <w:rFonts w:ascii="Arial" w:cs="Arial" w:eastAsia="Arial" w:hAnsi="Arial"/>
                <w:sz w:val="13"/>
                <w:szCs w:val="13"/>
                <w:color w:val="auto"/>
              </w:rPr>
              <w:t>Total realized/unrealized gains</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200"/>
              <w:spacing w:after="0" w:line="135" w:lineRule="exact"/>
              <w:rPr>
                <w:sz w:val="20"/>
                <w:szCs w:val="20"/>
                <w:color w:val="auto"/>
              </w:rPr>
            </w:pPr>
            <w:r>
              <w:rPr>
                <w:rFonts w:ascii="Arial" w:cs="Arial" w:eastAsia="Arial" w:hAnsi="Arial"/>
                <w:sz w:val="13"/>
                <w:szCs w:val="13"/>
                <w:color w:val="auto"/>
                <w:w w:val="90"/>
              </w:rPr>
              <w:t>(losses) included in net income</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840" w:type="dxa"/>
            <w:vAlign w:val="bottom"/>
          </w:tcPr>
          <w:p>
            <w:pPr>
              <w:ind w:left="200"/>
              <w:spacing w:after="0"/>
              <w:rPr>
                <w:sz w:val="20"/>
                <w:szCs w:val="20"/>
                <w:color w:val="auto"/>
              </w:rPr>
            </w:pPr>
            <w:r>
              <w:rPr>
                <w:rFonts w:ascii="Arial" w:cs="Arial" w:eastAsia="Arial" w:hAnsi="Arial"/>
                <w:sz w:val="13"/>
                <w:szCs w:val="13"/>
                <w:color w:val="auto"/>
              </w:rPr>
              <w:t>(loss) (5) (6)</w:t>
            </w:r>
          </w:p>
        </w:tc>
        <w:tc>
          <w:tcPr>
            <w:tcW w:w="18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(703)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(1,760)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realized/unrealized gains</w:t>
            </w: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(losses) included in AOCI</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1840" w:type="dxa"/>
            <w:vAlign w:val="bottom"/>
          </w:tcPr>
          <w:p>
            <w:pPr>
              <w:ind w:left="40"/>
              <w:spacing w:after="0"/>
              <w:rPr>
                <w:sz w:val="20"/>
                <w:szCs w:val="20"/>
                <w:color w:val="auto"/>
              </w:rPr>
            </w:pPr>
            <w:r>
              <w:rPr>
                <w:rFonts w:ascii="Arial" w:cs="Arial" w:eastAsia="Arial" w:hAnsi="Arial"/>
                <w:sz w:val="13"/>
                <w:szCs w:val="13"/>
                <w:color w:val="auto"/>
              </w:rPr>
              <w:t>Purchases (7)</w:t>
            </w:r>
          </w:p>
        </w:tc>
        <w:tc>
          <w:tcPr>
            <w:tcW w:w="18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584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600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38"/>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78"/>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Sales (7)</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(443)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(598)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262"/>
        </w:trPr>
        <w:tc>
          <w:tcPr>
            <w:tcW w:w="1840" w:type="dxa"/>
            <w:vAlign w:val="bottom"/>
          </w:tcPr>
          <w:p>
            <w:pPr>
              <w:ind w:left="40"/>
              <w:spacing w:after="0"/>
              <w:rPr>
                <w:sz w:val="20"/>
                <w:szCs w:val="20"/>
                <w:color w:val="auto"/>
              </w:rPr>
            </w:pPr>
            <w:r>
              <w:rPr>
                <w:rFonts w:ascii="Arial" w:cs="Arial" w:eastAsia="Arial" w:hAnsi="Arial"/>
                <w:sz w:val="13"/>
                <w:szCs w:val="13"/>
                <w:color w:val="auto"/>
              </w:rPr>
              <w:t>Issuances (7)</w:t>
            </w: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Settlements (7)</w:t>
            </w: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1840" w:type="dxa"/>
            <w:vAlign w:val="bottom"/>
          </w:tcPr>
          <w:p>
            <w:pPr>
              <w:ind w:left="40"/>
              <w:spacing w:after="0"/>
              <w:rPr>
                <w:sz w:val="20"/>
                <w:szCs w:val="20"/>
                <w:color w:val="auto"/>
              </w:rPr>
            </w:pPr>
            <w:r>
              <w:rPr>
                <w:rFonts w:ascii="Arial" w:cs="Arial" w:eastAsia="Arial" w:hAnsi="Arial"/>
                <w:sz w:val="13"/>
                <w:szCs w:val="13"/>
                <w:color w:val="auto"/>
              </w:rPr>
              <w:t>Transfers into Level 3 (8)</w:t>
            </w:r>
          </w:p>
        </w:tc>
        <w:tc>
          <w:tcPr>
            <w:tcW w:w="18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8"/>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2"/>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Transfers out of Level 3 (8)</w:t>
            </w: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(325)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(366)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49"/>
        </w:trPr>
        <w:tc>
          <w:tcPr>
            <w:tcW w:w="1840" w:type="dxa"/>
            <w:vAlign w:val="bottom"/>
          </w:tcPr>
          <w:p>
            <w:pPr>
              <w:ind w:left="40"/>
              <w:spacing w:after="0"/>
              <w:rPr>
                <w:sz w:val="20"/>
                <w:szCs w:val="20"/>
                <w:color w:val="auto"/>
              </w:rPr>
            </w:pPr>
            <w:r>
              <w:rPr>
                <w:rFonts w:ascii="Arial" w:cs="Arial" w:eastAsia="Arial" w:hAnsi="Arial"/>
                <w:sz w:val="13"/>
                <w:szCs w:val="13"/>
                <w:color w:val="auto"/>
              </w:rPr>
              <w:t>Balance, December 31, 2016</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2,310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1,695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8"/>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137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1"/>
                <w:szCs w:val="21"/>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(2,761)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6"/>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realized/unrealized gains</w:t>
            </w: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90"/>
              </w:rPr>
              <w:t>(losses) included in net income</w:t>
            </w: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(loss) (5) (6)</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1,233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840" w:type="dxa"/>
            <w:vAlign w:val="bottom"/>
          </w:tcPr>
          <w:p>
            <w:pPr>
              <w:ind w:left="40"/>
              <w:spacing w:after="0" w:line="148" w:lineRule="exact"/>
              <w:rPr>
                <w:sz w:val="20"/>
                <w:szCs w:val="20"/>
                <w:color w:val="auto"/>
              </w:rPr>
            </w:pPr>
            <w:r>
              <w:rPr>
                <w:rFonts w:ascii="Arial" w:cs="Arial" w:eastAsia="Arial" w:hAnsi="Arial"/>
                <w:sz w:val="13"/>
                <w:szCs w:val="13"/>
                <w:color w:val="auto"/>
              </w:rPr>
              <w:t>Total realized/unrealized gains</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840" w:type="dxa"/>
            <w:vAlign w:val="bottom"/>
          </w:tcPr>
          <w:p>
            <w:pPr>
              <w:ind w:left="200"/>
              <w:spacing w:after="0"/>
              <w:rPr>
                <w:sz w:val="20"/>
                <w:szCs w:val="20"/>
                <w:color w:val="auto"/>
              </w:rPr>
            </w:pPr>
            <w:r>
              <w:rPr>
                <w:rFonts w:ascii="Arial" w:cs="Arial" w:eastAsia="Arial" w:hAnsi="Arial"/>
                <w:sz w:val="13"/>
                <w:szCs w:val="13"/>
                <w:color w:val="auto"/>
              </w:rPr>
              <w:t>(losses) included in AOCI</w:t>
            </w:r>
          </w:p>
        </w:tc>
        <w:tc>
          <w:tcPr>
            <w:tcW w:w="18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127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Purchases (7)</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62"/>
        </w:trPr>
        <w:tc>
          <w:tcPr>
            <w:tcW w:w="1840" w:type="dxa"/>
            <w:vAlign w:val="bottom"/>
          </w:tcPr>
          <w:p>
            <w:pPr>
              <w:ind w:left="40"/>
              <w:spacing w:after="0"/>
              <w:rPr>
                <w:sz w:val="20"/>
                <w:szCs w:val="20"/>
                <w:color w:val="auto"/>
              </w:rPr>
            </w:pPr>
            <w:r>
              <w:rPr>
                <w:rFonts w:ascii="Arial" w:cs="Arial" w:eastAsia="Arial" w:hAnsi="Arial"/>
                <w:sz w:val="13"/>
                <w:szCs w:val="13"/>
                <w:color w:val="auto"/>
              </w:rPr>
              <w:t>Sales (7)</w:t>
            </w:r>
          </w:p>
        </w:tc>
        <w:tc>
          <w:tcPr>
            <w:tcW w:w="18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(222)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18"/>
              <w:spacing w:after="0"/>
              <w:rPr>
                <w:sz w:val="20"/>
                <w:szCs w:val="20"/>
                <w:color w:val="auto"/>
              </w:rPr>
            </w:pPr>
            <w:r>
              <w:rPr>
                <w:rFonts w:ascii="Arial" w:cs="Arial" w:eastAsia="Arial" w:hAnsi="Arial"/>
                <w:sz w:val="13"/>
                <w:szCs w:val="13"/>
                <w:color w:val="auto"/>
              </w:rPr>
              <w:t>(526)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60" w:type="dxa"/>
            <w:vAlign w:val="bottom"/>
          </w:tcPr>
          <w:p>
            <w:pPr>
              <w:jc w:val="right"/>
              <w:ind w:right="18"/>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18"/>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78"/>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Issuances (7)</w:t>
            </w: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1840" w:type="dxa"/>
            <w:vAlign w:val="bottom"/>
          </w:tcPr>
          <w:p>
            <w:pPr>
              <w:ind w:left="40"/>
              <w:spacing w:after="0"/>
              <w:rPr>
                <w:sz w:val="20"/>
                <w:szCs w:val="20"/>
                <w:color w:val="auto"/>
              </w:rPr>
            </w:pPr>
            <w:r>
              <w:rPr>
                <w:rFonts w:ascii="Arial" w:cs="Arial" w:eastAsia="Arial" w:hAnsi="Arial"/>
                <w:sz w:val="13"/>
                <w:szCs w:val="13"/>
                <w:color w:val="auto"/>
              </w:rPr>
              <w:t>Settlements (7)</w:t>
            </w: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920" w:type="dxa"/>
            <w:vAlign w:val="bottom"/>
          </w:tcPr>
          <w:p>
            <w:pPr>
              <w:jc w:val="right"/>
              <w:ind w:right="38"/>
              <w:spacing w:after="0"/>
              <w:rPr>
                <w:sz w:val="20"/>
                <w:szCs w:val="20"/>
                <w:color w:val="auto"/>
              </w:rPr>
            </w:pPr>
            <w:r>
              <w:rPr>
                <w:rFonts w:ascii="Arial" w:cs="Arial" w:eastAsia="Arial" w:hAnsi="Arial"/>
                <w:sz w:val="13"/>
                <w:szCs w:val="13"/>
                <w:color w:val="auto"/>
              </w:rPr>
              <w:t>579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(479)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8"/>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Transfers into Level 3 (8)</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64"/>
        </w:trPr>
        <w:tc>
          <w:tcPr>
            <w:tcW w:w="18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Transfers out of Level 3 (8)</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(895)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(144)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(17)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42"/>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December 31, 2017</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1,937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1,222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bottom w:val="single" w:sz="8" w:color="CCEEFF"/>
            </w:tcBorders>
            <w:vMerge w:val="restart"/>
          </w:tcPr>
          <w:p>
            <w:pPr>
              <w:ind w:left="40"/>
              <w:spacing w:after="0" w:line="143" w:lineRule="exact"/>
              <w:rPr>
                <w:sz w:val="20"/>
                <w:szCs w:val="20"/>
                <w:color w:val="auto"/>
              </w:rPr>
            </w:pPr>
            <w:r>
              <w:rPr>
                <w:rFonts w:ascii="Arial" w:cs="Arial" w:eastAsia="Arial" w:hAnsi="Arial"/>
                <w:sz w:val="13"/>
                <w:szCs w:val="13"/>
                <w:color w:val="auto"/>
              </w:rPr>
              <w:t>Changes in unrealized gains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8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200"/>
              <w:spacing w:after="0" w:line="135" w:lineRule="exact"/>
              <w:rPr>
                <w:sz w:val="20"/>
                <w:szCs w:val="20"/>
                <w:color w:val="auto"/>
              </w:rPr>
            </w:pPr>
            <w:r>
              <w:rPr>
                <w:rFonts w:ascii="Arial" w:cs="Arial" w:eastAsia="Arial" w:hAnsi="Arial"/>
                <w:sz w:val="13"/>
                <w:szCs w:val="13"/>
                <w:color w:val="auto"/>
                <w:w w:val="90"/>
              </w:rPr>
              <w:t>(losses) included in net income</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200"/>
              <w:spacing w:after="0" w:line="135" w:lineRule="exact"/>
              <w:rPr>
                <w:sz w:val="20"/>
                <w:szCs w:val="20"/>
                <w:color w:val="auto"/>
              </w:rPr>
            </w:pPr>
            <w:r>
              <w:rPr>
                <w:rFonts w:ascii="Arial" w:cs="Arial" w:eastAsia="Arial" w:hAnsi="Arial"/>
                <w:sz w:val="13"/>
                <w:szCs w:val="13"/>
                <w:color w:val="auto"/>
                <w:w w:val="97"/>
              </w:rPr>
              <w:t>(loss) for the instruments still</w:t>
            </w:r>
          </w:p>
        </w:tc>
        <w:tc>
          <w:tcPr>
            <w:tcW w:w="1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5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58"/>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(310)</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2"/>
        </w:trPr>
        <w:tc>
          <w:tcPr>
            <w:tcW w:w="1840" w:type="dxa"/>
            <w:vAlign w:val="bottom"/>
          </w:tcPr>
          <w:p>
            <w:pPr>
              <w:ind w:left="200"/>
              <w:spacing w:after="0"/>
              <w:rPr>
                <w:sz w:val="20"/>
                <w:szCs w:val="20"/>
                <w:color w:val="auto"/>
              </w:rPr>
            </w:pPr>
            <w:r>
              <w:rPr>
                <w:rFonts w:ascii="Arial" w:cs="Arial" w:eastAsia="Arial" w:hAnsi="Arial"/>
                <w:sz w:val="13"/>
                <w:szCs w:val="13"/>
                <w:color w:val="auto"/>
                <w:w w:val="91"/>
              </w:rPr>
              <w:t>held at December 31, 2015 (9)</w:t>
            </w:r>
          </w:p>
        </w:tc>
        <w:tc>
          <w:tcPr>
            <w:tcW w:w="1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1840" w:type="dxa"/>
            <w:vAlign w:val="bottom"/>
            <w:tcBorders>
              <w:top w:val="single" w:sz="8" w:color="CCEEFF"/>
            </w:tcBorders>
            <w:shd w:val="clear" w:color="auto" w:fill="CCEEFF"/>
          </w:tcPr>
          <w:p>
            <w:pPr>
              <w:ind w:left="40"/>
              <w:spacing w:after="0" w:line="103" w:lineRule="exact"/>
              <w:rPr>
                <w:sz w:val="20"/>
                <w:szCs w:val="20"/>
                <w:color w:val="auto"/>
              </w:rPr>
            </w:pPr>
            <w:r>
              <w:rPr>
                <w:rFonts w:ascii="Arial" w:cs="Arial" w:eastAsia="Arial" w:hAnsi="Arial"/>
                <w:sz w:val="11"/>
                <w:szCs w:val="11"/>
                <w:color w:val="auto"/>
              </w:rPr>
              <w:t>Changes in unrealized gains</w:t>
            </w:r>
          </w:p>
        </w:tc>
        <w:tc>
          <w:tcPr>
            <w:tcW w:w="180" w:type="dxa"/>
            <w:vAlign w:val="bottom"/>
            <w:tcBorders>
              <w:top w:val="single" w:sz="8" w:color="auto"/>
            </w:tcBorders>
            <w:shd w:val="clear" w:color="auto" w:fill="CCEEFF"/>
          </w:tcPr>
          <w:p>
            <w:pPr>
              <w:spacing w:after="0"/>
              <w:rPr>
                <w:sz w:val="8"/>
                <w:szCs w:val="8"/>
                <w:color w:val="auto"/>
              </w:rPr>
            </w:pPr>
          </w:p>
        </w:tc>
        <w:tc>
          <w:tcPr>
            <w:tcW w:w="9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90"/>
              </w:rPr>
              <w:t>(losses) included in net income</w:t>
            </w: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97"/>
              </w:rPr>
              <w:t>(loss) for the instruments still</w:t>
            </w:r>
          </w:p>
        </w:tc>
        <w:tc>
          <w:tcPr>
            <w:tcW w:w="1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ind w:right="58"/>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(687)</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(1,772)</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84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1"/>
              </w:rPr>
              <w:t>held at December 31, 2016 (9)</w:t>
            </w:r>
          </w:p>
        </w:tc>
        <w:tc>
          <w:tcPr>
            <w:tcW w:w="18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bottom w:val="single" w:sz="8" w:color="CCEEFF"/>
            </w:tcBorders>
            <w:vMerge w:val="restart"/>
          </w:tcPr>
          <w:p>
            <w:pPr>
              <w:ind w:left="40"/>
              <w:spacing w:after="0" w:line="143" w:lineRule="exact"/>
              <w:rPr>
                <w:sz w:val="20"/>
                <w:szCs w:val="20"/>
                <w:color w:val="auto"/>
              </w:rPr>
            </w:pPr>
            <w:r>
              <w:rPr>
                <w:rFonts w:ascii="Arial" w:cs="Arial" w:eastAsia="Arial" w:hAnsi="Arial"/>
                <w:sz w:val="13"/>
                <w:szCs w:val="13"/>
                <w:color w:val="auto"/>
              </w:rPr>
              <w:t>Changes in unrealized gains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8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200"/>
              <w:spacing w:after="0" w:line="135" w:lineRule="exact"/>
              <w:rPr>
                <w:sz w:val="20"/>
                <w:szCs w:val="20"/>
                <w:color w:val="auto"/>
              </w:rPr>
            </w:pPr>
            <w:r>
              <w:rPr>
                <w:rFonts w:ascii="Arial" w:cs="Arial" w:eastAsia="Arial" w:hAnsi="Arial"/>
                <w:sz w:val="13"/>
                <w:szCs w:val="13"/>
                <w:color w:val="auto"/>
                <w:w w:val="90"/>
              </w:rPr>
              <w:t>(losses) included in net income</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200"/>
              <w:spacing w:after="0" w:line="135" w:lineRule="exact"/>
              <w:rPr>
                <w:sz w:val="20"/>
                <w:szCs w:val="20"/>
                <w:color w:val="auto"/>
              </w:rPr>
            </w:pPr>
            <w:r>
              <w:rPr>
                <w:rFonts w:ascii="Arial" w:cs="Arial" w:eastAsia="Arial" w:hAnsi="Arial"/>
                <w:sz w:val="13"/>
                <w:szCs w:val="13"/>
                <w:color w:val="auto"/>
                <w:w w:val="97"/>
              </w:rPr>
              <w:t>(loss) for the instruments still</w:t>
            </w:r>
          </w:p>
        </w:tc>
        <w:tc>
          <w:tcPr>
            <w:tcW w:w="1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58"/>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38"/>
              <w:spacing w:after="0"/>
              <w:rPr>
                <w:sz w:val="20"/>
                <w:szCs w:val="20"/>
                <w:color w:val="auto"/>
              </w:rPr>
            </w:pPr>
            <w:r>
              <w:rPr>
                <w:rFonts w:ascii="Arial" w:cs="Arial" w:eastAsia="Arial" w:hAnsi="Arial"/>
                <w:sz w:val="13"/>
                <w:szCs w:val="13"/>
                <w:color w:val="auto"/>
              </w:rPr>
              <w:t>1,300</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2"/>
        </w:trPr>
        <w:tc>
          <w:tcPr>
            <w:tcW w:w="1840" w:type="dxa"/>
            <w:vAlign w:val="bottom"/>
          </w:tcPr>
          <w:p>
            <w:pPr>
              <w:ind w:left="200"/>
              <w:spacing w:after="0"/>
              <w:rPr>
                <w:sz w:val="20"/>
                <w:szCs w:val="20"/>
                <w:color w:val="auto"/>
              </w:rPr>
            </w:pPr>
            <w:r>
              <w:rPr>
                <w:rFonts w:ascii="Arial" w:cs="Arial" w:eastAsia="Arial" w:hAnsi="Arial"/>
                <w:sz w:val="13"/>
                <w:szCs w:val="13"/>
                <w:color w:val="auto"/>
                <w:w w:val="91"/>
              </w:rPr>
              <w:t>held at December 31, 2017 (9)</w:t>
            </w:r>
          </w:p>
        </w:tc>
        <w:tc>
          <w:tcPr>
            <w:tcW w:w="1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1840" w:type="dxa"/>
            <w:vAlign w:val="bottom"/>
            <w:tcBorders>
              <w:top w:val="single" w:sz="8" w:color="CCEEFF"/>
            </w:tcBorders>
            <w:shd w:val="clear" w:color="auto" w:fill="CCEEFF"/>
          </w:tcPr>
          <w:p>
            <w:pPr>
              <w:ind w:left="40"/>
              <w:spacing w:after="0" w:line="103" w:lineRule="exact"/>
              <w:rPr>
                <w:sz w:val="20"/>
                <w:szCs w:val="20"/>
                <w:color w:val="auto"/>
              </w:rPr>
            </w:pPr>
            <w:r>
              <w:rPr>
                <w:rFonts w:ascii="Arial" w:cs="Arial" w:eastAsia="Arial" w:hAnsi="Arial"/>
                <w:sz w:val="11"/>
                <w:szCs w:val="11"/>
                <w:color w:val="auto"/>
              </w:rPr>
              <w:t>Gains (Losses) Data for the year</w:t>
            </w:r>
          </w:p>
        </w:tc>
        <w:tc>
          <w:tcPr>
            <w:tcW w:w="180" w:type="dxa"/>
            <w:vAlign w:val="bottom"/>
            <w:tcBorders>
              <w:top w:val="single" w:sz="8" w:color="auto"/>
            </w:tcBorders>
            <w:shd w:val="clear" w:color="auto" w:fill="CCEEFF"/>
          </w:tcPr>
          <w:p>
            <w:pPr>
              <w:spacing w:after="0"/>
              <w:rPr>
                <w:sz w:val="8"/>
                <w:szCs w:val="8"/>
                <w:color w:val="auto"/>
              </w:rPr>
            </w:pPr>
          </w:p>
        </w:tc>
        <w:tc>
          <w:tcPr>
            <w:tcW w:w="9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ended December 31, 2015</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840" w:type="dxa"/>
            <w:vAlign w:val="bottom"/>
          </w:tcPr>
          <w:p>
            <w:pPr>
              <w:ind w:left="40"/>
              <w:spacing w:after="0" w:line="148" w:lineRule="exact"/>
              <w:rPr>
                <w:sz w:val="20"/>
                <w:szCs w:val="20"/>
                <w:color w:val="auto"/>
              </w:rPr>
            </w:pPr>
            <w:r>
              <w:rPr>
                <w:rFonts w:ascii="Arial" w:cs="Arial" w:eastAsia="Arial" w:hAnsi="Arial"/>
                <w:sz w:val="13"/>
                <w:szCs w:val="13"/>
                <w:color w:val="auto"/>
              </w:rPr>
              <w:t>Total realized/unrealized gains</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200"/>
              <w:spacing w:after="0" w:line="135" w:lineRule="exact"/>
              <w:rPr>
                <w:sz w:val="20"/>
                <w:szCs w:val="20"/>
                <w:color w:val="auto"/>
              </w:rPr>
            </w:pPr>
            <w:r>
              <w:rPr>
                <w:rFonts w:ascii="Arial" w:cs="Arial" w:eastAsia="Arial" w:hAnsi="Arial"/>
                <w:sz w:val="13"/>
                <w:szCs w:val="13"/>
                <w:color w:val="auto"/>
                <w:w w:val="90"/>
              </w:rPr>
              <w:t>(losses) included in net income</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840" w:type="dxa"/>
            <w:vAlign w:val="bottom"/>
          </w:tcPr>
          <w:p>
            <w:pPr>
              <w:ind w:left="200"/>
              <w:spacing w:after="0"/>
              <w:rPr>
                <w:sz w:val="20"/>
                <w:szCs w:val="20"/>
                <w:color w:val="auto"/>
              </w:rPr>
            </w:pPr>
            <w:r>
              <w:rPr>
                <w:rFonts w:ascii="Arial" w:cs="Arial" w:eastAsia="Arial" w:hAnsi="Arial"/>
                <w:sz w:val="13"/>
                <w:szCs w:val="13"/>
                <w:color w:val="auto"/>
              </w:rPr>
              <w:t>(loss) (5) (6)</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(303)</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4"/>
        </w:trPr>
        <w:tc>
          <w:tcPr>
            <w:tcW w:w="1840" w:type="dxa"/>
            <w:vAlign w:val="bottom"/>
          </w:tcPr>
          <w:p>
            <w:pPr>
              <w:ind w:left="40"/>
              <w:spacing w:after="0"/>
              <w:rPr>
                <w:sz w:val="20"/>
                <w:szCs w:val="20"/>
                <w:color w:val="auto"/>
              </w:rPr>
            </w:pPr>
            <w:r>
              <w:rPr>
                <w:rFonts w:ascii="Arial" w:cs="Arial" w:eastAsia="Arial" w:hAnsi="Arial"/>
                <w:sz w:val="13"/>
                <w:szCs w:val="13"/>
                <w:color w:val="auto"/>
              </w:rPr>
              <w:t>Total realized/unrealized gains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840" w:type="dxa"/>
            <w:vAlign w:val="bottom"/>
          </w:tcPr>
          <w:p>
            <w:pPr>
              <w:ind w:left="200"/>
              <w:spacing w:after="0"/>
              <w:rPr>
                <w:sz w:val="20"/>
                <w:szCs w:val="20"/>
                <w:color w:val="auto"/>
              </w:rPr>
            </w:pPr>
            <w:r>
              <w:rPr>
                <w:rFonts w:ascii="Arial" w:cs="Arial" w:eastAsia="Arial" w:hAnsi="Arial"/>
                <w:sz w:val="13"/>
                <w:szCs w:val="13"/>
                <w:color w:val="auto"/>
              </w:rPr>
              <w:t>(losses) included in AOCI</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(120)</w:t>
            </w:r>
          </w:p>
        </w:tc>
        <w:tc>
          <w:tcPr>
            <w:tcW w:w="1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8"/>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8"/>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8"/>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3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w:t>
      </w:r>
    </w:p>
    <w:p>
      <w:pPr>
        <w:spacing w:after="0" w:line="111" w:lineRule="exact"/>
        <w:rPr>
          <w:sz w:val="20"/>
          <w:szCs w:val="20"/>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Comprised of U.S. and foreign corporate securities.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Freestanding derivative assets and liabilities are presented net for purposes of the rollforward.</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148</w:t>
      </w:r>
    </w:p>
    <w:p>
      <w:pPr>
        <w:sectPr>
          <w:pgSz w:w="11900" w:h="16838" w:orient="portrait"/>
          <w:cols w:equalWidth="0" w:num="1">
            <w:col w:w="11420"/>
          </w:cols>
          <w:pgMar w:left="240" w:top="229" w:right="239" w:bottom="1440" w:gutter="0" w:footer="0" w:header="0"/>
          <w:type w:val="continuous"/>
        </w:sectPr>
      </w:pPr>
    </w:p>
    <w:bookmarkStart w:id="149" w:name="page150"/>
    <w:bookmarkEnd w:id="1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(continued)</w:t>
      </w:r>
    </w:p>
    <w:p>
      <w:pPr>
        <w:spacing w:after="0" w:line="364" w:lineRule="exact"/>
        <w:rPr>
          <w:sz w:val="20"/>
          <w:szCs w:val="20"/>
          <w:color w:val="auto"/>
        </w:rPr>
      </w:pPr>
    </w:p>
    <w:p>
      <w:pPr>
        <w:ind w:left="500" w:hanging="492"/>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Embedded derivative assets and liabilities are presented net for purposes of the rollforward.</w:t>
      </w:r>
    </w:p>
    <w:p>
      <w:pPr>
        <w:spacing w:after="0" w:line="11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Investment performance related to separate account assets is fully offset by corresponding amounts credited to contract holders within separate account liabilities. Therefore, such changes in estimated fair value are not recorded in net income (loss). For the purpose of this disclosure, these changes are presented within net investment gains (losses).</w:t>
      </w:r>
    </w:p>
    <w:p>
      <w:pPr>
        <w:spacing w:after="0" w:line="73"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Amortization of premium/accretion of discount is included within net investment income. Impairments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derivatives gains (losses).</w:t>
      </w:r>
    </w:p>
    <w:p>
      <w:pPr>
        <w:spacing w:after="0" w:line="78" w:lineRule="exact"/>
        <w:rPr>
          <w:rFonts w:ascii="Arial" w:cs="Arial" w:eastAsia="Arial" w:hAnsi="Arial"/>
          <w:sz w:val="18"/>
          <w:szCs w:val="18"/>
          <w:color w:val="auto"/>
        </w:rPr>
      </w:pPr>
    </w:p>
    <w:p>
      <w:pPr>
        <w:ind w:left="500" w:hanging="492"/>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Interest and dividend accruals, as well as cash interest coupons and dividends received, are excluded from the rollforward.</w:t>
      </w:r>
    </w:p>
    <w:p>
      <w:pPr>
        <w:spacing w:after="0" w:line="11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Items purchased/issued and then sold/settled in the same period are excluded from the rollforward. Fees attributed to embedded derivatives are included in settlements.</w:t>
      </w:r>
    </w:p>
    <w:p>
      <w:pPr>
        <w:spacing w:after="0" w:line="6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Gains and losses, in net income (loss) and OCI, are calculated assuming transfers into and/or out of Level 3 occurred at the beginning of the period. Items transferred into and then out of Level 3 in the same period are excluded from the rollforward.</w:t>
      </w:r>
    </w:p>
    <w:p>
      <w:pPr>
        <w:spacing w:after="0" w:line="6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Changes in unrealized gains (losses) included in net income (loss) relate to assets and liabilities still held at the end of the respective periods. Substantially all changes in unrealized gains (losses) included in net income (loss) for net derivatives and net embedded derivatives are reported in net derivative gains (losses).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Fair Value Option</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information for certain assets and liabilities of CSEs, which are accounted for under the FVO. These assets and liabilities were initially measured at fair value.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2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 (1)</w:t>
            </w:r>
          </w:p>
        </w:tc>
        <w:tc>
          <w:tcPr>
            <w:tcW w:w="9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Unpaid principal balance</w:t>
            </w:r>
          </w:p>
        </w:tc>
        <w:tc>
          <w:tcPr>
            <w:tcW w:w="920" w:type="dxa"/>
            <w:vAlign w:val="bottom"/>
          </w:tcPr>
          <w:p>
            <w:pPr>
              <w:jc w:val="right"/>
              <w:ind w:right="721"/>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1"/>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Difference between estimated fair value and unpaid principal balance</w:t>
            </w: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8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Carrying value at estimated fair value</w:t>
            </w:r>
          </w:p>
        </w:tc>
        <w:tc>
          <w:tcPr>
            <w:tcW w:w="92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(1)</w:t>
            </w:r>
          </w:p>
        </w:tc>
        <w:tc>
          <w:tcPr>
            <w:tcW w:w="9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Contractual principal balance</w:t>
            </w:r>
          </w:p>
        </w:tc>
        <w:tc>
          <w:tcPr>
            <w:tcW w:w="920" w:type="dxa"/>
            <w:vAlign w:val="bottom"/>
          </w:tcPr>
          <w:p>
            <w:pPr>
              <w:jc w:val="right"/>
              <w:ind w:right="721"/>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Difference between estimated fair value and contractual principal balance</w:t>
            </w: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4"/>
        </w:trPr>
        <w:tc>
          <w:tcPr>
            <w:tcW w:w="8580" w:type="dxa"/>
            <w:vAlign w:val="bottom"/>
          </w:tcPr>
          <w:p>
            <w:pPr>
              <w:ind w:left="180"/>
              <w:spacing w:after="0"/>
              <w:rPr>
                <w:sz w:val="20"/>
                <w:szCs w:val="20"/>
                <w:color w:val="auto"/>
              </w:rPr>
            </w:pPr>
            <w:r>
              <w:rPr>
                <w:rFonts w:ascii="Arial" w:cs="Arial" w:eastAsia="Arial" w:hAnsi="Arial"/>
                <w:sz w:val="16"/>
                <w:szCs w:val="16"/>
                <w:color w:val="auto"/>
              </w:rPr>
              <w:t>Carrying value at estimated fair value</w:t>
            </w:r>
          </w:p>
        </w:tc>
        <w:tc>
          <w:tcPr>
            <w:tcW w:w="92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color w:val="auto"/>
              </w:rPr>
              <w:t>______________</w:t>
            </w: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58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312" w:lineRule="auto"/>
        <w:tabs>
          <w:tab w:leader="none" w:pos="5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These assets and liabilities are comprised of commercial mortgage loans and long-term debt. Changes in estimated fair value on these assets and liabilities and gains or losses on sales of these assets are recognized in net investment gains (losses). Interest income on commercial mortgage loans held by CSEs — FVO is recognized in net investment income. Interest expense from long-term debt of CSEs — FVO is recognized in other expenses.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Carried at Other Than Fair Value</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tables provide fair value information for financial instruments that are carried on the balance sheet at amounts other than fair value. These tables exclude the following financial instruments: cash and cash equivalents, accrued investment income, payables for collateral under securities loaned and other transactions and those short-term investments that are not securities, such as time deposits, and therefore are not included in the three level hierarchy table disclosed in the “— Recurring Fair Value Measurements” section.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sectPr>
          <w:pgSz w:w="11900" w:h="16838" w:orient="portrait"/>
          <w:cols w:equalWidth="0" w:num="1">
            <w:col w:w="11420"/>
          </w:cols>
          <w:pgMar w:left="240" w:top="229" w:right="2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149</w:t>
      </w:r>
    </w:p>
    <w:p>
      <w:pPr>
        <w:sectPr>
          <w:pgSz w:w="11900" w:h="16838" w:orient="portrait"/>
          <w:cols w:equalWidth="0" w:num="1">
            <w:col w:w="11420"/>
          </w:cols>
          <w:pgMar w:left="240" w:top="229" w:right="239" w:bottom="1440" w:gutter="0" w:footer="0" w:header="0"/>
          <w:type w:val="continuous"/>
        </w:sectPr>
      </w:pPr>
    </w:p>
    <w:bookmarkStart w:id="150" w:name="page151"/>
    <w:bookmarkEnd w:id="1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(continued)</w:t>
      </w:r>
    </w:p>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1"/>
              </w:rPr>
              <w:t>December 31, 2017</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Fair Value Hierarchy</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restart"/>
          </w:tcPr>
          <w:p>
            <w:pPr>
              <w:jc w:val="center"/>
              <w:ind w:right="320"/>
              <w:spacing w:after="0"/>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center"/>
              <w:ind w:right="181"/>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4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2"/>
              </w:rPr>
              <w:t>Level 2</w:t>
            </w:r>
          </w:p>
        </w:tc>
        <w:tc>
          <w:tcPr>
            <w:tcW w:w="400" w:type="dxa"/>
            <w:vAlign w:val="bottom"/>
          </w:tcPr>
          <w:p>
            <w:pPr>
              <w:spacing w:after="0"/>
              <w:rPr>
                <w:sz w:val="12"/>
                <w:szCs w:val="12"/>
                <w:color w:val="auto"/>
              </w:rPr>
            </w:pPr>
          </w:p>
        </w:tc>
        <w:tc>
          <w:tcPr>
            <w:tcW w:w="116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2"/>
                <w:szCs w:val="12"/>
                <w:color w:val="auto"/>
              </w:rPr>
            </w:pPr>
          </w:p>
        </w:tc>
        <w:tc>
          <w:tcPr>
            <w:tcW w:w="12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center"/>
              <w:ind w:right="121"/>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Mortgage loans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10,525</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10,768</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10,768</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 loans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1,106</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746</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439</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1,185</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Real estate joint ventures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5</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limited partnership interests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36</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Loans to MetLife, Inc.</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Premiums, reinsurance and other receivables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1,556</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126</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1,783</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1,909</w:t>
            </w: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Policyholder account balances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15,626</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15,760</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15,760</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35</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42</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459</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93</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368</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Separate account liabilities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1,206</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1,206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1,206</w:t>
            </w:r>
          </w:p>
        </w:tc>
        <w:tc>
          <w:tcPr>
            <w:tcW w:w="0" w:type="dxa"/>
            <w:vAlign w:val="bottom"/>
          </w:tcPr>
          <w:p>
            <w:pPr>
              <w:spacing w:after="0"/>
              <w:rPr>
                <w:sz w:val="1"/>
                <w:szCs w:val="1"/>
                <w:color w:val="auto"/>
              </w:rPr>
            </w:pPr>
          </w:p>
        </w:tc>
      </w:tr>
      <w:tr>
        <w:trPr>
          <w:trHeight w:val="594"/>
        </w:trPr>
        <w:tc>
          <w:tcPr>
            <w:tcW w:w="3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1"/>
              </w:rPr>
              <w:t>December 31, 2016</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Fair Value Hierarchy</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restart"/>
          </w:tcPr>
          <w:p>
            <w:pPr>
              <w:jc w:val="center"/>
              <w:ind w:right="320"/>
              <w:spacing w:after="0"/>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center"/>
              <w:ind w:right="181"/>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4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2"/>
              </w:rPr>
              <w:t>Level 2</w:t>
            </w:r>
          </w:p>
        </w:tc>
        <w:tc>
          <w:tcPr>
            <w:tcW w:w="400" w:type="dxa"/>
            <w:vAlign w:val="bottom"/>
          </w:tcPr>
          <w:p>
            <w:pPr>
              <w:spacing w:after="0"/>
              <w:rPr>
                <w:sz w:val="12"/>
                <w:szCs w:val="12"/>
                <w:color w:val="auto"/>
              </w:rPr>
            </w:pPr>
          </w:p>
        </w:tc>
        <w:tc>
          <w:tcPr>
            <w:tcW w:w="116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2"/>
                <w:szCs w:val="12"/>
                <w:color w:val="auto"/>
              </w:rPr>
            </w:pPr>
          </w:p>
        </w:tc>
        <w:tc>
          <w:tcPr>
            <w:tcW w:w="12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center"/>
              <w:ind w:right="121"/>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Mortgage loans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9,154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9,298</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9,298</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 loans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1,093</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746</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431</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1,177</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Real estate joint ventures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12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44</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limited partnership interests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44</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Loans to MetLife, Inc.</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1,100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1,090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1,090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Premiums, reinsurance and other receivables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2,363</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834</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1,981</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2,815</w:t>
            </w: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Policyholder account balances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16,043</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17,259</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17,259</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1,881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2,117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2,117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256</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90</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Separate account liabilities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1,110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1,110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methods, assumptions and significant valuation techniques and inputs used to estimate the fair value of financial instruments are summarized as follows: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22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estimated fair value of mortgage loans is primarily determined by estimating expected future cash flows and discounting them using current interest rates for similar mortgage loans with similar credit risk, or is determined from pricing for similar loans.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Policy Loans</w:t>
      </w:r>
    </w:p>
    <w:p>
      <w:pPr>
        <w:spacing w:after="0" w:line="117" w:lineRule="exact"/>
        <w:rPr>
          <w:sz w:val="20"/>
          <w:szCs w:val="20"/>
          <w:color w:val="auto"/>
        </w:rPr>
      </w:pPr>
    </w:p>
    <w:p>
      <w:pPr>
        <w:jc w:val="both"/>
        <w:ind w:left="180" w:firstLine="324"/>
        <w:spacing w:after="0" w:line="271" w:lineRule="auto"/>
        <w:rPr>
          <w:sz w:val="20"/>
          <w:szCs w:val="20"/>
          <w:color w:val="auto"/>
        </w:rPr>
      </w:pPr>
      <w:r>
        <w:rPr>
          <w:rFonts w:ascii="Arial" w:cs="Arial" w:eastAsia="Arial" w:hAnsi="Arial"/>
          <w:sz w:val="17"/>
          <w:szCs w:val="17"/>
          <w:color w:val="auto"/>
        </w:rPr>
        <w:t>Policy loans with fixed interest rates are classified within Level 3. The estimated fair values for these loans are determined using a discounted cash flow model applied to groups of similar policy loans determined by the nature of the underlying insurance liabilities. Cash flow estimates are developed by applying a weighted-average interest rate to the outstanding principal balance of the respective group of policy loans and an estimated average maturity determined through experience studies of the past performance of policyholder repayment behavior for similar loans. These cash flows are discounted using current risk-free interest rates with no adjustment for borrower credit risk, as these loans are fully collateralized by the cash surrender value of the underlying insurance policy. Policy loans with variable interest rates are classified within Level 2 and the estimated fair value approximates carrying value due to the absence of borrower credit risk and the short time period between interest rate resets, which presents minimal risk of a material change in estimated fair value due to changes in market interest rates.</w:t>
      </w:r>
    </w:p>
    <w:p>
      <w:pPr>
        <w:spacing w:after="0" w:line="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Real Estate Joint Ventures and Other Limited Partnership Interests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estimated fair values of these cost method investments are generally based on the Company’s share of the NAV as provided on the financial statements of the investees. In certain circumstances, management may adjust the NAV by a premium or discount when it has sufficient evidence to support applying such adjustments.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Loans to MetLife, Inc.</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estimated fair value of loans to MetLife, Inc. is principally determined using market standard valuation methodologies. Valuations of instruments are based primarily on discounted cash flow methodologies that use standard market observable inputs including market yield curve, duration, observable prices and spreads for similar publicly traded or privately traded issues.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Premiums, Reinsurance and Other Receivables</w:t>
      </w:r>
    </w:p>
    <w:p>
      <w:pPr>
        <w:spacing w:after="0" w:line="117" w:lineRule="exact"/>
        <w:rPr>
          <w:sz w:val="20"/>
          <w:szCs w:val="20"/>
          <w:color w:val="auto"/>
        </w:rPr>
      </w:pPr>
    </w:p>
    <w:p>
      <w:pPr>
        <w:jc w:val="both"/>
        <w:ind w:left="180" w:right="20" w:firstLine="324"/>
        <w:spacing w:after="0" w:line="342" w:lineRule="auto"/>
        <w:rPr>
          <w:sz w:val="20"/>
          <w:szCs w:val="20"/>
          <w:color w:val="auto"/>
        </w:rPr>
      </w:pPr>
      <w:r>
        <w:rPr>
          <w:rFonts w:ascii="Arial" w:cs="Arial" w:eastAsia="Arial" w:hAnsi="Arial"/>
          <w:sz w:val="16"/>
          <w:szCs w:val="16"/>
          <w:color w:val="auto"/>
        </w:rPr>
        <w:t>Premiums, reinsurance and other receivables are principally comprised of certain amounts recoverable under reinsurance agreements, amounts on deposit with financial institutions to facilitate daily settlements related to certain derivatives and amounts receivable for securities sold but not yet settled.</w:t>
      </w:r>
    </w:p>
    <w:p>
      <w:pPr>
        <w:spacing w:after="0" w:line="16"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Amounts recoverable under ceded reinsurance agreements, which the Company has determined do not transfer significant risk such that they are accounted for using the deposit method of accounting, have been classified as Level 3. The valuation is based on discounted cash flow methodologies using significant unobservable inputs. The estimated fair value is determined using interest rates determined to reflect the appropriate credit standing of the assuming counterparty.</w:t>
      </w:r>
    </w:p>
    <w:p>
      <w:pPr>
        <w:spacing w:after="0" w:line="79" w:lineRule="exact"/>
        <w:rPr>
          <w:sz w:val="20"/>
          <w:szCs w:val="20"/>
          <w:color w:val="auto"/>
        </w:rPr>
      </w:pPr>
    </w:p>
    <w:p>
      <w:pPr>
        <w:jc w:val="both"/>
        <w:ind w:left="180" w:firstLine="324"/>
        <w:spacing w:after="0" w:line="308" w:lineRule="auto"/>
        <w:rPr>
          <w:sz w:val="20"/>
          <w:szCs w:val="20"/>
          <w:color w:val="auto"/>
        </w:rPr>
      </w:pPr>
      <w:r>
        <w:rPr>
          <w:rFonts w:ascii="Arial" w:cs="Arial" w:eastAsia="Arial" w:hAnsi="Arial"/>
          <w:sz w:val="17"/>
          <w:szCs w:val="17"/>
          <w:color w:val="auto"/>
        </w:rPr>
        <w:t>The amounts on deposit for derivative settlements, classified within Level 2, essentially represent the equivalent of demand deposit balances and amounts due for securities sold are generally received over short periods such that the estimated fair value approximates carrying value.</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Policyholder Account Balances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These policyholder account balances include investment contracts which primarily include certain funding agreements, fixed deferred annuities, modified guaranteed annuities, fixed term payout annuities and total control accounts. The valuation of these investment contracts is based on discounted cash flow methodologies using significant unobservable inputs. The estimated fair value is determined using current market risk-free interest rates adding a spread to reflect the nonperformance risk in the liability.</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Long-term Debt</w:t>
      </w:r>
    </w:p>
    <w:p>
      <w:pPr>
        <w:spacing w:after="0" w:line="117"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The estimated fair value of long-term debt is principally determined using market standard valuation methodologies. Valuations of instruments are based primarily on quoted prices in markets that are not active or using matrix pricing that use standard market observable inputs such as quoted prices in markets that are not active and observable yields and spreads in the market. Instruments valued using discounted cash flow methodologies use standard market observable inputs including market yield curve, duration, observable prices and spreads for similar publicly traded or privately traded issues.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22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 Liabilities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Other liabilities consist primarily of interest payable, amounts due for securities purchased but not yet settled and funds withheld amounts payable, which are contractually withheld by the Company in accordance with the terms of the reinsurance agreements, deposits payable and derivatives payable. The Company evaluates the specific terms, facts and circumstances of each instrument to determine the appropriate estimated fair values, which are not materially different from the carrying values.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Separate Account Liabilities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Separate account liabilities represent those balances due to policyholders under contracts that are classified as investment contracts.</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Separate account liabilities classified as investment contracts primarily represent variable annuities with no significant mortality risk to the Company such that the death benefit is equal to the account balance and certain contracts that provide for benefit funding.</w:t>
      </w:r>
    </w:p>
    <w:p>
      <w:pPr>
        <w:spacing w:after="0" w:line="62" w:lineRule="exact"/>
        <w:rPr>
          <w:sz w:val="20"/>
          <w:szCs w:val="20"/>
          <w:color w:val="auto"/>
        </w:rPr>
      </w:pPr>
    </w:p>
    <w:p>
      <w:pPr>
        <w:jc w:val="both"/>
        <w:ind w:left="180" w:firstLine="324"/>
        <w:spacing w:after="0" w:line="312" w:lineRule="auto"/>
        <w:rPr>
          <w:sz w:val="20"/>
          <w:szCs w:val="20"/>
          <w:color w:val="auto"/>
        </w:rPr>
      </w:pPr>
      <w:r>
        <w:rPr>
          <w:rFonts w:ascii="Arial" w:cs="Arial" w:eastAsia="Arial" w:hAnsi="Arial"/>
          <w:sz w:val="16"/>
          <w:szCs w:val="16"/>
          <w:color w:val="auto"/>
        </w:rPr>
        <w:t>Since separate account liabilities are fully funded by cash flows from the separate account assets which are recognized at estimated fair value as described in the section “— Recurring Fair Value Measurements,” the value of those assets approximates the estimated fair value of the related separate account liabilities. The valuation techniques and inputs for separate account liabilities are similar to those described for separate account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outstanding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96"/>
              </w:rPr>
              <w:t>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Interest Rate</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Maturity</w:t>
            </w:r>
          </w:p>
        </w:tc>
        <w:tc>
          <w:tcPr>
            <w:tcW w:w="320" w:type="dxa"/>
            <w:vAlign w:val="bottom"/>
          </w:tcPr>
          <w:p>
            <w:pPr>
              <w:spacing w:after="0"/>
              <w:rPr>
                <w:sz w:val="22"/>
                <w:szCs w:val="22"/>
                <w:color w:val="auto"/>
              </w:rPr>
            </w:pPr>
          </w:p>
        </w:tc>
        <w:tc>
          <w:tcPr>
            <w:tcW w:w="1020" w:type="dxa"/>
            <w:vAlign w:val="bottom"/>
          </w:tcPr>
          <w:p>
            <w:pPr>
              <w:ind w:left="20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46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Surplus note — affiliated with MetLife, Inc. (1)</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8.595%</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2038</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Surplus note — affiliated with MetLife, Inc.</w:t>
            </w: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5.130%</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2032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Surplus note — affiliated with MetLife, Inc.</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2033</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Long-term debt — unaffiliated (2)</w:t>
            </w: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7.028%</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2030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ind w:left="760"/>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long-term debt (3)</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1,881</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4"/>
                <w:szCs w:val="14"/>
                <w:color w:val="auto"/>
              </w:rPr>
              <w:t>______________</w:t>
            </w: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620" w:type="dxa"/>
            <w:vAlign w:val="bottom"/>
            <w:vMerge w:val="continue"/>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$6 million of unamortized debt issuance costs at December 31, 2016.</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Represents non-recourse debt for which creditors have no access, subject to customary exceptions, to the general assets of the Company other than recourse to certain investment companies.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Excludes $11 million and $23 million of long-term debt related to CSEs at December 31, 2017 and 2016, respectively. See Note 7 for more information regarding CSEs.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aggregate maturities of long-term debt at December 31, 2017 were $2 million in each of 2018, 2019, 2020, 2021 and 2022 and $26 million thereafter.</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Interest expense related to long-term debt of $58 million, $128 million and $128 million for the years ended December 31, 2017, 2016 and 2015, respectively, is included in other expenses.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Surplus Notes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June 16, 2017, MetLife, Inc. forgave Brighthouse Life Insurance Company’s obligation to pay the principal amount of $750 million, 8.595% surplus notes held by MetLife, Inc., which were originally issued in 2008. The forgiveness of the surplus notes was treated as a capital transaction and recorded as an increase to additional paid-in-capital.</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April 28, 2017, two surplus note obligations due to MetLife, Inc. totaling $1.1 billion, which were originally issued in 2012 and 2013, were due on September 30, 2032 and December 31, 2033 and bore interest at 5.13% and 6.00%, respectively, were satisfied in a non-cash exchange for $1.1 billion of loans due from MetLife, Inc.</w:t>
      </w:r>
    </w:p>
    <w:p>
      <w:pPr>
        <w:sectPr>
          <w:pgSz w:w="11900" w:h="16838" w:orient="portrait"/>
          <w:cols w:equalWidth="0" w:num="1">
            <w:col w:w="11420"/>
          </w:cols>
          <w:pgMar w:left="240" w:top="229"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152</w:t>
      </w:r>
    </w:p>
    <w:p>
      <w:pPr>
        <w:sectPr>
          <w:pgSz w:w="11900" w:h="16838" w:orient="portrait"/>
          <w:cols w:equalWidth="0" w:num="1">
            <w:col w:w="11420"/>
          </w:cols>
          <w:pgMar w:left="240" w:top="229" w:right="239" w:bottom="1440" w:gutter="0" w:footer="0" w:header="0"/>
          <w:type w:val="continuous"/>
        </w:sectPr>
      </w:pPr>
    </w:p>
    <w:bookmarkStart w:id="153" w:name="page154"/>
    <w:bookmarkEnd w:id="153"/>
    <w:p>
      <w:pPr>
        <w:ind w:left="34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Committed Facilities and Reinsurance Financing Arrangement</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previously had access to an unsecured revolving credit facility and certain committed facilities through the Company’s former parent, MetLife, Inc. These facilities were used for collateral for certain of the Company’s affiliated reinsurance liabilities.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affiliated reinsurance company restructuring, effective April 28, 2017, MetLife, Inc.’s then existing affiliated reinsurance subsidiaries that supported the business interests of Brighthouse Financial, Inc. became a part of Brighthouse Financial, Inc. Simultaneously with the affiliated reinsurance company restructuring, the existing reserve financing arrangements of the affected reinsurance subsidiaries, as well as Brighthouse Financial, Inc.’s access to MetLife Inc.’s revolving credit facility and certain committed facilities, including outstanding letters of credit, were terminated and replaced with a single reinsurance financing arrangement, which is discussed in more detail below. The terminated committed facilities included a $3.5 billion committed facility for the benefit of MRSC and a $4.3 billion committed facility for the benefit of a designated protected cell of MetLife Reinsurance Company of Vermont (“MRV Cell”).</w:t>
      </w:r>
    </w:p>
    <w:p>
      <w:pPr>
        <w:spacing w:after="0" w:line="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years ended December 31, 2017, 2016 and 2015, the Company recognized fees of $19 million, $55 million and $61 million, respectively, in other expenses associated with these committed facilities.</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April 28, 2017, BRCD entered into a new $10.0 billion financing arrangement with a pool of highly rated third-party reinsurers. This financing arrangement consists of credit-linked notes that each have a term of 20 years. At December 31, 2017, there were no drawdowns on this facility and there was $8.3 billion of funding available under this arrangement. Fees associated with this financing arrangement were not significant.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 Transactions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first quarter of 2017, the Company sold an operating joint venture to a former affiliate and the resulting $202 million gain was treated as a cash capital contribution. See Note 7.</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April 2017, in connection with the Contribution Transactions, the Company recognized a $2.7 billion return of capital to MetLife, Inc. See Note 3 for additional information regarding the Contribution Transactions. During the years ended December 31, 2016 and 2015, the Company recognized non-cash returns of capital to MetLife, Inc. of $26 million and $50 million, respectively.</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second quarter of 2017, MetLife, Inc. forgave Brighthouse Life Insurance Company’s obligation to pay the principal amount of $750 million of surplus notes held by MetLife, Inc. The forgiveness of these notes was a non-cash capital contribution. See Note 10 for additional information regarding the surplus notes.</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third quarter of 2017, the Company recognized a $1.1 billion non-cash tax charge and corresponding capital contribution from MetLife, Inc. This tax obligation was triggered prior to the Separation and MetLife, Inc. is responsible for this obligation through a Tax Separation Agreement. See Note 13 for additional information regarding the tax charge.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year ended December 31, 2017, the Company received cash capital contributions totaling $1.3 billion from Brighthouse Holdings, LLC.</w:t>
      </w:r>
    </w:p>
    <w:p>
      <w:pPr>
        <w:spacing w:after="0" w:line="1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years ended December 31, 2016 and 2015, the Company received cash capital contributions of $1.6 billion and $21 million, respectively and recognized non-cash capital contributions of $69 million and $181 million, respectively, from MetLife, Inc.</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December 2015 and 2014, the Company accrued capital contributions from MetLife, Inc. of $120 million and $385 million, respectively, in premiums, reinsurance and other receivables and additional paid-in capital, which were settled for cash in 2016 and 2015, respectively.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284"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Equity and Income</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states of domicile of Brighthouse Life Insurance Company and BHNY impose risk-based capital (“RBC”) requirements that were developed by the National Association of Insurance Commissioners (“NAIC”). Regulatory compliance is determined by a ratio of a company’s total adjusted capital, calculated in the manner prescribed by the NAIC (“TAC”) to its authorized control level RBC, calculated in the manner prescribed by the NAIC (“ACL RBC”), based on the statutory-based filed financial statements. Companies below specific trigger levels or ratios are classified by their respective levels, each of which requires specified corrective action. The minimum level of TAC before corrective action commences is twice ACL RBC. The RBC ratios for Brighthouse Life Insurance Company and BHNY were each in excess of 400% for all periods presented.</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Brighthouse Life Insurance Company and BHNY prepare statutory-basis financial statements in accordance with statutory accounting practices prescribed or permitted by the insurance department of the state of domicile.</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Statutory accounting principles differ from GAAP primarily by charging policy acquisition costs to expense as incurred, establishing future policy benefit liabilities using different actuarial assumptions, reporting of reinsurance agreements and valuing investments and deferred tax assets on a different basis. Brighthouse Life Insurance Company and BHNY have no material state prescribed accounting practices.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tables below present amounts from Brighthouse Life Insurance Company and BHNY, which are derived from the statutory-basis financial statements as filed with the insurance regulators.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Statutory net income (loss)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w w:val="91"/>
              </w:rPr>
              <w:t>Years Ended December 31,</w:t>
            </w:r>
          </w:p>
        </w:tc>
        <w:tc>
          <w:tcPr>
            <w:tcW w:w="1000" w:type="dxa"/>
            <w:vAlign w:val="bottom"/>
            <w:tcBorders>
              <w:bottom w:val="single" w:sz="8" w:color="auto"/>
            </w:tcBorders>
          </w:tcPr>
          <w:p>
            <w:pPr>
              <w:spacing w:after="0"/>
              <w:rPr>
                <w:sz w:val="16"/>
                <w:szCs w:val="16"/>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Company</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State of Domicile</w:t>
            </w:r>
          </w:p>
        </w:tc>
        <w:tc>
          <w:tcPr>
            <w:tcW w:w="300" w:type="dxa"/>
            <w:vAlign w:val="bottom"/>
          </w:tcPr>
          <w:p>
            <w:pPr>
              <w:spacing w:after="0"/>
              <w:rPr>
                <w:sz w:val="22"/>
                <w:szCs w:val="22"/>
                <w:color w:val="auto"/>
              </w:rPr>
            </w:pPr>
          </w:p>
        </w:tc>
        <w:tc>
          <w:tcPr>
            <w:tcW w:w="920" w:type="dxa"/>
            <w:vAlign w:val="bottom"/>
          </w:tcPr>
          <w:p>
            <w:pPr>
              <w:jc w:val="right"/>
              <w:ind w:right="362"/>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22"/>
                <w:szCs w:val="22"/>
                <w:color w:val="auto"/>
              </w:rPr>
            </w:pPr>
          </w:p>
        </w:tc>
        <w:tc>
          <w:tcPr>
            <w:tcW w:w="1080" w:type="dxa"/>
            <w:vAlign w:val="bottom"/>
          </w:tcPr>
          <w:p>
            <w:pPr>
              <w:jc w:val="right"/>
              <w:ind w:right="443"/>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22"/>
                <w:szCs w:val="22"/>
                <w:color w:val="auto"/>
              </w:rPr>
            </w:pPr>
          </w:p>
        </w:tc>
        <w:tc>
          <w:tcPr>
            <w:tcW w:w="1000" w:type="dxa"/>
            <w:vAlign w:val="bottom"/>
          </w:tcPr>
          <w:p>
            <w:pPr>
              <w:jc w:val="right"/>
              <w:ind w:right="462"/>
              <w:spacing w:after="0"/>
              <w:rPr>
                <w:sz w:val="20"/>
                <w:szCs w:val="20"/>
                <w:color w:val="auto"/>
              </w:rPr>
            </w:pPr>
            <w:r>
              <w:rPr>
                <w:rFonts w:ascii="Arial" w:cs="Arial" w:eastAsia="Arial" w:hAnsi="Arial"/>
                <w:sz w:val="14"/>
                <w:szCs w:val="14"/>
                <w:b w:val="1"/>
                <w:bCs w:val="1"/>
                <w:color w:val="auto"/>
              </w:rPr>
              <w:t>2015</w:t>
            </w:r>
          </w:p>
        </w:tc>
      </w:tr>
      <w:tr>
        <w:trPr>
          <w:trHeight w:val="264"/>
        </w:trPr>
        <w:tc>
          <w:tcPr>
            <w:tcW w:w="5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56"/>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Brighthouse Life Insurance Company</w:t>
            </w:r>
          </w:p>
        </w:tc>
        <w:tc>
          <w:tcPr>
            <w:tcW w:w="1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Delaware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1,186</w:t>
            </w:r>
          </w:p>
        </w:tc>
        <w:tc>
          <w:tcPr>
            <w:tcW w:w="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(1,022)</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Brighthouse Life Insurance Company of NY</w:t>
            </w: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New York</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3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(87)</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17</w:t>
            </w:r>
          </w:p>
        </w:tc>
      </w:tr>
    </w:tbl>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Statutory capital and surplus was as follows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20" w:type="dxa"/>
            <w:vAlign w:val="bottom"/>
            <w:gridSpan w:val="2"/>
          </w:tcPr>
          <w:p>
            <w:pPr>
              <w:ind w:left="40"/>
              <w:spacing w:after="0"/>
              <w:rPr>
                <w:sz w:val="20"/>
                <w:szCs w:val="20"/>
                <w:color w:val="auto"/>
              </w:rPr>
            </w:pPr>
            <w:r>
              <w:rPr>
                <w:rFonts w:ascii="Arial" w:cs="Arial" w:eastAsia="Arial" w:hAnsi="Arial"/>
                <w:sz w:val="14"/>
                <w:szCs w:val="14"/>
                <w:b w:val="1"/>
                <w:bCs w:val="1"/>
                <w:color w:val="auto"/>
              </w:rPr>
              <w:t>Company</w:t>
            </w:r>
          </w:p>
        </w:tc>
        <w:tc>
          <w:tcPr>
            <w:tcW w:w="280" w:type="dxa"/>
            <w:vAlign w:val="bottom"/>
          </w:tcPr>
          <w:p>
            <w:pPr>
              <w:spacing w:after="0"/>
              <w:rPr>
                <w:sz w:val="22"/>
                <w:szCs w:val="22"/>
                <w:color w:val="auto"/>
              </w:rPr>
            </w:pPr>
          </w:p>
        </w:tc>
        <w:tc>
          <w:tcPr>
            <w:tcW w:w="980" w:type="dxa"/>
            <w:vAlign w:val="bottom"/>
          </w:tcPr>
          <w:p>
            <w:pPr>
              <w:jc w:val="right"/>
              <w:ind w:right="424"/>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22"/>
                <w:szCs w:val="22"/>
                <w:color w:val="auto"/>
              </w:rPr>
            </w:pPr>
          </w:p>
        </w:tc>
        <w:tc>
          <w:tcPr>
            <w:tcW w:w="820" w:type="dxa"/>
            <w:vAlign w:val="bottom"/>
          </w:tcPr>
          <w:p>
            <w:pPr>
              <w:jc w:val="right"/>
              <w:ind w:right="402"/>
              <w:spacing w:after="0"/>
              <w:rPr>
                <w:sz w:val="20"/>
                <w:szCs w:val="20"/>
                <w:color w:val="auto"/>
              </w:rPr>
            </w:pPr>
            <w:r>
              <w:rPr>
                <w:rFonts w:ascii="Arial" w:cs="Arial" w:eastAsia="Arial" w:hAnsi="Arial"/>
                <w:sz w:val="14"/>
                <w:szCs w:val="14"/>
                <w:b w:val="1"/>
                <w:bCs w:val="1"/>
                <w:color w:val="auto"/>
              </w:rPr>
              <w:t>2016</w:t>
            </w:r>
          </w:p>
        </w:tc>
      </w:tr>
      <w:tr>
        <w:trPr>
          <w:trHeight w:val="264"/>
        </w:trPr>
        <w:tc>
          <w:tcPr>
            <w:tcW w:w="8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Borders>
              <w:top w:val="single" w:sz="8" w:color="auto"/>
            </w:tcBorders>
          </w:tcPr>
          <w:p>
            <w:pPr>
              <w:spacing w:after="0"/>
              <w:rPr>
                <w:sz w:val="22"/>
                <w:szCs w:val="22"/>
                <w:color w:val="auto"/>
              </w:rPr>
            </w:pPr>
          </w:p>
        </w:tc>
      </w:tr>
      <w:tr>
        <w:trPr>
          <w:trHeight w:val="256"/>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Brighthouse Life Insurance Company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5,594</w:t>
            </w:r>
          </w:p>
        </w:tc>
        <w:tc>
          <w:tcPr>
            <w:tcW w:w="5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4,374</w:t>
            </w:r>
          </w:p>
        </w:tc>
      </w:tr>
      <w:tr>
        <w:trPr>
          <w:trHeight w:val="237"/>
        </w:trPr>
        <w:tc>
          <w:tcPr>
            <w:tcW w:w="8820" w:type="dxa"/>
            <w:vAlign w:val="bottom"/>
            <w:gridSpan w:val="2"/>
          </w:tcPr>
          <w:p>
            <w:pPr>
              <w:ind w:left="40"/>
              <w:spacing w:after="0"/>
              <w:rPr>
                <w:sz w:val="20"/>
                <w:szCs w:val="20"/>
                <w:color w:val="auto"/>
              </w:rPr>
            </w:pPr>
            <w:r>
              <w:rPr>
                <w:rFonts w:ascii="Arial" w:cs="Arial" w:eastAsia="Arial" w:hAnsi="Arial"/>
                <w:sz w:val="16"/>
                <w:szCs w:val="16"/>
                <w:color w:val="auto"/>
              </w:rPr>
              <w:t>Brighthouse Life Insurance Company of NY</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4"/>
              <w:spacing w:after="0"/>
              <w:rPr>
                <w:sz w:val="20"/>
                <w:szCs w:val="20"/>
                <w:color w:val="auto"/>
              </w:rPr>
            </w:pPr>
            <w:r>
              <w:rPr>
                <w:rFonts w:ascii="Arial" w:cs="Arial" w:eastAsia="Arial" w:hAnsi="Arial"/>
                <w:sz w:val="16"/>
                <w:szCs w:val="16"/>
                <w:color w:val="auto"/>
              </w:rPr>
              <w:t>294</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196</w:t>
            </w:r>
          </w:p>
        </w:tc>
      </w:tr>
    </w:tbl>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Brighthouse Life Insurance Company has a reinsurance subsidiary, BRCD that was formed in 2017 as the result of the merger of certain other affiliated captive reinsurance subsidiaries. BRCD reinsures risks including level premium term life and ULSG assumed from other Brighthouse Life Insurance Company subsidiaries. BRCD, with the explicit permission of the Delaware Commissioner, has included, as admitted assets, the value of credit-linked notes, serving as collateral, which resulted in higher statutory capital and surplus of $8.3 billion for the year ended December 31, 2017. BRCD’s RBC would have triggered a regulatory event without the use of the state prescribed practice.</w:t>
      </w:r>
    </w:p>
    <w:p>
      <w:pPr>
        <w:spacing w:after="0" w:line="8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Prior to the formation of BRCD and related merger, the legacy MetLife captive reinsurance subsidiaries included in the statutory merger and formation of BRCD had certain state prescribed accounting practices. A protected designated cell of MetLife Reinsurance Company of Vermont’s (“MRV Cell”), with the explicit permission of the Commissioner of Insurance of the State of Vermont, included, as admitted assets, the value of letters of credit serving as collateral for reinsurance credit taken by various affiliated cedants, in connection with reinsurance agreements entered into between MRV Cell and the various affiliated cedants, which resulted in higher statutory capital and surplus of $3.0 billion for the year ended December 31, 2016. MRV Cell’s RBC would have triggered a regulatory event without the use of the state prescribed practice. MetLife Reinsurance Company of Delaware (“MRD”), with the explicit permission of the Delaware Commissioner, previously included, as admitted assets, the value of letters of credit issued to MRD, serving as collateral, which resulted in higher statutory capital and surplus of $260 million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229"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(continued)</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for the year ended December 31, 2016. MRD’s RBC would not have triggered a regulatory event without the use of the state prescribed practice.</w:t>
      </w:r>
    </w:p>
    <w:p>
      <w:pPr>
        <w:spacing w:after="0" w:line="1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statutory net income (loss) of the Company’s affiliate reinsurance companies was ($1.6) billion, ($363) million and ($372) million for the years ended December 2017, 2016 and 2015, respectively, and the combined statutory capital and surplus, including the aforementioned prescribed practices, were $972 million and $2.6 billion at December 31, 2017 and 2016,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Restrictions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table below sets forth the dividends permitted to be paid by the Company’s insurance companies without insurance regulatory approval and dividends paid: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6"/>
              </w:rPr>
              <w:t>Permitted Without</w:t>
            </w:r>
          </w:p>
        </w:tc>
        <w:tc>
          <w:tcPr>
            <w:tcW w:w="280" w:type="dxa"/>
            <w:vAlign w:val="bottom"/>
          </w:tcPr>
          <w:p>
            <w:pPr>
              <w:spacing w:after="0"/>
              <w:rPr>
                <w:sz w:val="13"/>
                <w:szCs w:val="13"/>
                <w:color w:val="auto"/>
              </w:rPr>
            </w:pPr>
          </w:p>
        </w:tc>
        <w:tc>
          <w:tcPr>
            <w:tcW w:w="15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Paid (2)</w:t>
            </w:r>
          </w:p>
        </w:tc>
        <w:tc>
          <w:tcPr>
            <w:tcW w:w="340" w:type="dxa"/>
            <w:vAlign w:val="bottom"/>
          </w:tcPr>
          <w:p>
            <w:pPr>
              <w:spacing w:after="0"/>
              <w:rPr>
                <w:sz w:val="13"/>
                <w:szCs w:val="13"/>
                <w:color w:val="auto"/>
              </w:rPr>
            </w:pPr>
          </w:p>
        </w:tc>
        <w:tc>
          <w:tcPr>
            <w:tcW w:w="1340" w:type="dxa"/>
            <w:vAlign w:val="bottom"/>
            <w:vMerge w:val="restart"/>
          </w:tcPr>
          <w:p>
            <w:pPr>
              <w:jc w:val="right"/>
              <w:ind w:right="523"/>
              <w:spacing w:after="0"/>
              <w:rPr>
                <w:sz w:val="20"/>
                <w:szCs w:val="20"/>
                <w:color w:val="auto"/>
              </w:rPr>
            </w:pPr>
            <w:r>
              <w:rPr>
                <w:rFonts w:ascii="Arial" w:cs="Arial" w:eastAsia="Arial" w:hAnsi="Arial"/>
                <w:sz w:val="14"/>
                <w:szCs w:val="14"/>
                <w:b w:val="1"/>
                <w:bCs w:val="1"/>
                <w:color w:val="auto"/>
              </w:rPr>
              <w:t>Paid (2)</w:t>
            </w:r>
          </w:p>
        </w:tc>
        <w:tc>
          <w:tcPr>
            <w:tcW w:w="0" w:type="dxa"/>
            <w:vAlign w:val="bottom"/>
          </w:tcPr>
          <w:p>
            <w:pPr>
              <w:spacing w:after="0"/>
              <w:rPr>
                <w:sz w:val="1"/>
                <w:szCs w:val="1"/>
                <w:color w:val="auto"/>
              </w:rPr>
            </w:pPr>
          </w:p>
        </w:tc>
      </w:tr>
      <w:tr>
        <w:trPr>
          <w:trHeight w:val="105"/>
        </w:trPr>
        <w:tc>
          <w:tcPr>
            <w:tcW w:w="6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Company</w:t>
            </w:r>
          </w:p>
        </w:tc>
        <w:tc>
          <w:tcPr>
            <w:tcW w:w="180" w:type="dxa"/>
            <w:vAlign w:val="bottom"/>
          </w:tcPr>
          <w:p>
            <w:pPr>
              <w:spacing w:after="0"/>
              <w:rPr>
                <w:sz w:val="9"/>
                <w:szCs w:val="9"/>
                <w:color w:val="auto"/>
              </w:rPr>
            </w:pPr>
          </w:p>
        </w:tc>
        <w:tc>
          <w:tcPr>
            <w:tcW w:w="16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Approval (1)</w:t>
            </w:r>
          </w:p>
        </w:tc>
        <w:tc>
          <w:tcPr>
            <w:tcW w:w="2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60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5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Brighthouse Life Insurance Company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6"/>
                <w:szCs w:val="16"/>
                <w:color w:val="auto"/>
              </w:rPr>
              <w:t>Brighthouse Life Insurance Company of NY</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44"/>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960" w:type="dxa"/>
            <w:vAlign w:val="bottom"/>
          </w:tcPr>
          <w:p>
            <w:pPr>
              <w:jc w:val="right"/>
              <w:ind w:right="4863"/>
              <w:spacing w:after="0"/>
              <w:rPr>
                <w:sz w:val="20"/>
                <w:szCs w:val="20"/>
                <w:color w:val="auto"/>
              </w:rPr>
            </w:pPr>
            <w:r>
              <w:rPr>
                <w:rFonts w:ascii="Arial" w:cs="Arial" w:eastAsia="Arial" w:hAnsi="Arial"/>
                <w:sz w:val="14"/>
                <w:szCs w:val="14"/>
                <w:b w:val="1"/>
                <w:bCs w:val="1"/>
                <w:color w:val="auto"/>
                <w:w w:val="91"/>
              </w:rPr>
              <w:t>______________</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both"/>
        <w:ind w:left="500" w:hanging="492"/>
        <w:spacing w:after="0" w:line="264"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Reflects dividend amounts that may be paid during 2018 without prior regulatory approval. However, because dividend tests may be based on dividends previously paid over rolling 12-month periods, if paid before a specified date during 2018, some or all of such dividends may require regulatory approval.</w:t>
      </w:r>
    </w:p>
    <w:p>
      <w:pPr>
        <w:spacing w:after="0" w:line="73" w:lineRule="exact"/>
        <w:rPr>
          <w:rFonts w:ascii="Arial" w:cs="Arial" w:eastAsia="Arial" w:hAnsi="Arial"/>
          <w:sz w:val="18"/>
          <w:szCs w:val="18"/>
          <w:color w:val="auto"/>
        </w:rPr>
      </w:pPr>
    </w:p>
    <w:p>
      <w:pPr>
        <w:ind w:left="500" w:hanging="49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Reflects all amounts paid, including those requiring regulatory approval.</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the Delaware Insurance Code, Brighthouse Life Insurance Company is permitted, without prior insurance regulatory clearance, to pay a stockholder dividend as long as the amount of the dividend when aggregated with all other dividends in the preceding 12 months does not exceed the greater of: (i) 10% of its surplus to policyholders as of the end of the immediately preceding calendar year; or (ii) its net statutory gain from operations for the immediately preceding calendar year (excluding realized capital gains), not including pro rata distributions of Brighthouse Life Insurance Company’s own securities. Brighthouse Life Insurance Company will be permitted to pay a stockholder dividend in excess of the greater of such two amounts only if it files notice of the declaration of such a dividend and the amount thereof with the Delaware Commissioner and the Delaware Commissioner either approves the distribution of the dividend or does not disapprove the distribution within 30 days of its filing. In addition, any dividend that exceeds earned surplus (defined as “unassigned funds (surplus)”) as of the immediately preceding calendar year requires insurance regulatory approval. Under the Delaware Insurance Code, the Delaware Commissioner has broad discretion in determining whether the financial condition of a stock life insurance company would support the payment of such dividends to its stockholders.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the New York Insurance Law, BHNY may not pay stockholder dividends without prior approval of the New York Superintendent of Financial Services.</w:t>
      </w:r>
    </w:p>
    <w:p>
      <w:pPr>
        <w:spacing w:after="0" w:line="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Under BRCD’s plan of operations, no dividend or distribution may be made by BRCD without the prior approval of the Delaware Commissioner. During the year ended December 31, 2017, BRCD paid an extraordinary cash dividend of $535 million to Brighthouse Life Insurance Company.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22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changes in the balances of each component of AOCI was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Investment Gains</w:t>
            </w:r>
          </w:p>
        </w:tc>
        <w:tc>
          <w:tcPr>
            <w:tcW w:w="180" w:type="dxa"/>
            <w:vAlign w:val="bottom"/>
          </w:tcPr>
          <w:p>
            <w:pPr>
              <w:spacing w:after="0"/>
              <w:rPr>
                <w:sz w:val="12"/>
                <w:szCs w:val="12"/>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Unrealized Gains</w:t>
            </w:r>
          </w:p>
        </w:tc>
        <w:tc>
          <w:tcPr>
            <w:tcW w:w="22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Currency</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(Losses), Net of</w:t>
            </w: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320" w:type="dxa"/>
            <w:vAlign w:val="bottom"/>
          </w:tcPr>
          <w:p>
            <w:pPr>
              <w:spacing w:after="0"/>
              <w:rPr>
                <w:sz w:val="12"/>
                <w:szCs w:val="12"/>
                <w:color w:val="auto"/>
              </w:rPr>
            </w:pPr>
          </w:p>
        </w:tc>
        <w:tc>
          <w:tcPr>
            <w:tcW w:w="10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Related Offsets (1)</w:t>
            </w:r>
          </w:p>
        </w:tc>
        <w:tc>
          <w:tcPr>
            <w:tcW w:w="17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0"/>
              </w:rPr>
              <w:t>(Losses) on Derivatives</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ind w:left="780"/>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1, 2015</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2,622</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OCI before reclassifications</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(1,693)</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benefit (expense)</w:t>
            </w: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17"/>
        </w:trPr>
        <w:tc>
          <w:tcPr>
            <w:tcW w:w="4800" w:type="dxa"/>
            <w:vAlign w:val="bottom"/>
          </w:tcPr>
          <w:p>
            <w:pPr>
              <w:ind w:left="280"/>
              <w:spacing w:after="0"/>
              <w:rPr>
                <w:sz w:val="20"/>
                <w:szCs w:val="20"/>
                <w:color w:val="auto"/>
              </w:rPr>
            </w:pPr>
            <w:r>
              <w:rPr>
                <w:rFonts w:ascii="Arial" w:cs="Arial" w:eastAsia="Arial" w:hAnsi="Arial"/>
                <w:sz w:val="16"/>
                <w:szCs w:val="16"/>
                <w:color w:val="auto"/>
              </w:rPr>
              <w:t>AOCI before reclassifications, net of income tax</w:t>
            </w:r>
          </w:p>
        </w:tc>
        <w:tc>
          <w:tcPr>
            <w:tcW w:w="2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1,329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1,548</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Amounts reclassified from AOCI</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Deferred income tax benefit (expense)</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4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Amounts reclassified from AOCI, net of income tax</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7"/>
        </w:trPr>
        <w:tc>
          <w:tcPr>
            <w:tcW w:w="4800" w:type="dxa"/>
            <w:vAlign w:val="bottom"/>
          </w:tcPr>
          <w:p>
            <w:pPr>
              <w:ind w:left="40"/>
              <w:spacing w:after="0"/>
              <w:rPr>
                <w:sz w:val="20"/>
                <w:szCs w:val="20"/>
                <w:color w:val="auto"/>
              </w:rPr>
            </w:pPr>
            <w:r>
              <w:rPr>
                <w:rFonts w:ascii="Arial" w:cs="Arial" w:eastAsia="Arial" w:hAnsi="Arial"/>
                <w:sz w:val="16"/>
                <w:szCs w:val="16"/>
                <w:color w:val="auto"/>
              </w:rPr>
              <w:t>Balance at December 31, 2015</w:t>
            </w:r>
          </w:p>
        </w:tc>
        <w:tc>
          <w:tcPr>
            <w:tcW w:w="2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1,379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1,594</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OCI before reclassifications</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Deferred income tax benefit (expense)</w:t>
            </w:r>
          </w:p>
        </w:tc>
        <w:tc>
          <w:tcPr>
            <w:tcW w:w="240" w:type="dxa"/>
            <w:vAlign w:val="bottom"/>
          </w:tcPr>
          <w:p>
            <w:pPr>
              <w:spacing w:after="0"/>
              <w:rPr>
                <w:sz w:val="20"/>
                <w:szCs w:val="20"/>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33"/>
        </w:trPr>
        <w:tc>
          <w:tcPr>
            <w:tcW w:w="4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AOCI before reclassifications, net of income tax</w:t>
            </w:r>
          </w:p>
        </w:tc>
        <w:tc>
          <w:tcPr>
            <w:tcW w:w="2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1,256</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r>
              <w:rPr>
                <w:rFonts w:ascii="Arial" w:cs="Arial" w:eastAsia="Arial" w:hAnsi="Arial"/>
                <w:sz w:val="16"/>
                <w:szCs w:val="16"/>
                <w:color w:val="auto"/>
              </w:rPr>
              <w:t>Amounts reclassified from AOCI</w:t>
            </w:r>
          </w:p>
        </w:tc>
        <w:tc>
          <w:tcPr>
            <w:tcW w:w="240" w:type="dxa"/>
            <w:vAlign w:val="bottom"/>
          </w:tcPr>
          <w:p>
            <w:pPr>
              <w:spacing w:after="0"/>
              <w:rPr>
                <w:sz w:val="20"/>
                <w:szCs w:val="20"/>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benefit (expense)</w:t>
            </w: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4800" w:type="dxa"/>
            <w:vAlign w:val="bottom"/>
          </w:tcPr>
          <w:p>
            <w:pPr>
              <w:ind w:left="280"/>
              <w:spacing w:after="0"/>
              <w:rPr>
                <w:sz w:val="20"/>
                <w:szCs w:val="20"/>
                <w:color w:val="auto"/>
              </w:rPr>
            </w:pPr>
            <w:r>
              <w:rPr>
                <w:rFonts w:ascii="Arial" w:cs="Arial" w:eastAsia="Arial" w:hAnsi="Arial"/>
                <w:sz w:val="16"/>
                <w:szCs w:val="16"/>
                <w:color w:val="auto"/>
              </w:rPr>
              <w:t>Amounts reclassified from AOCI, net of income tax</w:t>
            </w:r>
          </w:p>
        </w:tc>
        <w:tc>
          <w:tcPr>
            <w:tcW w:w="2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4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2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r>
              <w:rPr>
                <w:rFonts w:ascii="Arial" w:cs="Arial" w:eastAsia="Arial" w:hAnsi="Arial"/>
                <w:sz w:val="16"/>
                <w:szCs w:val="16"/>
                <w:color w:val="auto"/>
              </w:rPr>
              <w:t>OCI before reclassifications</w:t>
            </w:r>
          </w:p>
        </w:tc>
        <w:tc>
          <w:tcPr>
            <w:tcW w:w="240" w:type="dxa"/>
            <w:vAlign w:val="bottom"/>
          </w:tcPr>
          <w:p>
            <w:pPr>
              <w:spacing w:after="0"/>
              <w:rPr>
                <w:sz w:val="20"/>
                <w:szCs w:val="20"/>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529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benefit (expense)</w:t>
            </w: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7"/>
        </w:trPr>
        <w:tc>
          <w:tcPr>
            <w:tcW w:w="4800" w:type="dxa"/>
            <w:vAlign w:val="bottom"/>
          </w:tcPr>
          <w:p>
            <w:pPr>
              <w:ind w:left="280"/>
              <w:spacing w:after="0"/>
              <w:rPr>
                <w:sz w:val="20"/>
                <w:szCs w:val="20"/>
                <w:color w:val="auto"/>
              </w:rPr>
            </w:pPr>
            <w:r>
              <w:rPr>
                <w:rFonts w:ascii="Arial" w:cs="Arial" w:eastAsia="Arial" w:hAnsi="Arial"/>
                <w:sz w:val="16"/>
                <w:szCs w:val="16"/>
                <w:color w:val="auto"/>
              </w:rPr>
              <w:t>AOCI before reclassifications, net of income tax</w:t>
            </w:r>
          </w:p>
        </w:tc>
        <w:tc>
          <w:tcPr>
            <w:tcW w:w="2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1,342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1,479</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Amounts reclassified from AOCI</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Deferred income tax benefit (expense) (2)</w:t>
            </w:r>
          </w:p>
        </w:tc>
        <w:tc>
          <w:tcPr>
            <w:tcW w:w="240" w:type="dxa"/>
            <w:vAlign w:val="bottom"/>
          </w:tcPr>
          <w:p>
            <w:pPr>
              <w:spacing w:after="0"/>
              <w:rPr>
                <w:sz w:val="20"/>
                <w:szCs w:val="20"/>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33"/>
        </w:trPr>
        <w:tc>
          <w:tcPr>
            <w:tcW w:w="4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Amounts reclassified from AOCI, net of income tax</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17"/>
        </w:trPr>
        <w:tc>
          <w:tcPr>
            <w:tcW w:w="4800" w:type="dxa"/>
            <w:vAlign w:val="bottom"/>
          </w:tcPr>
          <w:p>
            <w:pPr>
              <w:ind w:left="40"/>
              <w:spacing w:after="0"/>
              <w:rPr>
                <w:sz w:val="20"/>
                <w:szCs w:val="20"/>
                <w:color w:val="auto"/>
              </w:rPr>
            </w:pPr>
            <w:r>
              <w:rPr>
                <w:rFonts w:ascii="Arial" w:cs="Arial" w:eastAsia="Arial" w:hAnsi="Arial"/>
                <w:sz w:val="16"/>
                <w:szCs w:val="16"/>
                <w:color w:val="auto"/>
              </w:rPr>
              <w:t>Balance at December 31, 2017</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1,709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1,837</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17" w:lineRule="exact"/>
        <w:rPr>
          <w:sz w:val="20"/>
          <w:szCs w:val="20"/>
          <w:color w:val="auto"/>
        </w:rPr>
      </w:pPr>
    </w:p>
    <w:p>
      <w:pPr>
        <w:ind w:left="500" w:hanging="492"/>
        <w:spacing w:after="0"/>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See Note 7 for information on offsets to investments related to future policy benefits, DAC, VOBA and DSI.</w:t>
      </w:r>
    </w:p>
    <w:p>
      <w:pPr>
        <w:spacing w:after="0" w:line="11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the $330 million impact of the Tax Act related to unrealized investments gains (losses), net of related offsets. See Note 1 for more information.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22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color w:val="auto"/>
        </w:rPr>
        <w:t>(An Indirect Wholly-Owned Subsidiary of Brighthouse Financial, Inc.)</w:t>
      </w:r>
    </w:p>
    <w:p>
      <w:pPr>
        <w:spacing w:after="0" w:line="12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amounts reclassified out of each component of AOCI was as follows:</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AOCI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3241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unrealized investment gains (losses):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unrealized investment gains(losses)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unrealized investment gains (losses)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unrealized investment gains (losses)</w:t>
      </w:r>
    </w:p>
    <w:p>
      <w:pPr>
        <w:spacing w:after="0" w:line="109" w:lineRule="exact"/>
        <w:rPr>
          <w:sz w:val="20"/>
          <w:szCs w:val="20"/>
          <w:color w:val="auto"/>
        </w:rPr>
      </w:pPr>
    </w:p>
    <w:p>
      <w:pPr>
        <w:ind w:left="440" w:hanging="161"/>
        <w:spacing w:after="0" w:line="253" w:lineRule="auto"/>
        <w:rPr>
          <w:sz w:val="20"/>
          <w:szCs w:val="20"/>
          <w:color w:val="auto"/>
        </w:rPr>
      </w:pPr>
      <w:r>
        <w:rPr>
          <w:rFonts w:ascii="Arial" w:cs="Arial" w:eastAsia="Arial" w:hAnsi="Arial"/>
          <w:sz w:val="14"/>
          <w:szCs w:val="14"/>
          <w:color w:val="auto"/>
        </w:rPr>
        <w:t>Net unrealized investment gains (losses), before income tax</w:t>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Income tax (expense) benefit</w:t>
      </w:r>
    </w:p>
    <w:p>
      <w:pPr>
        <w:spacing w:after="0" w:line="109" w:lineRule="exact"/>
        <w:rPr>
          <w:sz w:val="20"/>
          <w:szCs w:val="20"/>
          <w:color w:val="auto"/>
        </w:rPr>
      </w:pPr>
    </w:p>
    <w:p>
      <w:pPr>
        <w:ind w:left="440" w:right="40" w:hanging="161"/>
        <w:spacing w:after="0" w:line="253" w:lineRule="auto"/>
        <w:rPr>
          <w:sz w:val="20"/>
          <w:szCs w:val="20"/>
          <w:color w:val="auto"/>
        </w:rPr>
      </w:pPr>
      <w:r>
        <w:rPr>
          <w:rFonts w:ascii="Arial" w:cs="Arial" w:eastAsia="Arial" w:hAnsi="Arial"/>
          <w:sz w:val="14"/>
          <w:szCs w:val="14"/>
          <w:color w:val="auto"/>
        </w:rPr>
        <w:t>Net unrealized investment gains (losses), net of income tax</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color w:val="auto"/>
        </w:rPr>
        <w:t>Unrealized gains (losses) on derivatives - cash flow hedges: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Interest rate swaps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Interest rate swaps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Interest rate forwards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Interest rate forwards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Foreign currency swaps</w:t>
      </w:r>
    </w:p>
    <w:p>
      <w:pPr>
        <w:spacing w:after="0" w:line="109" w:lineRule="exact"/>
        <w:rPr>
          <w:sz w:val="20"/>
          <w:szCs w:val="20"/>
          <w:color w:val="auto"/>
        </w:rPr>
      </w:pPr>
    </w:p>
    <w:p>
      <w:pPr>
        <w:ind w:left="280" w:right="760"/>
        <w:spacing w:after="0" w:line="253" w:lineRule="auto"/>
        <w:rPr>
          <w:sz w:val="20"/>
          <w:szCs w:val="20"/>
          <w:color w:val="auto"/>
        </w:rPr>
      </w:pPr>
      <w:r>
        <w:rPr>
          <w:rFonts w:ascii="Arial" w:cs="Arial" w:eastAsia="Arial" w:hAnsi="Arial"/>
          <w:sz w:val="14"/>
          <w:szCs w:val="14"/>
          <w:color w:val="auto"/>
        </w:rPr>
        <w:t>Gains (losses) on cash flow hedges, before income tax</w:t>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Income tax (expense) benefit</w:t>
      </w:r>
    </w:p>
    <w:p>
      <w:pPr>
        <w:spacing w:after="0" w:line="109" w:lineRule="exact"/>
        <w:rPr>
          <w:sz w:val="20"/>
          <w:szCs w:val="20"/>
          <w:color w:val="auto"/>
        </w:rPr>
      </w:pPr>
    </w:p>
    <w:p>
      <w:pPr>
        <w:ind w:left="280" w:right="800"/>
        <w:spacing w:after="0" w:line="253" w:lineRule="auto"/>
        <w:rPr>
          <w:sz w:val="20"/>
          <w:szCs w:val="20"/>
          <w:color w:val="auto"/>
        </w:rPr>
      </w:pPr>
      <w:r>
        <w:rPr>
          <w:rFonts w:ascii="Arial" w:cs="Arial" w:eastAsia="Arial" w:hAnsi="Arial"/>
          <w:sz w:val="14"/>
          <w:szCs w:val="14"/>
          <w:color w:val="auto"/>
        </w:rPr>
        <w:t>Gains (losses) on cash flow hedges, net of income tax</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reclassifications, net of income tax</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w w:val="86"/>
              </w:rPr>
              <w:t>Consolidated Statements of Operations and</w:t>
            </w:r>
          </w:p>
        </w:tc>
      </w:tr>
      <w:tr>
        <w:trPr>
          <w:trHeight w:val="174"/>
        </w:trPr>
        <w:tc>
          <w:tcPr>
            <w:tcW w:w="11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Amounts Reclassified from AOCI</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Comprehensive Income (Loss) Locations</w:t>
            </w:r>
          </w:p>
        </w:tc>
      </w:tr>
      <w:tr>
        <w:trPr>
          <w:trHeight w:val="264"/>
        </w:trPr>
        <w:tc>
          <w:tcPr>
            <w:tcW w:w="116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Years Ended December 31,</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40" w:type="dxa"/>
            <w:vAlign w:val="bottom"/>
          </w:tcPr>
          <w:p>
            <w:pPr>
              <w:spacing w:after="0"/>
              <w:rPr>
                <w:sz w:val="22"/>
                <w:szCs w:val="22"/>
                <w:color w:val="auto"/>
              </w:rPr>
            </w:pPr>
          </w:p>
        </w:tc>
      </w:tr>
      <w:tr>
        <w:trPr>
          <w:trHeight w:val="264"/>
        </w:trPr>
        <w:tc>
          <w:tcPr>
            <w:tcW w:w="11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2017</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2016</w:t>
            </w: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22"/>
                <w:szCs w:val="22"/>
                <w:color w:val="auto"/>
              </w:rPr>
            </w:pPr>
          </w:p>
        </w:tc>
        <w:tc>
          <w:tcPr>
            <w:tcW w:w="2840" w:type="dxa"/>
            <w:vAlign w:val="bottom"/>
          </w:tcPr>
          <w:p>
            <w:pPr>
              <w:spacing w:after="0"/>
              <w:rPr>
                <w:sz w:val="22"/>
                <w:szCs w:val="22"/>
                <w:color w:val="auto"/>
              </w:rPr>
            </w:pPr>
          </w:p>
        </w:tc>
      </w:tr>
      <w:tr>
        <w:trPr>
          <w:trHeight w:val="241"/>
        </w:trPr>
        <w:tc>
          <w:tcPr>
            <w:tcW w:w="116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3"/>
              </w:rPr>
              <w:t>(In millions)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10160</wp:posOffset>
            </wp:positionV>
            <wp:extent cx="72466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5"/>
                <w:szCs w:val="15"/>
                <w:color w:val="auto"/>
              </w:rPr>
            </w:pP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5"/>
                <w:szCs w:val="15"/>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(81)</w:t>
            </w:r>
          </w:p>
        </w:tc>
        <w:tc>
          <w:tcPr>
            <w:tcW w:w="1820" w:type="dxa"/>
            <w:vAlign w:val="bottom"/>
          </w:tcPr>
          <w:p>
            <w:pPr>
              <w:ind w:left="140"/>
              <w:spacing w:after="0"/>
              <w:rPr>
                <w:sz w:val="20"/>
                <w:szCs w:val="20"/>
                <w:color w:val="auto"/>
              </w:rPr>
            </w:pPr>
            <w:r>
              <w:rPr>
                <w:rFonts w:ascii="Arial" w:cs="Arial" w:eastAsia="Arial" w:hAnsi="Arial"/>
                <w:sz w:val="14"/>
                <w:szCs w:val="14"/>
                <w:color w:val="auto"/>
                <w:w w:val="90"/>
              </w:rPr>
              <w:t>Net investment gains (losses)</w:t>
            </w:r>
          </w:p>
        </w:tc>
      </w:tr>
      <w:tr>
        <w:trPr>
          <w:trHeight w:val="270"/>
        </w:trPr>
        <w:tc>
          <w:tcPr>
            <w:tcW w:w="6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820" w:type="dxa"/>
            <w:vAlign w:val="bottom"/>
          </w:tcPr>
          <w:p>
            <w:pPr>
              <w:ind w:left="140"/>
              <w:spacing w:after="0"/>
              <w:rPr>
                <w:sz w:val="20"/>
                <w:szCs w:val="20"/>
                <w:color w:val="auto"/>
              </w:rPr>
            </w:pPr>
            <w:r>
              <w:rPr>
                <w:rFonts w:ascii="Arial" w:cs="Arial" w:eastAsia="Arial" w:hAnsi="Arial"/>
                <w:sz w:val="14"/>
                <w:szCs w:val="14"/>
                <w:color w:val="auto"/>
              </w:rPr>
              <w:t>Net investment income</w:t>
            </w:r>
          </w:p>
        </w:tc>
      </w:tr>
      <w:tr>
        <w:trPr>
          <w:trHeight w:val="276"/>
        </w:trPr>
        <w:tc>
          <w:tcPr>
            <w:tcW w:w="6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820" w:type="dxa"/>
            <w:vAlign w:val="bottom"/>
          </w:tcPr>
          <w:p>
            <w:pPr>
              <w:ind w:left="140"/>
              <w:spacing w:after="0"/>
              <w:rPr>
                <w:sz w:val="20"/>
                <w:szCs w:val="20"/>
                <w:color w:val="auto"/>
              </w:rPr>
            </w:pPr>
            <w:r>
              <w:rPr>
                <w:rFonts w:ascii="Arial" w:cs="Arial" w:eastAsia="Arial" w:hAnsi="Arial"/>
                <w:sz w:val="14"/>
                <w:szCs w:val="14"/>
                <w:color w:val="auto"/>
                <w:w w:val="94"/>
              </w:rPr>
              <w:t>Net derivative gains (losses)</w:t>
            </w:r>
          </w:p>
        </w:tc>
      </w:tr>
      <w:tr>
        <w:trPr>
          <w:trHeight w:val="325"/>
        </w:trPr>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w:t>
            </w:r>
          </w:p>
        </w:tc>
        <w:tc>
          <w:tcPr>
            <w:tcW w:w="1820" w:type="dxa"/>
            <w:vAlign w:val="bottom"/>
          </w:tcPr>
          <w:p>
            <w:pPr>
              <w:spacing w:after="0"/>
              <w:rPr>
                <w:sz w:val="24"/>
                <w:szCs w:val="24"/>
                <w:color w:val="auto"/>
              </w:rPr>
            </w:pPr>
          </w:p>
        </w:tc>
      </w:tr>
      <w:tr>
        <w:trPr>
          <w:trHeight w:val="276"/>
        </w:trPr>
        <w:tc>
          <w:tcPr>
            <w:tcW w:w="6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w:t>
            </w:r>
          </w:p>
        </w:tc>
        <w:tc>
          <w:tcPr>
            <w:tcW w:w="1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w:t>
            </w:r>
          </w:p>
        </w:tc>
        <w:tc>
          <w:tcPr>
            <w:tcW w:w="1820" w:type="dxa"/>
            <w:vAlign w:val="bottom"/>
          </w:tcPr>
          <w:p>
            <w:pPr>
              <w:spacing w:after="0"/>
              <w:rPr>
                <w:sz w:val="24"/>
                <w:szCs w:val="24"/>
                <w:color w:val="auto"/>
              </w:rPr>
            </w:pPr>
          </w:p>
        </w:tc>
      </w:tr>
      <w:tr>
        <w:trPr>
          <w:trHeight w:val="318"/>
        </w:trPr>
        <w:tc>
          <w:tcPr>
            <w:tcW w:w="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w:t>
            </w:r>
          </w:p>
        </w:tc>
        <w:tc>
          <w:tcPr>
            <w:tcW w:w="140" w:type="dxa"/>
            <w:vAlign w:val="bottom"/>
          </w:tcPr>
          <w:p>
            <w:pPr>
              <w:spacing w:after="0"/>
              <w:rPr>
                <w:sz w:val="24"/>
                <w:szCs w:val="24"/>
                <w:color w:val="auto"/>
              </w:rPr>
            </w:pPr>
          </w:p>
        </w:tc>
        <w:tc>
          <w:tcPr>
            <w:tcW w:w="6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4"/>
                <w:szCs w:val="24"/>
                <w:color w:val="auto"/>
              </w:rPr>
            </w:pP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820" w:type="dxa"/>
            <w:vAlign w:val="bottom"/>
          </w:tcPr>
          <w:p>
            <w:pPr>
              <w:spacing w:after="0"/>
              <w:rPr>
                <w:sz w:val="24"/>
                <w:szCs w:val="24"/>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515"/>
        </w:trPr>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4"/>
                <w:szCs w:val="24"/>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820" w:type="dxa"/>
            <w:vAlign w:val="bottom"/>
          </w:tcPr>
          <w:p>
            <w:pPr>
              <w:ind w:left="140"/>
              <w:spacing w:after="0"/>
              <w:rPr>
                <w:sz w:val="20"/>
                <w:szCs w:val="20"/>
                <w:color w:val="auto"/>
              </w:rPr>
            </w:pPr>
            <w:r>
              <w:rPr>
                <w:rFonts w:ascii="Arial" w:cs="Arial" w:eastAsia="Arial" w:hAnsi="Arial"/>
                <w:sz w:val="14"/>
                <w:szCs w:val="14"/>
                <w:color w:val="auto"/>
                <w:w w:val="94"/>
              </w:rPr>
              <w:t>Net derivative gains (losses)</w:t>
            </w:r>
          </w:p>
        </w:tc>
      </w:tr>
      <w:tr>
        <w:trPr>
          <w:trHeight w:val="270"/>
        </w:trPr>
        <w:tc>
          <w:tcPr>
            <w:tcW w:w="6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820" w:type="dxa"/>
            <w:vAlign w:val="bottom"/>
          </w:tcPr>
          <w:p>
            <w:pPr>
              <w:ind w:left="140"/>
              <w:spacing w:after="0"/>
              <w:rPr>
                <w:sz w:val="20"/>
                <w:szCs w:val="20"/>
                <w:color w:val="auto"/>
              </w:rPr>
            </w:pPr>
            <w:r>
              <w:rPr>
                <w:rFonts w:ascii="Arial" w:cs="Arial" w:eastAsia="Arial" w:hAnsi="Arial"/>
                <w:sz w:val="14"/>
                <w:szCs w:val="14"/>
                <w:color w:val="auto"/>
              </w:rPr>
              <w:t>Net investment income</w:t>
            </w:r>
          </w:p>
        </w:tc>
      </w:tr>
      <w:tr>
        <w:trPr>
          <w:trHeight w:val="270"/>
        </w:trPr>
        <w:tc>
          <w:tcPr>
            <w:tcW w:w="62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820" w:type="dxa"/>
            <w:vAlign w:val="bottom"/>
          </w:tcPr>
          <w:p>
            <w:pPr>
              <w:ind w:left="140"/>
              <w:spacing w:after="0"/>
              <w:rPr>
                <w:sz w:val="20"/>
                <w:szCs w:val="20"/>
                <w:color w:val="auto"/>
              </w:rPr>
            </w:pPr>
            <w:r>
              <w:rPr>
                <w:rFonts w:ascii="Arial" w:cs="Arial" w:eastAsia="Arial" w:hAnsi="Arial"/>
                <w:sz w:val="14"/>
                <w:szCs w:val="14"/>
                <w:color w:val="auto"/>
                <w:w w:val="94"/>
              </w:rPr>
              <w:t>Net derivative gains (losses)</w:t>
            </w:r>
          </w:p>
        </w:tc>
      </w:tr>
      <w:tr>
        <w:trPr>
          <w:trHeight w:val="270"/>
        </w:trPr>
        <w:tc>
          <w:tcPr>
            <w:tcW w:w="6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820" w:type="dxa"/>
            <w:vAlign w:val="bottom"/>
          </w:tcPr>
          <w:p>
            <w:pPr>
              <w:ind w:left="140"/>
              <w:spacing w:after="0"/>
              <w:rPr>
                <w:sz w:val="20"/>
                <w:szCs w:val="20"/>
                <w:color w:val="auto"/>
              </w:rPr>
            </w:pPr>
            <w:r>
              <w:rPr>
                <w:rFonts w:ascii="Arial" w:cs="Arial" w:eastAsia="Arial" w:hAnsi="Arial"/>
                <w:sz w:val="14"/>
                <w:szCs w:val="14"/>
                <w:color w:val="auto"/>
              </w:rPr>
              <w:t>Net investment income</w:t>
            </w:r>
          </w:p>
        </w:tc>
      </w:tr>
      <w:tr>
        <w:trPr>
          <w:trHeight w:val="276"/>
        </w:trPr>
        <w:tc>
          <w:tcPr>
            <w:tcW w:w="6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20" w:type="dxa"/>
            <w:vAlign w:val="bottom"/>
          </w:tcPr>
          <w:p>
            <w:pPr>
              <w:ind w:left="140"/>
              <w:spacing w:after="0"/>
              <w:rPr>
                <w:sz w:val="20"/>
                <w:szCs w:val="20"/>
                <w:color w:val="auto"/>
              </w:rPr>
            </w:pPr>
            <w:r>
              <w:rPr>
                <w:rFonts w:ascii="Arial" w:cs="Arial" w:eastAsia="Arial" w:hAnsi="Arial"/>
                <w:sz w:val="14"/>
                <w:szCs w:val="14"/>
                <w:color w:val="auto"/>
                <w:w w:val="94"/>
              </w:rPr>
              <w:t>Net derivative gains (losses)</w:t>
            </w:r>
          </w:p>
        </w:tc>
      </w:tr>
      <w:tr>
        <w:trPr>
          <w:trHeight w:val="325"/>
        </w:trPr>
        <w:tc>
          <w:tcPr>
            <w:tcW w:w="62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820" w:type="dxa"/>
            <w:vAlign w:val="bottom"/>
          </w:tcPr>
          <w:p>
            <w:pPr>
              <w:spacing w:after="0"/>
              <w:rPr>
                <w:sz w:val="24"/>
                <w:szCs w:val="24"/>
                <w:color w:val="auto"/>
              </w:rPr>
            </w:pPr>
          </w:p>
        </w:tc>
      </w:tr>
      <w:tr>
        <w:trPr>
          <w:trHeight w:val="276"/>
        </w:trPr>
        <w:tc>
          <w:tcPr>
            <w:tcW w:w="6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820" w:type="dxa"/>
            <w:vAlign w:val="bottom"/>
          </w:tcPr>
          <w:p>
            <w:pPr>
              <w:spacing w:after="0"/>
              <w:rPr>
                <w:sz w:val="24"/>
                <w:szCs w:val="24"/>
                <w:color w:val="auto"/>
              </w:rPr>
            </w:pPr>
          </w:p>
        </w:tc>
      </w:tr>
      <w:tr>
        <w:trPr>
          <w:trHeight w:val="318"/>
        </w:trPr>
        <w:tc>
          <w:tcPr>
            <w:tcW w:w="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24"/>
                <w:szCs w:val="24"/>
                <w:color w:val="auto"/>
              </w:rPr>
            </w:pPr>
          </w:p>
        </w:tc>
        <w:tc>
          <w:tcPr>
            <w:tcW w:w="6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4"/>
                <w:szCs w:val="24"/>
                <w:color w:val="auto"/>
              </w:rPr>
            </w:pP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820" w:type="dxa"/>
            <w:vAlign w:val="bottom"/>
          </w:tcPr>
          <w:p>
            <w:pPr>
              <w:spacing w:after="0"/>
              <w:rPr>
                <w:sz w:val="24"/>
                <w:szCs w:val="24"/>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10"/>
        </w:trPr>
        <w:tc>
          <w:tcPr>
            <w:tcW w:w="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w:t>
            </w:r>
          </w:p>
        </w:tc>
        <w:tc>
          <w:tcPr>
            <w:tcW w:w="140" w:type="dxa"/>
            <w:vAlign w:val="bottom"/>
          </w:tcPr>
          <w:p>
            <w:pPr>
              <w:spacing w:after="0"/>
              <w:rPr>
                <w:sz w:val="18"/>
                <w:szCs w:val="18"/>
                <w:color w:val="auto"/>
              </w:rPr>
            </w:pPr>
          </w:p>
        </w:tc>
        <w:tc>
          <w:tcPr>
            <w:tcW w:w="6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820" w:type="dxa"/>
            <w:vAlign w:val="bottom"/>
          </w:tcPr>
          <w:p>
            <w:pPr>
              <w:spacing w:after="0"/>
              <w:rPr>
                <w:sz w:val="18"/>
                <w:szCs w:val="18"/>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-2812415</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-2469515</wp:posOffset>
            </wp:positionV>
            <wp:extent cx="7246620" cy="2228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-2074545</wp:posOffset>
            </wp:positionV>
            <wp:extent cx="7246620" cy="2228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-1663065</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-1320165</wp:posOffset>
            </wp:positionV>
            <wp:extent cx="72466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-977265</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-582295</wp:posOffset>
            </wp:positionV>
            <wp:extent cx="72466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-187960</wp:posOffset>
            </wp:positionV>
            <wp:extent cx="72466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00" w:space="280"/>
            <w:col w:w="7640"/>
          </w:cols>
          <w:pgMar w:left="240" w:top="229" w:right="239" w:bottom="1440" w:gutter="0" w:footer="0" w:header="0"/>
          <w:type w:val="continuous"/>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157</w:t>
      </w:r>
    </w:p>
    <w:p>
      <w:pPr>
        <w:sectPr>
          <w:pgSz w:w="11900" w:h="16838" w:orient="portrait"/>
          <w:cols w:equalWidth="0" w:num="1">
            <w:col w:w="11420"/>
          </w:cols>
          <w:pgMar w:left="240" w:top="229" w:right="239" w:bottom="1440" w:gutter="0" w:footer="0" w:header="0"/>
          <w:type w:val="continuous"/>
        </w:sectPr>
      </w:pPr>
    </w:p>
    <w:bookmarkStart w:id="158" w:name="page159"/>
    <w:bookmarkEnd w:id="1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Expenses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on other expenses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Commissions</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741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Volume-related costs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Related party expenses on ceded and assumed reinsurance</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Capitalization of DAC</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Interest expense on debt</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impairment (1)</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Premium taxes, licenses and fees</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services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Rent and related expenses</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7"/>
        </w:trPr>
        <w:tc>
          <w:tcPr>
            <w:tcW w:w="6740" w:type="dxa"/>
            <w:vAlign w:val="bottom"/>
          </w:tcPr>
          <w:p>
            <w:pPr>
              <w:ind w:left="200"/>
              <w:spacing w:after="0"/>
              <w:rPr>
                <w:sz w:val="20"/>
                <w:szCs w:val="20"/>
                <w:color w:val="auto"/>
              </w:rPr>
            </w:pPr>
            <w:r>
              <w:rPr>
                <w:rFonts w:ascii="Arial" w:cs="Arial" w:eastAsia="Arial" w:hAnsi="Arial"/>
                <w:sz w:val="16"/>
                <w:szCs w:val="16"/>
                <w:color w:val="auto"/>
              </w:rPr>
              <w:t>Total other expenses</w:t>
            </w:r>
          </w:p>
        </w:tc>
        <w:tc>
          <w:tcPr>
            <w:tcW w:w="960" w:type="dxa"/>
            <w:vAlign w:val="bottom"/>
            <w:tcBorders>
              <w:top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1,833</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2,081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1,723</w:t>
            </w:r>
          </w:p>
        </w:tc>
        <w:tc>
          <w:tcPr>
            <w:tcW w:w="0" w:type="dxa"/>
            <w:vAlign w:val="bottom"/>
          </w:tcPr>
          <w:p>
            <w:pPr>
              <w:spacing w:after="0"/>
              <w:rPr>
                <w:sz w:val="1"/>
                <w:szCs w:val="1"/>
                <w:color w:val="auto"/>
              </w:rPr>
            </w:pPr>
          </w:p>
        </w:tc>
      </w:tr>
      <w:tr>
        <w:trPr>
          <w:trHeight w:val="33"/>
        </w:trPr>
        <w:tc>
          <w:tcPr>
            <w:tcW w:w="674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7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hanging="492"/>
        <w:spacing w:after="0" w:line="277"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a quantitative analysis performed for the Run-off reporting unit, it was determined that the goodwill associated with this reporting unit was not recoverable and resulted in the impairment of the entire goodwill balance.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 of DAC</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5 for additional information on the capitalization of DAC.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on Debt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10 for attribution of interest expense by debt issuance. Interest expense on debt includes interest expense related to CSEs.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15 for a discussion of related party expenses included in the table above.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income tax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Federal</w:t>
            </w:r>
          </w:p>
        </w:tc>
        <w:tc>
          <w:tcPr>
            <w:tcW w:w="94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368</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35</w:t>
            </w:r>
          </w:p>
        </w:tc>
      </w:tr>
      <w:tr>
        <w:trPr>
          <w:trHeight w:val="33"/>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6740" w:type="dxa"/>
            <w:vAlign w:val="bottom"/>
          </w:tcPr>
          <w:p>
            <w:pPr>
              <w:ind w:left="360"/>
              <w:spacing w:after="0"/>
              <w:rPr>
                <w:sz w:val="20"/>
                <w:szCs w:val="20"/>
                <w:color w:val="auto"/>
              </w:rPr>
            </w:pPr>
            <w:r>
              <w:rPr>
                <w:rFonts w:ascii="Arial" w:cs="Arial" w:eastAsia="Arial" w:hAnsi="Arial"/>
                <w:sz w:val="16"/>
                <w:szCs w:val="16"/>
                <w:color w:val="auto"/>
              </w:rPr>
              <w:t>Subtotal</w:t>
            </w: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35</w:t>
            </w:r>
          </w:p>
        </w:tc>
      </w:tr>
      <w:tr>
        <w:trPr>
          <w:trHeight w:val="33"/>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674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Federal</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4"/>
              </w:rPr>
              <w:t>(1,124)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212</w:t>
            </w:r>
          </w:p>
        </w:tc>
      </w:tr>
      <w:tr>
        <w:trPr>
          <w:trHeight w:val="33"/>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6740" w:type="dxa"/>
            <w:vAlign w:val="bottom"/>
          </w:tcPr>
          <w:p>
            <w:pPr>
              <w:ind w:left="360"/>
              <w:spacing w:after="0"/>
              <w:rPr>
                <w:sz w:val="20"/>
                <w:szCs w:val="20"/>
                <w:color w:val="auto"/>
              </w:rPr>
            </w:pPr>
            <w:r>
              <w:rPr>
                <w:rFonts w:ascii="Arial" w:cs="Arial" w:eastAsia="Arial" w:hAnsi="Arial"/>
                <w:sz w:val="16"/>
                <w:szCs w:val="16"/>
                <w:color w:val="auto"/>
              </w:rPr>
              <w:t>Subtotal</w:t>
            </w: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(1,124)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212</w:t>
            </w:r>
          </w:p>
        </w:tc>
      </w:tr>
      <w:tr>
        <w:trPr>
          <w:trHeight w:val="33"/>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Provision for income tax expense (benefit)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9"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158</w:t>
      </w:r>
    </w:p>
    <w:p>
      <w:pPr>
        <w:sectPr>
          <w:pgSz w:w="11900" w:h="16838" w:orient="portrait"/>
          <w:cols w:equalWidth="0" w:num="1">
            <w:col w:w="11420"/>
          </w:cols>
          <w:pgMar w:left="240" w:top="229" w:right="239" w:bottom="1440" w:gutter="0" w:footer="0" w:header="0"/>
          <w:type w:val="continuous"/>
        </w:sectPr>
      </w:pPr>
    </w:p>
    <w:bookmarkStart w:id="159" w:name="page160"/>
    <w:bookmarkEnd w:id="1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 (continued)</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the income tax provision at the U.S. statutory rate to the provision for income tax as reported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provision at U.S. statutory rate</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408</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Tax effect of:</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Dividend received deduction</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24"/>
        </w:trPr>
        <w:tc>
          <w:tcPr>
            <w:tcW w:w="6740" w:type="dxa"/>
            <w:vAlign w:val="bottom"/>
          </w:tcPr>
          <w:p>
            <w:pPr>
              <w:ind w:left="200"/>
              <w:spacing w:after="0"/>
              <w:rPr>
                <w:sz w:val="20"/>
                <w:szCs w:val="20"/>
                <w:color w:val="auto"/>
              </w:rPr>
            </w:pPr>
            <w:r>
              <w:rPr>
                <w:rFonts w:ascii="Arial" w:cs="Arial" w:eastAsia="Arial" w:hAnsi="Arial"/>
                <w:sz w:val="16"/>
                <w:szCs w:val="16"/>
                <w:color w:val="auto"/>
              </w:rPr>
              <w:t>Excess loss account - Separation from MetLife (1)</w:t>
            </w:r>
          </w:p>
        </w:tc>
        <w:tc>
          <w:tcPr>
            <w:tcW w:w="960" w:type="dxa"/>
            <w:vAlign w:val="bottom"/>
          </w:tcPr>
          <w:p>
            <w:pPr>
              <w:spacing w:after="0"/>
              <w:rPr>
                <w:sz w:val="19"/>
                <w:szCs w:val="19"/>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1,088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Rate revaluation due to tax reform (2)</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Prior year tax</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Tax credits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Foreign tax rate differential</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 impairment</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Sale of subsidiary</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net</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6740" w:type="dxa"/>
            <w:vAlign w:val="bottom"/>
          </w:tcPr>
          <w:p>
            <w:pPr>
              <w:ind w:left="520"/>
              <w:spacing w:after="0"/>
              <w:rPr>
                <w:sz w:val="20"/>
                <w:szCs w:val="20"/>
                <w:color w:val="auto"/>
              </w:rPr>
            </w:pPr>
            <w:r>
              <w:rPr>
                <w:rFonts w:ascii="Arial" w:cs="Arial" w:eastAsia="Arial" w:hAnsi="Arial"/>
                <w:sz w:val="16"/>
                <w:szCs w:val="16"/>
                <w:color w:val="auto"/>
              </w:rPr>
              <w:t>Provision for income tax expense (benefit)</w:t>
            </w:r>
          </w:p>
        </w:tc>
        <w:tc>
          <w:tcPr>
            <w:tcW w:w="960" w:type="dxa"/>
            <w:vAlign w:val="bottom"/>
            <w:tcBorders>
              <w:top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(1,690)</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247</w:t>
            </w:r>
          </w:p>
        </w:tc>
      </w:tr>
      <w:tr>
        <w:trPr>
          <w:trHeight w:val="33"/>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3" w:lineRule="exact"/>
        <w:rPr>
          <w:sz w:val="20"/>
          <w:szCs w:val="20"/>
          <w:color w:val="auto"/>
        </w:rPr>
      </w:pPr>
    </w:p>
    <w:p>
      <w:pPr>
        <w:jc w:val="both"/>
        <w:ind w:left="340" w:hanging="332"/>
        <w:spacing w:after="0" w:line="264" w:lineRule="auto"/>
        <w:tabs>
          <w:tab w:leader="none" w:pos="281"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the year ended December 31, 2017, the Company recognized a $1.1 billion non-cash charge to provision for income tax expense and corresponding capital contribution from MetLife. This tax obligation was in connection with the Separation and MetLife is responsible for this obligation through a Tax Separation Agreement.</w:t>
      </w:r>
    </w:p>
    <w:p>
      <w:pPr>
        <w:spacing w:after="0" w:line="73" w:lineRule="exact"/>
        <w:rPr>
          <w:rFonts w:ascii="Arial" w:cs="Arial" w:eastAsia="Arial" w:hAnsi="Arial"/>
          <w:sz w:val="18"/>
          <w:szCs w:val="18"/>
          <w:color w:val="auto"/>
        </w:rPr>
      </w:pPr>
    </w:p>
    <w:p>
      <w:pPr>
        <w:ind w:left="340" w:hanging="332"/>
        <w:spacing w:after="0" w:line="259" w:lineRule="auto"/>
        <w:tabs>
          <w:tab w:leader="none" w:pos="277"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the year ended December 31, 2017, the Company recognized a $696 million benefit in net income from remeasurement of net deferred tax liabilities in connection with the Tax Act discussed in Note 1. As the Company completes the analysis of data relevant to the Tax Act, as well as interprets any additional guidance issued by the Internal Revenue Service (“IRS”), U.S. Department of the Treasury, or other relevant organizations, it may make adjustments to these amounts.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229"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 (continued)</w:t>
      </w:r>
    </w:p>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Deferred income tax represents the tax effect of the differences between the book and tax bases of assets and liabilities. Net deferred income tax assets and liabilities consisted of the following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assets:</w:t>
            </w:r>
          </w:p>
        </w:tc>
        <w:tc>
          <w:tcPr>
            <w:tcW w:w="9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200"/>
              <w:spacing w:after="0"/>
              <w:rPr>
                <w:sz w:val="20"/>
                <w:szCs w:val="20"/>
                <w:color w:val="auto"/>
              </w:rPr>
            </w:pPr>
            <w:r>
              <w:rPr>
                <w:rFonts w:ascii="Arial" w:cs="Arial" w:eastAsia="Arial" w:hAnsi="Arial"/>
                <w:sz w:val="16"/>
                <w:szCs w:val="16"/>
                <w:color w:val="auto"/>
              </w:rPr>
              <w:t>Investments, including derivatives</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357</w:t>
            </w:r>
          </w:p>
        </w:tc>
      </w:tr>
      <w:tr>
        <w:trPr>
          <w:trHeight w:val="33"/>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operating loss carryfowards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200"/>
              <w:spacing w:after="0"/>
              <w:rPr>
                <w:sz w:val="20"/>
                <w:szCs w:val="20"/>
                <w:color w:val="auto"/>
              </w:rPr>
            </w:pPr>
            <w:r>
              <w:rPr>
                <w:rFonts w:ascii="Arial" w:cs="Arial" w:eastAsia="Arial" w:hAnsi="Arial"/>
                <w:sz w:val="16"/>
                <w:szCs w:val="16"/>
                <w:color w:val="auto"/>
              </w:rPr>
              <w:t>Tax credit carryforwards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184</w:t>
            </w:r>
          </w:p>
        </w:tc>
      </w:tr>
      <w:tr>
        <w:trPr>
          <w:trHeight w:val="33"/>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Intangibles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20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55</w:t>
            </w:r>
          </w:p>
        </w:tc>
      </w:tr>
      <w:tr>
        <w:trPr>
          <w:trHeight w:val="33"/>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deferred income tax assets</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1,221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596</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Less: valuation allowance</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net deferred income tax assets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1,210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596</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color w:val="auto"/>
              </w:rPr>
              <w:t>Deferred income tax liabilities:</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Policyholder liabilities and receivables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536</w:t>
            </w:r>
          </w:p>
        </w:tc>
      </w:tr>
      <w:tr>
        <w:trPr>
          <w:trHeight w:val="237"/>
        </w:trPr>
        <w:tc>
          <w:tcPr>
            <w:tcW w:w="8340" w:type="dxa"/>
            <w:vAlign w:val="bottom"/>
          </w:tcPr>
          <w:p>
            <w:pPr>
              <w:ind w:left="200"/>
              <w:spacing w:after="0"/>
              <w:rPr>
                <w:sz w:val="20"/>
                <w:szCs w:val="20"/>
                <w:color w:val="auto"/>
              </w:rPr>
            </w:pPr>
            <w:r>
              <w:rPr>
                <w:rFonts w:ascii="Arial" w:cs="Arial" w:eastAsia="Arial" w:hAnsi="Arial"/>
                <w:sz w:val="16"/>
                <w:szCs w:val="16"/>
                <w:color w:val="auto"/>
              </w:rPr>
              <w:t>Intangibles</w:t>
            </w:r>
          </w:p>
        </w:tc>
        <w:tc>
          <w:tcPr>
            <w:tcW w:w="96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293</w:t>
            </w:r>
          </w:p>
        </w:tc>
      </w:tr>
      <w:tr>
        <w:trPr>
          <w:trHeight w:val="33"/>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unrealized investment gains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653</w:t>
            </w:r>
          </w:p>
        </w:tc>
      </w:tr>
      <w:tr>
        <w:trPr>
          <w:trHeight w:val="237"/>
        </w:trPr>
        <w:tc>
          <w:tcPr>
            <w:tcW w:w="8340" w:type="dxa"/>
            <w:vAlign w:val="bottom"/>
          </w:tcPr>
          <w:p>
            <w:pPr>
              <w:ind w:left="200"/>
              <w:spacing w:after="0"/>
              <w:rPr>
                <w:sz w:val="20"/>
                <w:szCs w:val="20"/>
                <w:color w:val="auto"/>
              </w:rPr>
            </w:pPr>
            <w:r>
              <w:rPr>
                <w:rFonts w:ascii="Arial" w:cs="Arial" w:eastAsia="Arial" w:hAnsi="Arial"/>
                <w:sz w:val="16"/>
                <w:szCs w:val="16"/>
                <w:color w:val="auto"/>
              </w:rPr>
              <w:t>DAC</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757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1,565</w:t>
            </w:r>
          </w:p>
        </w:tc>
      </w:tr>
      <w:tr>
        <w:trPr>
          <w:trHeight w:val="33"/>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deferred income tax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2,104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3,047</w:t>
            </w:r>
          </w:p>
        </w:tc>
      </w:tr>
      <w:tr>
        <w:trPr>
          <w:trHeight w:val="244"/>
        </w:trPr>
        <w:tc>
          <w:tcPr>
            <w:tcW w:w="8340" w:type="dxa"/>
            <w:vAlign w:val="bottom"/>
          </w:tcPr>
          <w:p>
            <w:pPr>
              <w:ind w:left="520"/>
              <w:spacing w:after="0"/>
              <w:rPr>
                <w:sz w:val="20"/>
                <w:szCs w:val="20"/>
                <w:color w:val="auto"/>
              </w:rPr>
            </w:pPr>
            <w:r>
              <w:rPr>
                <w:rFonts w:ascii="Arial" w:cs="Arial" w:eastAsia="Arial" w:hAnsi="Arial"/>
                <w:sz w:val="16"/>
                <w:szCs w:val="16"/>
                <w:color w:val="auto"/>
              </w:rPr>
              <w:t>Net deferred income tax asset (liability)</w:t>
            </w:r>
          </w:p>
        </w:tc>
        <w:tc>
          <w:tcPr>
            <w:tcW w:w="96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(894)</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(2,451)</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2017, the Company had net operating loss carryforwards of approximately $2.0 billion and the Company had recorded a related deferred tax asset of $416 million which expires in years 2033-2037.</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general business credits, foreign tax credits, and other credit carryforwards for tax purposes at December 31, 2017.</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Tax Credit Carryforwards</w:t>
            </w: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264"/>
        </w:trPr>
        <w:tc>
          <w:tcPr>
            <w:tcW w:w="53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General Business Credits</w:t>
            </w:r>
          </w:p>
        </w:tc>
        <w:tc>
          <w:tcPr>
            <w:tcW w:w="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Foreign Tax Credits</w:t>
            </w: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Other</w:t>
            </w:r>
          </w:p>
        </w:tc>
      </w:tr>
      <w:tr>
        <w:trPr>
          <w:trHeight w:val="250"/>
        </w:trPr>
        <w:tc>
          <w:tcPr>
            <w:tcW w:w="5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4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Expiration</w:t>
            </w:r>
          </w:p>
        </w:tc>
        <w:tc>
          <w:tcPr>
            <w:tcW w:w="1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2018-2022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tcPr>
          <w:p>
            <w:pPr>
              <w:ind w:left="154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2023-2027</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2028-2032</w:t>
            </w:r>
          </w:p>
        </w:tc>
        <w:tc>
          <w:tcPr>
            <w:tcW w:w="160" w:type="dxa"/>
            <w:vAlign w:val="bottom"/>
          </w:tcPr>
          <w:p>
            <w:pPr>
              <w:spacing w:after="0"/>
              <w:rPr>
                <w:sz w:val="20"/>
                <w:szCs w:val="20"/>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920" w:type="dxa"/>
            <w:vAlign w:val="bottom"/>
            <w:gridSpan w:val="2"/>
          </w:tcPr>
          <w:p>
            <w:pPr>
              <w:ind w:left="15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2033-2037</w:t>
            </w: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Indefinite</w:t>
            </w:r>
          </w:p>
        </w:tc>
        <w:tc>
          <w:tcPr>
            <w:tcW w:w="160" w:type="dxa"/>
            <w:vAlign w:val="bottom"/>
          </w:tcPr>
          <w:p>
            <w:pPr>
              <w:spacing w:after="0"/>
              <w:rPr>
                <w:sz w:val="20"/>
                <w:szCs w:val="20"/>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920" w:type="dxa"/>
            <w:vAlign w:val="bottom"/>
            <w:gridSpan w:val="2"/>
          </w:tcPr>
          <w:p>
            <w:pPr>
              <w:ind w:left="15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175</w:t>
            </w:r>
          </w:p>
        </w:tc>
      </w:tr>
      <w:tr>
        <w:trPr>
          <w:trHeight w:val="33"/>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5"/>
        </w:trPr>
        <w:tc>
          <w:tcPr>
            <w:tcW w:w="5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liability for unrecognized tax benefits may increase or decrease in the next 12 months. A reasonable estimate of the increase or decrease cannot be made at this time. However, the Company continues to believe that the ultimate resolution of the pending issues will not result in a material change to its consolidated financial statements, although the resolution of income tax matters could impact the Company’s effective tax rate for a particular future period.</w:t>
      </w:r>
    </w:p>
    <w:p>
      <w:pPr>
        <w:sectPr>
          <w:pgSz w:w="11900" w:h="16838" w:orient="portrait"/>
          <w:cols w:equalWidth="0" w:num="1">
            <w:col w:w="11420"/>
          </w:cols>
          <w:pgMar w:left="240" w:top="229"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160</w:t>
      </w:r>
    </w:p>
    <w:p>
      <w:pPr>
        <w:sectPr>
          <w:pgSz w:w="11900" w:h="16838" w:orient="portrait"/>
          <w:cols w:equalWidth="0" w:num="1">
            <w:col w:w="11420"/>
          </w:cols>
          <w:pgMar w:left="240" w:top="229" w:right="239" w:bottom="1440" w:gutter="0" w:footer="0" w:header="0"/>
          <w:type w:val="continuous"/>
        </w:sectPr>
      </w:pPr>
    </w:p>
    <w:bookmarkStart w:id="161" w:name="page162"/>
    <w:bookmarkEnd w:id="1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 (continued)</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 of unrecognized tax benefits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1,</w:t>
            </w:r>
          </w:p>
        </w:tc>
        <w:tc>
          <w:tcPr>
            <w:tcW w:w="104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Additions for tax positions of prior years</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w:t>
            </w:r>
          </w:p>
        </w:tc>
      </w:tr>
      <w:tr>
        <w:trPr>
          <w:trHeight w:val="33"/>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Reductions for tax positions of prior years</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Additions for tax positions of current year</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w:t>
            </w:r>
          </w:p>
        </w:tc>
      </w:tr>
      <w:tr>
        <w:trPr>
          <w:trHeight w:val="33"/>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Reductions for tax positions of current year</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Settlements with tax authorities</w:t>
            </w:r>
          </w:p>
        </w:tc>
        <w:tc>
          <w:tcPr>
            <w:tcW w:w="10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6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w:t>
            </w:r>
          </w:p>
        </w:tc>
        <w:tc>
          <w:tcPr>
            <w:tcW w:w="104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color w:val="auto"/>
              </w:rPr>
              <w:t>Unrecognized tax benefits that, if recognized would impact the effective rate</w:t>
            </w:r>
          </w:p>
        </w:tc>
        <w:tc>
          <w:tcPr>
            <w:tcW w:w="1040" w:type="dxa"/>
            <w:vAlign w:val="bottom"/>
          </w:tcPr>
          <w:p>
            <w:pPr>
              <w:jc w:val="right"/>
              <w:ind w:right="841"/>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33</w:t>
            </w:r>
          </w:p>
        </w:tc>
      </w:tr>
      <w:tr>
        <w:trPr>
          <w:trHeight w:val="20"/>
        </w:trPr>
        <w:tc>
          <w:tcPr>
            <w:tcW w:w="6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classifies interest accrued related to unrecognized tax benefits in interest expense, included within other expenses, while penalties are included in income tax expense. Interest related to unrecognized tax benefits was not significant. The Company had no penalties for each of the years ended December 31, 2017, 2016 and 2015.</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dividend received deduction reduces the amount of dividend income subject to tax and is a significant component of the difference between the actual tax expense and expected amount determined using the federal statutory tax rate. The Tax Act has changed the dividend received deduction amount applicable to insurance companies to a 70% company share and a 50% dividend received deduction for eligible dividends.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years ended December 31, 2017, 2016 and 2015, the Company recognized an income tax benefit of $123 million, $88 million and $143 million, respectively, related to the separate account dividend received deduction. The 2017 benefit included a benefit of $6 million related to a true-up of the 2016 tax return. The 2016 benefit included an expense of $22 million related to a true-up of the 2015 tax return. The 2015 benefit included a benefit of $13 million related to a true-up of the 2014 tax return.</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under continuous examination by the IRS and other tax authorities in jurisdictions in which the Company has significant business operations. The income tax years under examination vary by jurisdiction. The Company is no longer subject to U.S. federal, state, or local income tax examinations for years prior to 2007, except for 2006 where the IRS disallowance relates to policyholder liability deductions and the Company is engaged with IRS appeals. Management believes it has established adequate tax liabilities and final resolution of the audit for the years 2006 and forward is not expected to have a material impact on the Company's financial statements.</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Tax Sharing Agreements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periods prior to the Separation from MetLife, Brighthouse Life Insurance Company and its subsidiaries will file a consolidated U.S. life and non-life federal income tax return in accordance with the provisions of the Internal Revenue Code of 1986, as amended (the “Code”). Current taxes (and the benefits of tax attributes such as losses) are allocated to Brighthouse Life Insurance Company, and its includable subsidiaries, under the consolidated tax return regulations and a tax sharing agreement with MetLife. This tax sharing agreement states that federal taxes will be computed on a modified separate return basis with benefits for losses.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periods after the Separation, Brighthouse Life Insurance Company and any directly owned life insurance and reinsurance subsidiaries (including BHNY and BRCD) entered in a tax sharing agreement to join a life consolidated federal income tax return. The nonlife subsidiaries of Brighthouse Life Insurance Company will file their own U.S. federal income tax returns. The tax sharing agreements state that federal taxes are generally allocated to the Company as if each entity were filing its own separate company tax return, except that net operating losses and certain other tax attributes are characterized as realized (or realizable) when those tax attributes are realized (or realizable) by the Company.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22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Related Party Income Tax Transactions</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also entered into a tax separation agreement with MetLife (the “Tax Separation Agreement”). Among other things, the Tax Separation Agreement governs the allocation between MetLife and us of the responsibility for the taxes of the MetLife group. The Tax Separation Agreement also allocates rights, obligations and responsibilities in connection with certain administrative matters relating to the preparation of tax returns and control of tax audits and other proceedings relating to taxes. In October 2017, MetLife paid $723 million to Brighthouse Life Insurance Company and subsidiaries under the Tax Separation Agreement. At December 31, 2017, the current income tax recoverable included $857 million related to this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 Commitments and Guarantees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Litigation</w:t>
      </w:r>
    </w:p>
    <w:p>
      <w:pPr>
        <w:spacing w:after="0" w:line="117"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The Company is a defendant in a number of litigation matters. In some of the matters, large and/or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spacing w:after="0" w:line="70"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80"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December 31, 2017.</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Matters as to Which an Estimate Can Be Made</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For some loss contingency matters, the Company is able to estimate a reasonably possible range of loss. For such matters where a loss is believed to be reasonably possible, but not probable, no accrual has been made. As of December 31, 2017, the Company estimates the aggregate range of reasonably possible losses in excess of amounts accrued for these matters was not material.</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Matters as to Which an Estimate Cannot Be Made</w:t>
      </w:r>
    </w:p>
    <w:p>
      <w:pPr>
        <w:spacing w:after="0" w:line="117"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Sales Practices Claims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229"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 Commitments and Guarantees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Unclaimed Property Litigation</w:t>
      </w:r>
    </w:p>
    <w:p>
      <w:pPr>
        <w:spacing w:after="0" w:line="117" w:lineRule="exact"/>
        <w:rPr>
          <w:sz w:val="20"/>
          <w:szCs w:val="20"/>
          <w:color w:val="auto"/>
        </w:rPr>
      </w:pPr>
    </w:p>
    <w:p>
      <w:pPr>
        <w:jc w:val="both"/>
        <w:ind w:left="340" w:firstLine="324"/>
        <w:spacing w:after="0" w:line="270" w:lineRule="auto"/>
        <w:rPr>
          <w:sz w:val="20"/>
          <w:szCs w:val="20"/>
          <w:color w:val="auto"/>
        </w:rPr>
      </w:pPr>
      <w:r>
        <w:rPr>
          <w:rFonts w:ascii="Arial" w:cs="Arial" w:eastAsia="Arial" w:hAnsi="Arial"/>
          <w:sz w:val="17"/>
          <w:szCs w:val="17"/>
          <w:color w:val="auto"/>
        </w:rPr>
        <w:t>Total Asset Recovery Services, LLC on its own behalf and on behalf of the State of New York v. Brighthouse Financial, Inc. et al (Supreme Court, New York County, NY, second amended complaint filed November 17, 2017). Total Asset Recovery Services, LLC. (the “Relator”) has brought a qui tam action against Brighthouse Financial, Inc., and its subsidiaries and affiliates, under the New York False Claims Act seeking to recover damages on behalf of the State of New York. The action originally was filed under seal on or about December 3, 2010. The State of New York declined to intervene in the action, and the Relator is now prosecuting the action. The Relator alleges that from on or about April 1, 1986 and continuing annually through on or about September 10, 2017, the defendants violated New York State Finance Law Section 189 (1) (g) by failing to timely report and deliver unclaimed insurance property to the State of New York. The Relator is seeking, among other things, treble damages, penalties, expenses and attorneys’ fees and prejudgment interest. No specific dollar amount of damages is specified by the Relator who also is suing numerous insurance companies and John Doe defendants. The Brighthouse defendants intend to defend this action vigorously.</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Summary</w:t>
      </w:r>
    </w:p>
    <w:p>
      <w:pPr>
        <w:spacing w:after="0" w:line="117" w:lineRule="exact"/>
        <w:rPr>
          <w:sz w:val="20"/>
          <w:szCs w:val="20"/>
          <w:color w:val="auto"/>
        </w:rPr>
      </w:pPr>
    </w:p>
    <w:p>
      <w:pPr>
        <w:jc w:val="both"/>
        <w:ind w:left="340" w:firstLine="324"/>
        <w:spacing w:after="0" w:line="302" w:lineRule="auto"/>
        <w:rPr>
          <w:sz w:val="20"/>
          <w:szCs w:val="20"/>
          <w:color w:val="auto"/>
        </w:rPr>
      </w:pPr>
      <w:r>
        <w:rPr>
          <w:rFonts w:ascii="Arial" w:cs="Arial" w:eastAsia="Arial" w:hAnsi="Arial"/>
          <w:sz w:val="16"/>
          <w:szCs w:val="16"/>
          <w:color w:val="auto"/>
        </w:rPr>
        <w:t>Various litigation,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46"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It is not possible to predict the ultimate outcome of all pending investigations and legal proceedings. In some of the matters referred to previously, large and/or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and/or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Insolvency Assessments</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Most of the jurisdictions in which the Company is admitted to transact business require insurers doing business within the jurisdiction to participate in guaranty associations, which are organized to pay contractual benefits owed pursuant to insurance policies issued by impaired, insolvent or failed insurers. These associations levy assessments, up to prescribed limits, on all member insurers in a particular state on the basis of the proportionate share of the premiums written by member insurers in the lines of business in which the impaired, insolvent or failed insurer engaged. Some states permit member insurers to recover assessments paid through full or partial premium tax offsets.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Assets and liabilities held for insolvency assessments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6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0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Premium tax offset for future discounted and undiscounted assessments</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42"/>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13</w:t>
            </w:r>
          </w:p>
        </w:tc>
      </w:tr>
      <w:tr>
        <w:trPr>
          <w:trHeight w:val="33"/>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Premium tax offsets currently available for paid assessments</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w:t>
            </w:r>
          </w:p>
        </w:tc>
      </w:tr>
      <w:tr>
        <w:trPr>
          <w:trHeight w:val="217"/>
        </w:trPr>
        <w:tc>
          <w:tcPr>
            <w:tcW w:w="8340" w:type="dxa"/>
            <w:vAlign w:val="bottom"/>
          </w:tcPr>
          <w:p>
            <w:pPr>
              <w:ind w:left="200"/>
              <w:spacing w:after="0"/>
              <w:rPr>
                <w:sz w:val="20"/>
                <w:szCs w:val="20"/>
                <w:color w:val="auto"/>
              </w:rPr>
            </w:pPr>
            <w:r>
              <w:rPr>
                <w:rFonts w:ascii="Arial" w:cs="Arial" w:eastAsia="Arial" w:hAnsi="Arial"/>
                <w:sz w:val="16"/>
                <w:szCs w:val="16"/>
                <w:color w:val="auto"/>
              </w:rPr>
              <w:t>Total</w:t>
            </w:r>
          </w:p>
        </w:tc>
        <w:tc>
          <w:tcPr>
            <w:tcW w:w="1020" w:type="dxa"/>
            <w:vAlign w:val="bottom"/>
            <w:tcBorders>
              <w:top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21</w:t>
            </w:r>
          </w:p>
        </w:tc>
      </w:tr>
      <w:tr>
        <w:trPr>
          <w:trHeight w:val="73"/>
        </w:trPr>
        <w:tc>
          <w:tcPr>
            <w:tcW w:w="834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177"/>
        </w:trPr>
        <w:tc>
          <w:tcPr>
            <w:tcW w:w="83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Other Liabilities:</w:t>
            </w:r>
          </w:p>
        </w:tc>
        <w:tc>
          <w:tcPr>
            <w:tcW w:w="10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74"/>
        </w:trPr>
        <w:tc>
          <w:tcPr>
            <w:tcW w:w="83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Insolvency assessments</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42"/>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17</w:t>
            </w:r>
          </w:p>
        </w:tc>
      </w:tr>
      <w:tr>
        <w:trPr>
          <w:trHeight w:val="33"/>
        </w:trPr>
        <w:tc>
          <w:tcPr>
            <w:tcW w:w="83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229"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 Commitments and Guarantees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 Commitments</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The Company commits to lend funds under mortgage loan commitments. The amounts of these mortgage loan commitments were $388 million and $335 million at December 31, 2017 and 2016,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Commitments to Fund Partnership Investments and Private Corporate Bond Investments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Company commits to fund partnership investments and to lend funds under private corporate bond investments. The amounts of these unfunded commitments were $1.4 billion and $1.3 billion at December 31, 2017 and 2016,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 Commitments</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The Company had entered into collateral arrangements with former affiliates which required the transfer of collateral in connection with secured demand notes. These arrangements expired during the first quarter of 2017 and the Company is no longer transferring collateral to custody accounts. At December 31, 2016, the Company had agreed to fund up to $20 million of cash upon the request by these former affiliates and had transferred collateral consisting of various securities with a fair market value of $25 million to custody accounts to secure the demand notes. Each of these former affiliates was permitted by contract to sell or re-pledge this collateral.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normal course of its business, the Company has provided certain indemnities, guarantees and commitments to third parties such that it may be required to make payments now or in the future. In the context of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ranging from $6 million to $203 million, with a cumulative maximum of $208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recorded liabilities were $2 million at both December 31, 2017 and 2016 for indemnities, guarantees and commitments.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various existing arrangements with its Brighthouse affiliates and MetLife for services necessary to conduct its activities. Subsequent to the Separation, certain of the MetLife services continued, as provided for under a master service agreement and various transition services agreements entered into in connection with the Separation.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229" w:right="239" w:bottom="1440" w:gutter="0" w:footer="0" w:header="0"/>
        </w:sectPr>
      </w:pPr>
    </w:p>
    <w:bookmarkStart w:id="165" w:name="page166"/>
    <w:bookmarkEnd w:id="165"/>
    <w:p>
      <w:pPr>
        <w:ind w:left="34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Non-Broker-Dealer Transactions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income and expense from transactions with related parties (excluding broker-dealer transactions) for the years indicated: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center"/>
              <w:ind w:left="62"/>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6"/>
              </w:rPr>
              <w:t>2016</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center"/>
              <w:ind w:right="143"/>
              <w:spacing w:after="0"/>
              <w:rPr>
                <w:sz w:val="20"/>
                <w:szCs w:val="20"/>
                <w:color w:val="auto"/>
              </w:rPr>
            </w:pPr>
            <w:r>
              <w:rPr>
                <w:rFonts w:ascii="Arial" w:cs="Arial" w:eastAsia="Arial" w:hAnsi="Arial"/>
                <w:sz w:val="14"/>
                <w:szCs w:val="14"/>
                <w:b w:val="1"/>
                <w:bCs w:val="1"/>
                <w:color w:val="auto"/>
                <w:w w:val="96"/>
              </w:rPr>
              <w:t>(In millions)</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820" w:type="dxa"/>
            <w:vAlign w:val="bottom"/>
            <w:tcBorders>
              <w:bottom w:val="single" w:sz="8" w:color="CCEEFF"/>
            </w:tcBorders>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(45)</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36</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Expense</w:t>
            </w:r>
          </w:p>
        </w:tc>
        <w:tc>
          <w:tcPr>
            <w:tcW w:w="820" w:type="dxa"/>
            <w:vAlign w:val="bottom"/>
          </w:tcPr>
          <w:p>
            <w:pPr>
              <w:jc w:val="right"/>
              <w:ind w:right="64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82"/>
              <w:spacing w:after="0"/>
              <w:rPr>
                <w:sz w:val="20"/>
                <w:szCs w:val="20"/>
                <w:color w:val="auto"/>
              </w:rPr>
            </w:pPr>
            <w:r>
              <w:rPr>
                <w:rFonts w:ascii="Arial" w:cs="Arial" w:eastAsia="Arial" w:hAnsi="Arial"/>
                <w:sz w:val="16"/>
                <w:szCs w:val="16"/>
                <w:color w:val="auto"/>
              </w:rPr>
              <w:t>933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3"/>
              <w:spacing w:after="0"/>
              <w:rPr>
                <w:sz w:val="20"/>
                <w:szCs w:val="20"/>
                <w:color w:val="auto"/>
              </w:rPr>
            </w:pPr>
            <w:r>
              <w:rPr>
                <w:rFonts w:ascii="Arial" w:cs="Arial" w:eastAsia="Arial" w:hAnsi="Arial"/>
                <w:sz w:val="16"/>
                <w:szCs w:val="16"/>
                <w:color w:val="auto"/>
              </w:rPr>
              <w:t>370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855</w:t>
            </w:r>
          </w:p>
        </w:tc>
      </w:tr>
    </w:tbl>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assets and liabilities from transactions with related parties (excluding broker-dealer transactions)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21"/>
                <w:szCs w:val="2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2,839</w:t>
            </w:r>
          </w:p>
        </w:tc>
        <w:tc>
          <w:tcPr>
            <w:tcW w:w="5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4,288</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2,675</w:t>
            </w:r>
          </w:p>
        </w:tc>
        <w:tc>
          <w:tcPr>
            <w:tcW w:w="5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5,125</w:t>
            </w:r>
          </w:p>
        </w:tc>
      </w:tr>
    </w:tbl>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material arrangements between the Company and its related parties are as follows: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Reinsurance Agreements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Company has reinsurance agreements with its affiliate NELICO and certain of MetLife, Inc.’s subsidiaries, all of which are related parties. See Note 6 for further discussion of the related party reinsurance agreements.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Financing Arrangements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Prior to the Separation, the Company had surplus notes outstanding to MetLife, Inc., as well as collateral financing arrangement with a third party that involved MetLife, Inc. See Note 10 for more information.</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Investment Transactions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Prior to the Separation, the Company had extended loans to certain subsidiaries of MetLife, Inc. Additionally, in the ordinary course of business, the Company had previously transferred invested assets, primarily consisting of fixed maturity securities, to and from former affiliates. See Note 7 for further discussion of the related party investment transactions.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Shared Services and Overhead Allocations</w:t>
      </w:r>
    </w:p>
    <w:p>
      <w:pPr>
        <w:spacing w:after="0" w:line="117" w:lineRule="exact"/>
        <w:rPr>
          <w:sz w:val="20"/>
          <w:szCs w:val="20"/>
          <w:color w:val="auto"/>
        </w:rPr>
      </w:pPr>
    </w:p>
    <w:p>
      <w:pPr>
        <w:jc w:val="both"/>
        <w:ind w:left="180" w:firstLine="324"/>
        <w:spacing w:after="0" w:line="270" w:lineRule="auto"/>
        <w:rPr>
          <w:sz w:val="20"/>
          <w:szCs w:val="20"/>
          <w:color w:val="auto"/>
        </w:rPr>
      </w:pPr>
      <w:r>
        <w:rPr>
          <w:rFonts w:ascii="Arial" w:cs="Arial" w:eastAsia="Arial" w:hAnsi="Arial"/>
          <w:sz w:val="17"/>
          <w:szCs w:val="17"/>
          <w:color w:val="auto"/>
        </w:rPr>
        <w:t>Brighthouse affiliates and MetLife provides the Company certain services, which include, but are not limited to, treasury, financial planning and analysis, legal, human resources, tax planning, internal audit, financial reporting, and information technology. In 2017, the Company is charged for the MetLife services through a transition services agreement and allocated to the legal entities and products within the Company. When specific identification to a particular legal entity and/or product is not practicable, an allocation methodology based on various performance measures or activity-based costing, such as sales, new policies/contracts issued, reserves, and in-force policy counts is used. The bases for such charges are modified and adjusted by management when necessary or appropriate to reflect fairly and equitably the actual incidence of cost incurred by the Company and/or affiliate. Management believes that the methods used to allocate expenses under these arrangements are reasonable. Expenses incurred with Brighthouse affiliates and MetLife related to these arrangements, recorded in other expenses, were $1.0 billion, $847 million and $1.1 billion for the years ended December 31, 2017, 2016 and 2015,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Distribution Services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July 2016, MetLife, Inc. completed the sale to MassMutual of MetLife’s retail advisor force and certain assets associated with the MetLife Premier Client Group, including all of the issued and outstanding shares of MSI. MassMutual assumed all of the liabilities related to such assets and that arise or occur after the closing of the sale.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283" w:right="239" w:bottom="1440" w:gutter="0" w:footer="0" w:header="0"/>
        </w:sectPr>
      </w:pPr>
    </w:p>
    <w:bookmarkStart w:id="166" w:name="page167"/>
    <w:bookmarkEnd w:id="166"/>
    <w:p>
      <w:pPr>
        <w:ind w:left="34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Broker-Dealer Transactions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Beginning in March 2017, Brighthouse Securities, LLC, a registered broker-dealer affiliate, began distributing certain of the Company’s existing and future variable insurance products, and the MetLife broker-dealers discontinued such distributions. Prior to March 2017, the Company recognized related party revenues and expenses arising from transactions with MetLife broker-dealers that previously sold the Company’s variable annuity and life products. The related party expense for the Company was commissions collected on the sale of variable products by the Company and passed through to the broker-dealer. The related party revenue for the Company was fee income from trusts and mutual funds whose shares serve as investment options of policyholders of the Company.</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income and expense from transactions with related party broker-dealers for the years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right="119"/>
              <w:spacing w:after="0"/>
              <w:rPr>
                <w:sz w:val="20"/>
                <w:szCs w:val="20"/>
                <w:color w:val="auto"/>
              </w:rPr>
            </w:pPr>
            <w:r>
              <w:rPr>
                <w:rFonts w:ascii="Arial" w:cs="Arial" w:eastAsia="Arial" w:hAnsi="Arial"/>
                <w:sz w:val="14"/>
                <w:szCs w:val="14"/>
                <w:b w:val="1"/>
                <w:bCs w:val="1"/>
                <w:color w:val="auto"/>
                <w:w w:val="91"/>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6"/>
              </w:rPr>
              <w:t>2016</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center"/>
              <w:ind w:right="123"/>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income</w:t>
            </w:r>
          </w:p>
        </w:tc>
        <w:tc>
          <w:tcPr>
            <w:tcW w:w="84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202</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218</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Commission expense</w:t>
            </w:r>
          </w:p>
        </w:tc>
        <w:tc>
          <w:tcPr>
            <w:tcW w:w="840" w:type="dxa"/>
            <w:vAlign w:val="bottom"/>
          </w:tcPr>
          <w:p>
            <w:pPr>
              <w:jc w:val="right"/>
              <w:ind w:right="662"/>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642</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638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643</w:t>
            </w:r>
          </w:p>
        </w:tc>
      </w:tr>
    </w:tbl>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assets and liabilities from transactions with related party broker-dealers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w w:val="98"/>
              </w:rPr>
              <w:t>December 31,</w:t>
            </w:r>
          </w:p>
        </w:tc>
        <w:tc>
          <w:tcPr>
            <w:tcW w:w="900" w:type="dxa"/>
            <w:vAlign w:val="bottom"/>
            <w:tcBorders>
              <w:bottom w:val="single" w:sz="8" w:color="auto"/>
            </w:tcBorders>
          </w:tcPr>
          <w:p>
            <w:pPr>
              <w:spacing w:after="0"/>
              <w:rPr>
                <w:sz w:val="16"/>
                <w:szCs w:val="16"/>
                <w:color w:val="auto"/>
              </w:rPr>
            </w:pPr>
          </w:p>
        </w:tc>
      </w:tr>
      <w:tr>
        <w:trPr>
          <w:trHeight w:val="258"/>
        </w:trPr>
        <w:tc>
          <w:tcPr>
            <w:tcW w:w="8580" w:type="dxa"/>
            <w:vAlign w:val="bottom"/>
          </w:tcPr>
          <w:p>
            <w:pPr>
              <w:spacing w:after="0"/>
              <w:rPr>
                <w:sz w:val="22"/>
                <w:szCs w:val="22"/>
                <w:color w:val="auto"/>
              </w:rPr>
            </w:pPr>
          </w:p>
        </w:tc>
        <w:tc>
          <w:tcPr>
            <w:tcW w:w="920" w:type="dxa"/>
            <w:vAlign w:val="bottom"/>
          </w:tcPr>
          <w:p>
            <w:pPr>
              <w:jc w:val="right"/>
              <w:ind w:right="22"/>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jc w:val="right"/>
              <w:ind w:right="462"/>
              <w:spacing w:after="0"/>
              <w:rPr>
                <w:sz w:val="20"/>
                <w:szCs w:val="20"/>
                <w:color w:val="auto"/>
              </w:rPr>
            </w:pPr>
            <w:r>
              <w:rPr>
                <w:rFonts w:ascii="Arial" w:cs="Arial" w:eastAsia="Arial" w:hAnsi="Arial"/>
                <w:sz w:val="14"/>
                <w:szCs w:val="14"/>
                <w:b w:val="1"/>
                <w:bCs w:val="1"/>
                <w:color w:val="auto"/>
              </w:rPr>
              <w:t>2016</w:t>
            </w:r>
          </w:p>
        </w:tc>
      </w:tr>
      <w:tr>
        <w:trPr>
          <w:trHeight w:val="276"/>
        </w:trPr>
        <w:tc>
          <w:tcPr>
            <w:tcW w:w="8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24"/>
                <w:szCs w:val="24"/>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income receivables</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w:t>
            </w:r>
          </w:p>
        </w:tc>
        <w:tc>
          <w:tcPr>
            <w:tcW w:w="5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Secured demand notes</w:t>
            </w:r>
          </w:p>
        </w:tc>
        <w:tc>
          <w:tcPr>
            <w:tcW w:w="920" w:type="dxa"/>
            <w:vAlign w:val="bottom"/>
          </w:tcPr>
          <w:p>
            <w:pPr>
              <w:jc w:val="right"/>
              <w:ind w:right="74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20</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283"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Types of Investments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Fixed maturity securities: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Bonds: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3"/>
          <w:szCs w:val="13"/>
          <w:color w:val="auto"/>
        </w:rPr>
        <w:t>U.S. government and agency securities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3"/>
          <w:szCs w:val="13"/>
          <w:color w:val="auto"/>
        </w:rPr>
        <w:t>State and political subdivision securities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Public utilities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Foreign government securities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All other corporate bonds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bonds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Mortgage-backed and asset-backed securities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Redeemable preferred stock</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Total fixed maturity securities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Equity securities: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Non-redeemable preferred stock</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Common stock:</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Industrial, miscellaneous and all other</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Public utilities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equity securities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Mortgage loans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Policy loans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Real estate joint ventures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limited partnership interests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Short-term investments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invested assets</w:t>
      </w:r>
    </w:p>
    <w:p>
      <w:pPr>
        <w:spacing w:after="0" w:line="109" w:lineRule="exact"/>
        <w:rPr>
          <w:sz w:val="20"/>
          <w:szCs w:val="20"/>
          <w:color w:val="auto"/>
        </w:rPr>
      </w:pPr>
    </w:p>
    <w:p>
      <w:pPr>
        <w:ind w:left="840"/>
        <w:spacing w:after="0"/>
        <w:rPr>
          <w:sz w:val="20"/>
          <w:szCs w:val="20"/>
          <w:color w:val="auto"/>
        </w:rPr>
      </w:pPr>
      <w:r>
        <w:rPr>
          <w:rFonts w:ascii="Arial" w:cs="Arial" w:eastAsia="Arial" w:hAnsi="Arial"/>
          <w:sz w:val="14"/>
          <w:szCs w:val="14"/>
          <w:color w:val="auto"/>
        </w:rPr>
        <w:t>Total investments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jc w:val="center"/>
        <w:ind w:right="3260"/>
        <w:spacing w:after="0"/>
        <w:rPr>
          <w:sz w:val="20"/>
          <w:szCs w:val="20"/>
          <w:color w:val="auto"/>
        </w:rPr>
      </w:pPr>
      <w:r>
        <w:rPr>
          <w:rFonts w:ascii="Arial" w:cs="Arial" w:eastAsia="Arial" w:hAnsi="Arial"/>
          <w:sz w:val="16"/>
          <w:szCs w:val="16"/>
          <w:b w:val="1"/>
          <w:bCs w:val="1"/>
          <w:color w:val="auto"/>
        </w:rPr>
        <w:t>Brighthouse Life Insurance Company</w:t>
      </w:r>
    </w:p>
    <w:p>
      <w:pPr>
        <w:spacing w:after="0" w:line="23" w:lineRule="exact"/>
        <w:rPr>
          <w:sz w:val="20"/>
          <w:szCs w:val="20"/>
          <w:color w:val="auto"/>
        </w:rPr>
      </w:pPr>
    </w:p>
    <w:p>
      <w:pPr>
        <w:jc w:val="center"/>
        <w:ind w:right="3260"/>
        <w:spacing w:after="0"/>
        <w:rPr>
          <w:sz w:val="20"/>
          <w:szCs w:val="20"/>
          <w:color w:val="auto"/>
        </w:rPr>
      </w:pPr>
      <w:r>
        <w:rPr>
          <w:rFonts w:ascii="Arial" w:cs="Arial" w:eastAsia="Arial" w:hAnsi="Arial"/>
          <w:sz w:val="14"/>
          <w:szCs w:val="14"/>
          <w:b w:val="1"/>
          <w:bCs w:val="1"/>
          <w:color w:val="auto"/>
        </w:rPr>
        <w:t>(An Indirect Wholly-Owned Subsidiary of Brighthouse Financial, Inc.)</w:t>
      </w:r>
    </w:p>
    <w:p>
      <w:pPr>
        <w:spacing w:after="0" w:line="118" w:lineRule="exact"/>
        <w:rPr>
          <w:sz w:val="20"/>
          <w:szCs w:val="20"/>
          <w:color w:val="auto"/>
        </w:rPr>
      </w:pPr>
    </w:p>
    <w:p>
      <w:pPr>
        <w:jc w:val="center"/>
        <w:ind w:right="3260"/>
        <w:spacing w:after="0"/>
        <w:rPr>
          <w:sz w:val="20"/>
          <w:szCs w:val="20"/>
          <w:color w:val="auto"/>
        </w:rPr>
      </w:pPr>
      <w:r>
        <w:rPr>
          <w:rFonts w:ascii="Arial" w:cs="Arial" w:eastAsia="Arial" w:hAnsi="Arial"/>
          <w:sz w:val="16"/>
          <w:szCs w:val="16"/>
          <w:b w:val="1"/>
          <w:bCs w:val="1"/>
          <w:color w:val="auto"/>
        </w:rPr>
        <w:t>Schedule I</w:t>
      </w:r>
    </w:p>
    <w:p>
      <w:pPr>
        <w:spacing w:after="0" w:line="22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Consolidated Summary of Investments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Other Than Investments in Related Parties</w:t>
      </w:r>
    </w:p>
    <w:p>
      <w:pPr>
        <w:spacing w:after="0" w:line="5" w:lineRule="exact"/>
        <w:rPr>
          <w:sz w:val="20"/>
          <w:szCs w:val="20"/>
          <w:color w:val="auto"/>
        </w:rPr>
      </w:pPr>
    </w:p>
    <w:p>
      <w:pPr>
        <w:ind w:left="1800"/>
        <w:spacing w:after="0"/>
        <w:rPr>
          <w:sz w:val="20"/>
          <w:szCs w:val="20"/>
          <w:color w:val="auto"/>
        </w:rPr>
      </w:pPr>
      <w:r>
        <w:rPr>
          <w:rFonts w:ascii="Arial" w:cs="Arial" w:eastAsia="Arial" w:hAnsi="Arial"/>
          <w:sz w:val="16"/>
          <w:szCs w:val="16"/>
          <w:b w:val="1"/>
          <w:bCs w:val="1"/>
          <w:color w:val="auto"/>
        </w:rPr>
        <w:t>December 31, 2017</w:t>
      </w:r>
    </w:p>
    <w:p>
      <w:pPr>
        <w:spacing w:after="0" w:line="95" w:lineRule="exact"/>
        <w:rPr>
          <w:sz w:val="20"/>
          <w:szCs w:val="20"/>
          <w:color w:val="auto"/>
        </w:rPr>
      </w:pPr>
    </w:p>
    <w:p>
      <w:pPr>
        <w:ind w:left="2020"/>
        <w:spacing w:after="0"/>
        <w:rPr>
          <w:sz w:val="20"/>
          <w:szCs w:val="20"/>
          <w:color w:val="auto"/>
        </w:rPr>
      </w:pPr>
      <w:r>
        <w:rPr>
          <w:rFonts w:ascii="Arial" w:cs="Arial" w:eastAsia="Arial" w:hAnsi="Arial"/>
          <w:sz w:val="16"/>
          <w:szCs w:val="16"/>
          <w:b w:val="1"/>
          <w:bCs w:val="1"/>
          <w:color w:val="auto"/>
        </w:rPr>
        <w:t>(In millions)</w:t>
      </w:r>
    </w:p>
    <w:p>
      <w:pPr>
        <w:spacing w:after="0" w:line="254"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900" w:type="dxa"/>
            <w:vAlign w:val="bottom"/>
            <w:vMerge w:val="restart"/>
          </w:tcPr>
          <w:p>
            <w:pPr>
              <w:jc w:val="right"/>
              <w:ind w:right="808"/>
              <w:spacing w:after="0"/>
              <w:rPr>
                <w:sz w:val="20"/>
                <w:szCs w:val="20"/>
                <w:color w:val="auto"/>
              </w:rPr>
            </w:pPr>
            <w:r>
              <w:rPr>
                <w:rFonts w:ascii="Arial" w:cs="Arial" w:eastAsia="Arial" w:hAnsi="Arial"/>
                <w:sz w:val="14"/>
                <w:szCs w:val="14"/>
                <w:b w:val="1"/>
                <w:bCs w:val="1"/>
                <w:color w:val="auto"/>
              </w:rPr>
              <w:t>Cost or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 Fair</w:t>
            </w:r>
          </w:p>
        </w:tc>
        <w:tc>
          <w:tcPr>
            <w:tcW w:w="300" w:type="dxa"/>
            <w:vAlign w:val="bottom"/>
          </w:tcPr>
          <w:p>
            <w:pPr>
              <w:spacing w:after="0"/>
              <w:rPr>
                <w:sz w:val="14"/>
                <w:szCs w:val="14"/>
                <w:color w:val="auto"/>
              </w:rPr>
            </w:pPr>
          </w:p>
        </w:tc>
        <w:tc>
          <w:tcPr>
            <w:tcW w:w="1740" w:type="dxa"/>
            <w:vAlign w:val="bottom"/>
          </w:tcPr>
          <w:p>
            <w:pPr>
              <w:jc w:val="right"/>
              <w:ind w:right="628"/>
              <w:spacing w:after="0"/>
              <w:rPr>
                <w:sz w:val="20"/>
                <w:szCs w:val="20"/>
                <w:color w:val="auto"/>
              </w:rPr>
            </w:pPr>
            <w:r>
              <w:rPr>
                <w:rFonts w:ascii="Arial" w:cs="Arial" w:eastAsia="Arial" w:hAnsi="Arial"/>
                <w:sz w:val="14"/>
                <w:szCs w:val="14"/>
                <w:b w:val="1"/>
                <w:bCs w:val="1"/>
                <w:color w:val="auto"/>
              </w:rPr>
              <w:t>Amount at</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jc w:val="right"/>
              <w:ind w:right="428"/>
              <w:spacing w:after="0" w:line="149" w:lineRule="exact"/>
              <w:rPr>
                <w:sz w:val="20"/>
                <w:szCs w:val="20"/>
                <w:color w:val="auto"/>
              </w:rPr>
            </w:pPr>
            <w:r>
              <w:rPr>
                <w:rFonts w:ascii="Arial" w:cs="Arial" w:eastAsia="Arial" w:hAnsi="Arial"/>
                <w:sz w:val="14"/>
                <w:szCs w:val="14"/>
                <w:b w:val="1"/>
                <w:bCs w:val="1"/>
                <w:color w:val="auto"/>
              </w:rPr>
              <w:t>Which Shown on</w:t>
            </w:r>
          </w:p>
        </w:tc>
        <w:tc>
          <w:tcPr>
            <w:tcW w:w="0" w:type="dxa"/>
            <w:vAlign w:val="bottom"/>
          </w:tcPr>
          <w:p>
            <w:pPr>
              <w:spacing w:after="0"/>
              <w:rPr>
                <w:sz w:val="1"/>
                <w:szCs w:val="1"/>
                <w:color w:val="auto"/>
              </w:rPr>
            </w:pPr>
          </w:p>
        </w:tc>
      </w:tr>
      <w:tr>
        <w:trPr>
          <w:trHeight w:val="192"/>
        </w:trPr>
        <w:tc>
          <w:tcPr>
            <w:tcW w:w="3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Amortized Cost (1)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798"/>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48"/>
              <w:spacing w:after="0"/>
              <w:rPr>
                <w:sz w:val="20"/>
                <w:szCs w:val="20"/>
                <w:color w:val="auto"/>
              </w:rPr>
            </w:pPr>
            <w:r>
              <w:rPr>
                <w:rFonts w:ascii="Arial" w:cs="Arial" w:eastAsia="Arial" w:hAnsi="Arial"/>
                <w:sz w:val="14"/>
                <w:szCs w:val="14"/>
                <w:color w:val="auto"/>
              </w:rPr>
              <w:t>14,185</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15,913</w:t>
            </w:r>
          </w:p>
        </w:tc>
        <w:tc>
          <w:tcPr>
            <w:tcW w:w="10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15,913</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900" w:type="dxa"/>
            <w:vAlign w:val="bottom"/>
          </w:tcPr>
          <w:p>
            <w:pPr>
              <w:jc w:val="right"/>
              <w:ind w:right="48"/>
              <w:spacing w:after="0"/>
              <w:rPr>
                <w:sz w:val="20"/>
                <w:szCs w:val="20"/>
                <w:color w:val="auto"/>
              </w:rPr>
            </w:pPr>
            <w:r>
              <w:rPr>
                <w:rFonts w:ascii="Arial" w:cs="Arial" w:eastAsia="Arial" w:hAnsi="Arial"/>
                <w:sz w:val="14"/>
                <w:szCs w:val="14"/>
                <w:color w:val="auto"/>
              </w:rPr>
              <w:t>3,573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4,098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4,098</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900" w:type="dxa"/>
            <w:vAlign w:val="bottom"/>
          </w:tcPr>
          <w:p>
            <w:pPr>
              <w:jc w:val="right"/>
              <w:ind w:right="48"/>
              <w:spacing w:after="0"/>
              <w:rPr>
                <w:sz w:val="20"/>
                <w:szCs w:val="20"/>
                <w:color w:val="auto"/>
              </w:rPr>
            </w:pPr>
            <w:r>
              <w:rPr>
                <w:rFonts w:ascii="Arial" w:cs="Arial" w:eastAsia="Arial" w:hAnsi="Arial"/>
                <w:sz w:val="14"/>
                <w:szCs w:val="14"/>
                <w:color w:val="auto"/>
              </w:rPr>
              <w:t>2,111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2,408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2,408</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900" w:type="dxa"/>
            <w:vAlign w:val="bottom"/>
          </w:tcPr>
          <w:p>
            <w:pPr>
              <w:jc w:val="right"/>
              <w:ind w:right="48"/>
              <w:spacing w:after="0"/>
              <w:rPr>
                <w:sz w:val="20"/>
                <w:szCs w:val="20"/>
                <w:color w:val="auto"/>
              </w:rPr>
            </w:pPr>
            <w:r>
              <w:rPr>
                <w:rFonts w:ascii="Arial" w:cs="Arial" w:eastAsia="Arial" w:hAnsi="Arial"/>
                <w:sz w:val="14"/>
                <w:szCs w:val="14"/>
                <w:color w:val="auto"/>
              </w:rPr>
              <w:t>1,111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1,267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1,267</w:t>
            </w:r>
          </w:p>
        </w:tc>
        <w:tc>
          <w:tcPr>
            <w:tcW w:w="0" w:type="dxa"/>
            <w:vAlign w:val="bottom"/>
          </w:tcPr>
          <w:p>
            <w:pPr>
              <w:spacing w:after="0"/>
              <w:rPr>
                <w:sz w:val="1"/>
                <w:szCs w:val="1"/>
                <w:color w:val="auto"/>
              </w:rPr>
            </w:pPr>
          </w:p>
        </w:tc>
      </w:tr>
      <w:tr>
        <w:trPr>
          <w:trHeight w:val="276"/>
        </w:trPr>
        <w:tc>
          <w:tcPr>
            <w:tcW w:w="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24,755</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26,400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26,400</w:t>
            </w:r>
          </w:p>
        </w:tc>
        <w:tc>
          <w:tcPr>
            <w:tcW w:w="0" w:type="dxa"/>
            <w:vAlign w:val="bottom"/>
          </w:tcPr>
          <w:p>
            <w:pPr>
              <w:spacing w:after="0"/>
              <w:rPr>
                <w:sz w:val="1"/>
                <w:szCs w:val="1"/>
                <w:color w:val="auto"/>
              </w:rPr>
            </w:pPr>
          </w:p>
        </w:tc>
      </w:tr>
      <w:tr>
        <w:trPr>
          <w:trHeight w:val="244"/>
        </w:trPr>
        <w:tc>
          <w:tcPr>
            <w:tcW w:w="300" w:type="dxa"/>
            <w:vAlign w:val="bottom"/>
          </w:tcPr>
          <w:p>
            <w:pPr>
              <w:spacing w:after="0"/>
              <w:rPr>
                <w:sz w:val="21"/>
                <w:szCs w:val="21"/>
                <w:color w:val="auto"/>
              </w:rPr>
            </w:pPr>
          </w:p>
        </w:tc>
        <w:tc>
          <w:tcPr>
            <w:tcW w:w="1900" w:type="dxa"/>
            <w:vAlign w:val="bottom"/>
          </w:tcPr>
          <w:p>
            <w:pPr>
              <w:jc w:val="right"/>
              <w:ind w:right="48"/>
              <w:spacing w:after="0"/>
              <w:rPr>
                <w:sz w:val="20"/>
                <w:szCs w:val="20"/>
                <w:color w:val="auto"/>
              </w:rPr>
            </w:pPr>
            <w:r>
              <w:rPr>
                <w:rFonts w:ascii="Arial" w:cs="Arial" w:eastAsia="Arial" w:hAnsi="Arial"/>
                <w:sz w:val="14"/>
                <w:szCs w:val="14"/>
                <w:color w:val="auto"/>
              </w:rPr>
              <w:t>45,735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50,086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50,086</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900" w:type="dxa"/>
            <w:vAlign w:val="bottom"/>
          </w:tcPr>
          <w:p>
            <w:pPr>
              <w:jc w:val="right"/>
              <w:ind w:right="48"/>
              <w:spacing w:after="0"/>
              <w:rPr>
                <w:sz w:val="20"/>
                <w:szCs w:val="20"/>
                <w:color w:val="auto"/>
              </w:rPr>
            </w:pPr>
            <w:r>
              <w:rPr>
                <w:rFonts w:ascii="Arial" w:cs="Arial" w:eastAsia="Arial" w:hAnsi="Arial"/>
                <w:sz w:val="14"/>
                <w:szCs w:val="14"/>
                <w:color w:val="auto"/>
              </w:rPr>
              <w:t>12,626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12,904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12,904</w:t>
            </w:r>
          </w:p>
        </w:tc>
        <w:tc>
          <w:tcPr>
            <w:tcW w:w="0" w:type="dxa"/>
            <w:vAlign w:val="bottom"/>
          </w:tcPr>
          <w:p>
            <w:pPr>
              <w:spacing w:after="0"/>
              <w:rPr>
                <w:sz w:val="1"/>
                <w:szCs w:val="1"/>
                <w:color w:val="auto"/>
              </w:rPr>
            </w:pPr>
          </w:p>
        </w:tc>
      </w:tr>
      <w:tr>
        <w:trPr>
          <w:trHeight w:val="276"/>
        </w:trPr>
        <w:tc>
          <w:tcPr>
            <w:tcW w:w="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250"/>
        </w:trPr>
        <w:tc>
          <w:tcPr>
            <w:tcW w:w="3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58,599</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63,333</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63,333</w:t>
            </w:r>
          </w:p>
        </w:tc>
        <w:tc>
          <w:tcPr>
            <w:tcW w:w="0" w:type="dxa"/>
            <w:vAlign w:val="bottom"/>
          </w:tcPr>
          <w:p>
            <w:pPr>
              <w:spacing w:after="0"/>
              <w:rPr>
                <w:sz w:val="1"/>
                <w:szCs w:val="1"/>
                <w:color w:val="auto"/>
              </w:rPr>
            </w:pPr>
          </w:p>
        </w:tc>
      </w:tr>
      <w:tr>
        <w:trPr>
          <w:trHeight w:val="528"/>
        </w:trPr>
        <w:tc>
          <w:tcPr>
            <w:tcW w:w="300" w:type="dxa"/>
            <w:vAlign w:val="bottom"/>
          </w:tcPr>
          <w:p>
            <w:pPr>
              <w:spacing w:after="0"/>
              <w:rPr>
                <w:sz w:val="24"/>
                <w:szCs w:val="24"/>
                <w:color w:val="auto"/>
              </w:rPr>
            </w:pPr>
          </w:p>
        </w:tc>
        <w:tc>
          <w:tcPr>
            <w:tcW w:w="1900" w:type="dxa"/>
            <w:vAlign w:val="bottom"/>
          </w:tcPr>
          <w:p>
            <w:pPr>
              <w:jc w:val="right"/>
              <w:ind w:right="4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540"/>
        </w:trPr>
        <w:tc>
          <w:tcPr>
            <w:tcW w:w="300" w:type="dxa"/>
            <w:vAlign w:val="bottom"/>
          </w:tcPr>
          <w:p>
            <w:pPr>
              <w:spacing w:after="0"/>
              <w:rPr>
                <w:sz w:val="24"/>
                <w:szCs w:val="24"/>
                <w:color w:val="auto"/>
              </w:rPr>
            </w:pPr>
          </w:p>
        </w:tc>
        <w:tc>
          <w:tcPr>
            <w:tcW w:w="190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76"/>
        </w:trPr>
        <w:tc>
          <w:tcPr>
            <w:tcW w:w="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3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58"/>
        </w:trPr>
        <w:tc>
          <w:tcPr>
            <w:tcW w:w="300" w:type="dxa"/>
            <w:vAlign w:val="bottom"/>
          </w:tcPr>
          <w:p>
            <w:pPr>
              <w:spacing w:after="0"/>
              <w:rPr>
                <w:sz w:val="22"/>
                <w:szCs w:val="22"/>
                <w:color w:val="auto"/>
              </w:rPr>
            </w:pPr>
          </w:p>
        </w:tc>
        <w:tc>
          <w:tcPr>
            <w:tcW w:w="1900" w:type="dxa"/>
            <w:vAlign w:val="bottom"/>
          </w:tcPr>
          <w:p>
            <w:pPr>
              <w:jc w:val="right"/>
              <w:ind w:right="48"/>
              <w:spacing w:after="0"/>
              <w:rPr>
                <w:sz w:val="20"/>
                <w:szCs w:val="20"/>
                <w:color w:val="auto"/>
              </w:rPr>
            </w:pPr>
            <w:r>
              <w:rPr>
                <w:rFonts w:ascii="Arial" w:cs="Arial" w:eastAsia="Arial" w:hAnsi="Arial"/>
                <w:sz w:val="14"/>
                <w:szCs w:val="14"/>
                <w:color w:val="auto"/>
              </w:rPr>
              <w:t>10,640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10,640</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900" w:type="dxa"/>
            <w:vAlign w:val="bottom"/>
          </w:tcPr>
          <w:p>
            <w:pPr>
              <w:jc w:val="right"/>
              <w:ind w:right="48"/>
              <w:spacing w:after="0"/>
              <w:rPr>
                <w:sz w:val="20"/>
                <w:szCs w:val="20"/>
                <w:color w:val="auto"/>
              </w:rPr>
            </w:pPr>
            <w:r>
              <w:rPr>
                <w:rFonts w:ascii="Arial" w:cs="Arial" w:eastAsia="Arial" w:hAnsi="Arial"/>
                <w:sz w:val="14"/>
                <w:szCs w:val="14"/>
                <w:color w:val="auto"/>
              </w:rPr>
              <w:t>1,106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1,106</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900" w:type="dxa"/>
            <w:vAlign w:val="bottom"/>
          </w:tcPr>
          <w:p>
            <w:pPr>
              <w:jc w:val="right"/>
              <w:ind w:right="48"/>
              <w:spacing w:after="0"/>
              <w:rPr>
                <w:sz w:val="20"/>
                <w:szCs w:val="20"/>
                <w:color w:val="auto"/>
              </w:rPr>
            </w:pPr>
            <w:r>
              <w:rPr>
                <w:rFonts w:ascii="Arial" w:cs="Arial" w:eastAsia="Arial" w:hAnsi="Arial"/>
                <w:sz w:val="14"/>
                <w:szCs w:val="14"/>
                <w:color w:val="auto"/>
              </w:rPr>
              <w:t>433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900" w:type="dxa"/>
            <w:vAlign w:val="bottom"/>
          </w:tcPr>
          <w:p>
            <w:pPr>
              <w:jc w:val="right"/>
              <w:ind w:right="48"/>
              <w:spacing w:after="0"/>
              <w:rPr>
                <w:sz w:val="20"/>
                <w:szCs w:val="20"/>
                <w:color w:val="auto"/>
              </w:rPr>
            </w:pPr>
            <w:r>
              <w:rPr>
                <w:rFonts w:ascii="Arial" w:cs="Arial" w:eastAsia="Arial" w:hAnsi="Arial"/>
                <w:sz w:val="14"/>
                <w:szCs w:val="14"/>
                <w:color w:val="auto"/>
              </w:rPr>
              <w:t>1,667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1,667</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900" w:type="dxa"/>
            <w:vAlign w:val="bottom"/>
          </w:tcPr>
          <w:p>
            <w:pPr>
              <w:jc w:val="right"/>
              <w:ind w:right="48"/>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76"/>
        </w:trPr>
        <w:tc>
          <w:tcPr>
            <w:tcW w:w="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2,448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2,448</w:t>
            </w:r>
          </w:p>
        </w:tc>
        <w:tc>
          <w:tcPr>
            <w:tcW w:w="0" w:type="dxa"/>
            <w:vAlign w:val="bottom"/>
          </w:tcPr>
          <w:p>
            <w:pPr>
              <w:spacing w:after="0"/>
              <w:rPr>
                <w:sz w:val="1"/>
                <w:szCs w:val="1"/>
                <w:color w:val="auto"/>
              </w:rPr>
            </w:pPr>
          </w:p>
        </w:tc>
      </w:tr>
      <w:tr>
        <w:trPr>
          <w:trHeight w:val="237"/>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75,374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80,128</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-4167505</wp:posOffset>
            </wp:positionV>
            <wp:extent cx="7246620" cy="180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-3815715</wp:posOffset>
            </wp:positionV>
            <wp:extent cx="72466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-3472815</wp:posOffset>
            </wp:positionV>
            <wp:extent cx="72466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-3129280</wp:posOffset>
            </wp:positionV>
            <wp:extent cx="72466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-2786380</wp:posOffset>
            </wp:positionV>
            <wp:extent cx="72466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-2443480</wp:posOffset>
            </wp:positionV>
            <wp:extent cx="72466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-2091690</wp:posOffset>
            </wp:positionV>
            <wp:extent cx="72466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-1748790</wp:posOffset>
            </wp:positionV>
            <wp:extent cx="72466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-1405890</wp:posOffset>
            </wp:positionV>
            <wp:extent cx="7246620" cy="1803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-1045845</wp:posOffset>
            </wp:positionV>
            <wp:extent cx="72466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-702310</wp:posOffset>
            </wp:positionV>
            <wp:extent cx="72466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-359410</wp:posOffset>
            </wp:positionV>
            <wp:extent cx="72466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0" w:lineRule="exact"/>
        <w:rPr>
          <w:sz w:val="20"/>
          <w:szCs w:val="20"/>
          <w:color w:val="auto"/>
        </w:rPr>
      </w:pPr>
    </w:p>
    <w:p>
      <w:pPr>
        <w:sectPr>
          <w:pgSz w:w="11900" w:h="16838" w:orient="portrait"/>
          <w:cols w:equalWidth="0" w:num="2">
            <w:col w:w="2800" w:space="460"/>
            <w:col w:w="8160"/>
          </w:cols>
          <w:pgMar w:left="240" w:top="230" w:right="239" w:bottom="1440" w:gutter="0" w:footer="0" w:header="0"/>
        </w:sectPr>
      </w:pPr>
    </w:p>
    <w:p>
      <w:pPr>
        <w:jc w:val="both"/>
        <w:ind w:left="500" w:hanging="492"/>
        <w:spacing w:after="0" w:line="257"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Cost or amortized cost for fixed maturity securities and mortgage loans represents original cost reduced by repayments, valuation allowances and impairments from other-than-temporary declines in estimated fair value that are charged to earnings and adjusted for amortization of premiums or accretion of discounts; for equity securities, cost represents original cost reduced by impairments from other-than-temporary declines in estimated fair value; for real estate joint ventures and other limited partnership interests, cost represents original cost reduced for impairments or original cost adjusted for equity in earnings and distributions.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230" w:right="239" w:bottom="1440" w:gutter="0" w:footer="0" w:header="0"/>
          <w:type w:val="continuous"/>
        </w:sectPr>
      </w:pPr>
    </w:p>
    <w:bookmarkStart w:id="168" w:name="page169"/>
    <w:bookmarkEnd w:id="168"/>
    <w:p>
      <w:pPr>
        <w:ind w:left="30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Brighthouse Life Insurance Company</w:t>
      </w:r>
    </w:p>
    <w:p>
      <w:pPr>
        <w:spacing w:after="0" w:line="11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Schedule II</w:t>
      </w:r>
    </w:p>
    <w:p>
      <w:pPr>
        <w:spacing w:after="0" w:line="1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Condensed Financial Information</w:t>
      </w:r>
    </w:p>
    <w:p>
      <w:pPr>
        <w:spacing w:after="0" w:line="27" w:lineRule="exact"/>
        <w:rPr>
          <w:sz w:val="20"/>
          <w:szCs w:val="20"/>
          <w:color w:val="auto"/>
        </w:rPr>
      </w:pPr>
    </w:p>
    <w:p>
      <w:pPr>
        <w:jc w:val="center"/>
        <w:ind w:left="3020"/>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ind w:left="3020"/>
        <w:spacing w:after="0"/>
        <w:rPr>
          <w:sz w:val="20"/>
          <w:szCs w:val="20"/>
          <w:color w:val="auto"/>
        </w:rPr>
      </w:pPr>
      <w:r>
        <w:rPr>
          <w:rFonts w:ascii="Arial" w:cs="Arial" w:eastAsia="Arial" w:hAnsi="Arial"/>
          <w:sz w:val="18"/>
          <w:szCs w:val="18"/>
          <w:b w:val="1"/>
          <w:bCs w:val="1"/>
          <w:color w:val="auto"/>
        </w:rPr>
        <w:t>December 31, 2017 and 2016</w:t>
      </w:r>
    </w:p>
    <w:p>
      <w:pPr>
        <w:spacing w:after="0" w:line="153"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377825</wp:posOffset>
            </wp:positionV>
            <wp:extent cx="7246620" cy="1803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Balance Sheets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Investments: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Fixed maturity securities available-for-sale, at estimated fair value (amortized cost: $50,878 and $49,356,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Equity securities available-for-sale, at estimated fair value (cost: $193 and $280,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Mortgage loans (net of valuation allowances of $44 and $38,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15875</wp:posOffset>
            </wp:positionV>
            <wp:extent cx="72466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Policy loans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Real estate and real estate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Other limited partnership interests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Short-term investments, principally at estimated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15875</wp:posOffset>
            </wp:positionV>
            <wp:extent cx="72466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Investment in subsidiaries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invested assets, at estimated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Total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15875</wp:posOffset>
            </wp:positionV>
            <wp:extent cx="72466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Accrued investment income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Premium, reinsurance and other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Receivable from subsidiaries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Deferred policy acquisition costs and value of business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Current income tax recoverable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Deferred income tax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Other assets, principally at estimated fair value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Separate account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Total assets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77470</wp:posOffset>
            </wp:positionV>
            <wp:extent cx="724662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Future policy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Policyholder account balances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policy-related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Payables for collateral under securities loaned and other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15875</wp:posOffset>
            </wp:positionV>
            <wp:extent cx="72466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Other liabilities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Separate account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803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Total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2466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Common stock, par value $25,000 per share; 4,000 shares authorized; 3,000 shares issued and outstanding</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Retained earnings (deficit)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Total stockholder’s equity</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Total liabilities and stockholder’s equity</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See accompanying notes to the condensed financial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r>
      <w:tr>
        <w:trPr>
          <w:trHeight w:val="106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55,180</w:t>
            </w:r>
          </w:p>
        </w:tc>
        <w:tc>
          <w:tcPr>
            <w:tcW w:w="56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51,880</w:t>
            </w:r>
          </w:p>
        </w:tc>
      </w:tr>
      <w:tr>
        <w:trPr>
          <w:trHeight w:val="270"/>
        </w:trPr>
        <w:tc>
          <w:tcPr>
            <w:tcW w:w="3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210</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300</w:t>
            </w:r>
          </w:p>
        </w:tc>
      </w:tr>
      <w:tr>
        <w:trPr>
          <w:trHeight w:val="270"/>
        </w:trPr>
        <w:tc>
          <w:tcPr>
            <w:tcW w:w="3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10,127</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8,746</w:t>
            </w:r>
          </w:p>
        </w:tc>
      </w:tr>
      <w:tr>
        <w:trPr>
          <w:trHeight w:val="270"/>
        </w:trPr>
        <w:tc>
          <w:tcPr>
            <w:tcW w:w="3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1,106</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1,093</w:t>
            </w:r>
          </w:p>
        </w:tc>
      </w:tr>
      <w:tr>
        <w:trPr>
          <w:trHeight w:val="270"/>
        </w:trPr>
        <w:tc>
          <w:tcPr>
            <w:tcW w:w="3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419</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200</w:t>
            </w:r>
          </w:p>
        </w:tc>
      </w:tr>
      <w:tr>
        <w:trPr>
          <w:trHeight w:val="270"/>
        </w:trPr>
        <w:tc>
          <w:tcPr>
            <w:tcW w:w="3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1,662</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1,632</w:t>
            </w:r>
          </w:p>
        </w:tc>
      </w:tr>
      <w:tr>
        <w:trPr>
          <w:trHeight w:val="270"/>
        </w:trPr>
        <w:tc>
          <w:tcPr>
            <w:tcW w:w="3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269</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926</w:t>
            </w:r>
          </w:p>
        </w:tc>
      </w:tr>
      <w:tr>
        <w:trPr>
          <w:trHeight w:val="270"/>
        </w:trPr>
        <w:tc>
          <w:tcPr>
            <w:tcW w:w="3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5,681</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7,338</w:t>
            </w:r>
          </w:p>
        </w:tc>
      </w:tr>
      <w:tr>
        <w:trPr>
          <w:trHeight w:val="278"/>
        </w:trPr>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2,291</w:t>
            </w: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3,712</w:t>
            </w:r>
          </w:p>
        </w:tc>
      </w:tr>
      <w:tr>
        <w:trPr>
          <w:trHeight w:val="243"/>
        </w:trPr>
        <w:tc>
          <w:tcPr>
            <w:tcW w:w="3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76,945</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75,827</w:t>
            </w:r>
          </w:p>
        </w:tc>
      </w:tr>
      <w:tr>
        <w:trPr>
          <w:trHeight w:val="270"/>
        </w:trPr>
        <w:tc>
          <w:tcPr>
            <w:tcW w:w="3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1,249</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1,881</w:t>
            </w:r>
          </w:p>
        </w:tc>
      </w:tr>
      <w:tr>
        <w:trPr>
          <w:trHeight w:val="270"/>
        </w:trPr>
        <w:tc>
          <w:tcPr>
            <w:tcW w:w="3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511</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591</w:t>
            </w:r>
          </w:p>
        </w:tc>
      </w:tr>
      <w:tr>
        <w:trPr>
          <w:trHeight w:val="270"/>
        </w:trPr>
        <w:tc>
          <w:tcPr>
            <w:tcW w:w="3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9,658</w:t>
            </w:r>
          </w:p>
        </w:tc>
        <w:tc>
          <w:tcPr>
            <w:tcW w:w="560" w:type="dxa"/>
            <w:vAlign w:val="bottom"/>
            <w:gridSpan w:val="2"/>
          </w:tcPr>
          <w:p>
            <w:pPr>
              <w:jc w:val="right"/>
              <w:ind w:right="332"/>
              <w:spacing w:after="0"/>
              <w:rPr>
                <w:sz w:val="20"/>
                <w:szCs w:val="20"/>
                <w:color w:val="auto"/>
              </w:rPr>
            </w:pPr>
            <w:r>
              <w:rPr>
                <w:rFonts w:ascii="Arial" w:cs="Arial" w:eastAsia="Arial" w:hAnsi="Arial"/>
                <w:sz w:val="14"/>
                <w:szCs w:val="14"/>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10,397</w:t>
            </w:r>
          </w:p>
        </w:tc>
      </w:tr>
      <w:tr>
        <w:trPr>
          <w:trHeight w:val="270"/>
        </w:trPr>
        <w:tc>
          <w:tcPr>
            <w:tcW w:w="3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10,397</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9,703</w:t>
            </w:r>
          </w:p>
        </w:tc>
      </w:tr>
      <w:tr>
        <w:trPr>
          <w:trHeight w:val="270"/>
        </w:trPr>
        <w:tc>
          <w:tcPr>
            <w:tcW w:w="3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5,123</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5,274</w:t>
            </w:r>
          </w:p>
        </w:tc>
      </w:tr>
      <w:tr>
        <w:trPr>
          <w:trHeight w:val="270"/>
        </w:trPr>
        <w:tc>
          <w:tcPr>
            <w:tcW w:w="3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39</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454</w:t>
            </w:r>
          </w:p>
        </w:tc>
      </w:tr>
      <w:tr>
        <w:trPr>
          <w:trHeight w:val="270"/>
        </w:trPr>
        <w:tc>
          <w:tcPr>
            <w:tcW w:w="3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1,247</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1,016</w:t>
            </w:r>
          </w:p>
        </w:tc>
      </w:tr>
      <w:tr>
        <w:trPr>
          <w:trHeight w:val="270"/>
        </w:trPr>
        <w:tc>
          <w:tcPr>
            <w:tcW w:w="3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536</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667</w:t>
            </w:r>
          </w:p>
        </w:tc>
      </w:tr>
      <w:tr>
        <w:trPr>
          <w:trHeight w:val="278"/>
        </w:trPr>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105,135</w:t>
            </w: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100,588</w:t>
            </w:r>
          </w:p>
        </w:tc>
      </w:tr>
      <w:tr>
        <w:trPr>
          <w:trHeight w:val="237"/>
        </w:trPr>
        <w:tc>
          <w:tcPr>
            <w:tcW w:w="3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210,840</w:t>
            </w:r>
          </w:p>
        </w:tc>
        <w:tc>
          <w:tcPr>
            <w:tcW w:w="280" w:type="dxa"/>
            <w:vAlign w:val="bottom"/>
          </w:tcPr>
          <w:p>
            <w:pPr>
              <w:spacing w:after="0"/>
              <w:rPr>
                <w:sz w:val="20"/>
                <w:szCs w:val="20"/>
                <w:color w:val="auto"/>
              </w:rPr>
            </w:pPr>
          </w:p>
        </w:tc>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206,398</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83"/>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35,003</w:t>
            </w:r>
          </w:p>
        </w:tc>
        <w:tc>
          <w:tcPr>
            <w:tcW w:w="56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31,684</w:t>
            </w:r>
          </w:p>
        </w:tc>
      </w:tr>
      <w:tr>
        <w:trPr>
          <w:trHeight w:val="270"/>
        </w:trPr>
        <w:tc>
          <w:tcPr>
            <w:tcW w:w="3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36,034</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35,588</w:t>
            </w:r>
          </w:p>
        </w:tc>
      </w:tr>
      <w:tr>
        <w:trPr>
          <w:trHeight w:val="270"/>
        </w:trPr>
        <w:tc>
          <w:tcPr>
            <w:tcW w:w="3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3,347</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3,384</w:t>
            </w:r>
          </w:p>
        </w:tc>
      </w:tr>
      <w:tr>
        <w:trPr>
          <w:trHeight w:val="270"/>
        </w:trPr>
        <w:tc>
          <w:tcPr>
            <w:tcW w:w="3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4,153</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7,362</w:t>
            </w:r>
          </w:p>
        </w:tc>
      </w:tr>
      <w:tr>
        <w:trPr>
          <w:trHeight w:val="270"/>
        </w:trPr>
        <w:tc>
          <w:tcPr>
            <w:tcW w:w="3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744</w:t>
            </w:r>
          </w:p>
        </w:tc>
      </w:tr>
      <w:tr>
        <w:trPr>
          <w:trHeight w:val="270"/>
        </w:trPr>
        <w:tc>
          <w:tcPr>
            <w:tcW w:w="3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10,315</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10,183</w:t>
            </w:r>
          </w:p>
        </w:tc>
      </w:tr>
      <w:tr>
        <w:trPr>
          <w:trHeight w:val="278"/>
        </w:trPr>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105,135</w:t>
            </w: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100,588</w:t>
            </w:r>
          </w:p>
        </w:tc>
      </w:tr>
      <w:tr>
        <w:trPr>
          <w:trHeight w:val="264"/>
        </w:trPr>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193,987</w:t>
            </w:r>
          </w:p>
        </w:tc>
        <w:tc>
          <w:tcPr>
            <w:tcW w:w="2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189,533</w:t>
            </w:r>
          </w:p>
        </w:tc>
      </w:tr>
      <w:tr>
        <w:trPr>
          <w:trHeight w:val="526"/>
        </w:trPr>
        <w:tc>
          <w:tcPr>
            <w:tcW w:w="30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75</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75</w:t>
            </w:r>
          </w:p>
        </w:tc>
      </w:tr>
      <w:tr>
        <w:trPr>
          <w:trHeight w:val="270"/>
        </w:trPr>
        <w:tc>
          <w:tcPr>
            <w:tcW w:w="30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19,073</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18,461</w:t>
            </w:r>
          </w:p>
        </w:tc>
      </w:tr>
      <w:tr>
        <w:trPr>
          <w:trHeight w:val="270"/>
        </w:trPr>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(4,132)</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(2,919)</w:t>
            </w:r>
          </w:p>
        </w:tc>
      </w:tr>
      <w:tr>
        <w:trPr>
          <w:trHeight w:val="278"/>
        </w:trPr>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1,837</w:t>
            </w: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1,248</w:t>
            </w:r>
          </w:p>
        </w:tc>
      </w:tr>
      <w:tr>
        <w:trPr>
          <w:trHeight w:val="250"/>
        </w:trPr>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16,853</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16,865</w:t>
            </w:r>
          </w:p>
        </w:tc>
      </w:tr>
      <w:tr>
        <w:trPr>
          <w:trHeight w:val="237"/>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210,840</w:t>
            </w:r>
          </w:p>
        </w:tc>
        <w:tc>
          <w:tcPr>
            <w:tcW w:w="56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206,398</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550" w:lineRule="exact"/>
        <w:rPr>
          <w:sz w:val="20"/>
          <w:szCs w:val="20"/>
          <w:color w:val="auto"/>
        </w:rPr>
      </w:pPr>
    </w:p>
    <w:p>
      <w:pPr>
        <w:sectPr>
          <w:pgSz w:w="11900" w:h="16838" w:orient="portrait"/>
          <w:cols w:equalWidth="0" w:num="2">
            <w:col w:w="8340" w:space="280"/>
            <w:col w:w="2760"/>
          </w:cols>
          <w:pgMar w:left="280" w:top="283" w:right="239" w:bottom="566" w:gutter="0" w:footer="0" w:header="0"/>
        </w:sect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1380"/>
          </w:cols>
          <w:pgMar w:left="280" w:top="283" w:right="239" w:bottom="566" w:gutter="0" w:footer="0" w:header="0"/>
          <w:type w:val="continuous"/>
        </w:sectPr>
      </w:pPr>
    </w:p>
    <w:bookmarkStart w:id="169" w:name="page170"/>
    <w:bookmarkEnd w:id="169"/>
    <w:p>
      <w:pPr>
        <w:ind w:left="34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w:t>
      </w:r>
    </w:p>
    <w:p>
      <w:pPr>
        <w:spacing w:after="0" w:line="333"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Schedule II</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Condensed Financial Information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Condensed Statements of Operations</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Revenues</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Premiums</w:t>
            </w:r>
          </w:p>
        </w:tc>
        <w:tc>
          <w:tcPr>
            <w:tcW w:w="2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283</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921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1,433</w:t>
            </w:r>
          </w:p>
        </w:tc>
      </w:tr>
      <w:tr>
        <w:trPr>
          <w:trHeight w:val="263"/>
        </w:trPr>
        <w:tc>
          <w:tcPr>
            <w:tcW w:w="7780" w:type="dxa"/>
            <w:vAlign w:val="bottom"/>
          </w:tcPr>
          <w:p>
            <w:pPr>
              <w:ind w:left="40"/>
              <w:spacing w:after="0"/>
              <w:rPr>
                <w:sz w:val="20"/>
                <w:szCs w:val="20"/>
                <w:color w:val="auto"/>
              </w:rPr>
            </w:pPr>
            <w:r>
              <w:rPr>
                <w:rFonts w:ascii="Arial" w:cs="Arial" w:eastAsia="Arial" w:hAnsi="Arial"/>
                <w:sz w:val="14"/>
                <w:szCs w:val="14"/>
                <w:color w:val="auto"/>
              </w:rPr>
              <w:t>Universal life and investment-type product policy fees</w:t>
            </w:r>
          </w:p>
        </w:tc>
        <w:tc>
          <w:tcPr>
            <w:tcW w:w="28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2,774</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2,696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2,940</w:t>
            </w: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of subsidiaries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1,221</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144</w:t>
            </w:r>
          </w:p>
        </w:tc>
      </w:tr>
      <w:tr>
        <w:trPr>
          <w:trHeight w:val="263"/>
        </w:trPr>
        <w:tc>
          <w:tcPr>
            <w:tcW w:w="7780" w:type="dxa"/>
            <w:vAlign w:val="bottom"/>
          </w:tcPr>
          <w:p>
            <w:pPr>
              <w:ind w:left="40"/>
              <w:spacing w:after="0"/>
              <w:rPr>
                <w:sz w:val="20"/>
                <w:szCs w:val="20"/>
                <w:color w:val="auto"/>
              </w:rPr>
            </w:pPr>
            <w:r>
              <w:rPr>
                <w:rFonts w:ascii="Arial" w:cs="Arial" w:eastAsia="Arial" w:hAnsi="Arial"/>
                <w:sz w:val="14"/>
                <w:szCs w:val="14"/>
                <w:color w:val="auto"/>
              </w:rPr>
              <w:t>Net investment income</w:t>
            </w:r>
          </w:p>
        </w:tc>
        <w:tc>
          <w:tcPr>
            <w:tcW w:w="28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2,613</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2,680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2,550</w:t>
            </w: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402</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760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504</w:t>
            </w:r>
          </w:p>
        </w:tc>
      </w:tr>
      <w:tr>
        <w:trPr>
          <w:trHeight w:val="263"/>
        </w:trPr>
        <w:tc>
          <w:tcPr>
            <w:tcW w:w="7780" w:type="dxa"/>
            <w:vAlign w:val="bottom"/>
          </w:tcPr>
          <w:p>
            <w:pPr>
              <w:ind w:left="40"/>
              <w:spacing w:after="0"/>
              <w:rPr>
                <w:sz w:val="20"/>
                <w:szCs w:val="20"/>
                <w:color w:val="auto"/>
              </w:rPr>
            </w:pPr>
            <w:r>
              <w:rPr>
                <w:rFonts w:ascii="Arial" w:cs="Arial" w:eastAsia="Arial" w:hAnsi="Arial"/>
                <w:sz w:val="14"/>
                <w:szCs w:val="14"/>
                <w:color w:val="auto"/>
              </w:rPr>
              <w:t>Net investment gains (losses)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20</w:t>
            </w:r>
          </w:p>
        </w:tc>
      </w:tr>
      <w:tr>
        <w:trPr>
          <w:trHeight w:val="271"/>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derivative gains (losses)</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(1,425)</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(5,878)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w:t>
            </w:r>
          </w:p>
        </w:tc>
      </w:tr>
      <w:tr>
        <w:trPr>
          <w:trHeight w:val="250"/>
        </w:trPr>
        <w:tc>
          <w:tcPr>
            <w:tcW w:w="77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Total revenues</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5,861</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1,334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7,167</w:t>
            </w: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4"/>
                <w:szCs w:val="14"/>
                <w:color w:val="auto"/>
              </w:rPr>
              <w:t>Policyholder benefits and claims</w:t>
            </w:r>
          </w:p>
        </w:tc>
        <w:tc>
          <w:tcPr>
            <w:tcW w:w="28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2,862</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2,984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2,696</w:t>
            </w:r>
          </w:p>
        </w:tc>
      </w:tr>
      <w:tr>
        <w:trPr>
          <w:trHeight w:val="27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credited to policyholder account balances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909</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957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1,037</w:t>
            </w:r>
          </w:p>
        </w:tc>
      </w:tr>
      <w:tr>
        <w:trPr>
          <w:trHeight w:val="263"/>
        </w:trPr>
        <w:tc>
          <w:tcPr>
            <w:tcW w:w="7780" w:type="dxa"/>
            <w:vAlign w:val="bottom"/>
          </w:tcPr>
          <w:p>
            <w:pPr>
              <w:ind w:left="40"/>
              <w:spacing w:after="0"/>
              <w:rPr>
                <w:sz w:val="20"/>
                <w:szCs w:val="20"/>
                <w:color w:val="auto"/>
              </w:rPr>
            </w:pPr>
            <w:r>
              <w:rPr>
                <w:rFonts w:ascii="Arial" w:cs="Arial" w:eastAsia="Arial" w:hAnsi="Arial"/>
                <w:sz w:val="14"/>
                <w:szCs w:val="14"/>
                <w:color w:val="auto"/>
              </w:rPr>
              <w:t>Amortization of deferred policy acquisition costs and value of business acquired</w:t>
            </w:r>
          </w:p>
        </w:tc>
        <w:tc>
          <w:tcPr>
            <w:tcW w:w="28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310</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595</w:t>
            </w:r>
          </w:p>
        </w:tc>
      </w:tr>
      <w:tr>
        <w:trPr>
          <w:trHeight w:val="271"/>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expenses</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1,848</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2,114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1,710</w:t>
            </w:r>
          </w:p>
        </w:tc>
      </w:tr>
      <w:tr>
        <w:trPr>
          <w:trHeight w:val="250"/>
        </w:trPr>
        <w:tc>
          <w:tcPr>
            <w:tcW w:w="77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Total expenses</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5,929</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5,883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6,038</w:t>
            </w: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provision for income tax</w:t>
            </w: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(4,549)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1,129</w:t>
            </w: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 expense (benefit)</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815</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(1,774)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211</w:t>
            </w:r>
          </w:p>
        </w:tc>
      </w:tr>
      <w:tr>
        <w:trPr>
          <w:trHeight w:val="243"/>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Net income (loss)</w:t>
            </w:r>
          </w:p>
        </w:tc>
        <w:tc>
          <w:tcPr>
            <w:tcW w:w="2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(2,775)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918</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0"/>
        </w:trPr>
        <w:tc>
          <w:tcPr>
            <w:tcW w:w="7780" w:type="dxa"/>
            <w:vAlign w:val="bottom"/>
          </w:tcPr>
          <w:p>
            <w:pPr>
              <w:ind w:left="40"/>
              <w:spacing w:after="0"/>
              <w:rPr>
                <w:sz w:val="20"/>
                <w:szCs w:val="20"/>
                <w:color w:val="auto"/>
              </w:rPr>
            </w:pPr>
            <w:r>
              <w:rPr>
                <w:rFonts w:ascii="Arial" w:cs="Arial" w:eastAsia="Arial" w:hAnsi="Arial"/>
                <w:sz w:val="14"/>
                <w:szCs w:val="14"/>
                <w:color w:val="auto"/>
              </w:rPr>
              <w:t>Comprehensive income (loss)</w:t>
            </w:r>
          </w:p>
        </w:tc>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(3,121)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financial information.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283" w:right="239" w:bottom="1440" w:gutter="0" w:footer="0" w:header="0"/>
        </w:sectPr>
      </w:pPr>
    </w:p>
    <w:bookmarkStart w:id="170" w:name="page171"/>
    <w:bookmarkEnd w:id="170"/>
    <w:p>
      <w:pPr>
        <w:ind w:left="34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Brighthouse Life Insurance Company</w:t>
      </w:r>
    </w:p>
    <w:p>
      <w:pPr>
        <w:spacing w:after="0" w:line="113"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Schedule II</w:t>
      </w:r>
    </w:p>
    <w:p>
      <w:pPr>
        <w:spacing w:after="0" w:line="113" w:lineRule="exact"/>
        <w:rPr>
          <w:sz w:val="20"/>
          <w:szCs w:val="20"/>
          <w:color w:val="auto"/>
        </w:rPr>
      </w:pPr>
    </w:p>
    <w:p>
      <w:pPr>
        <w:ind w:left="4120"/>
        <w:spacing w:after="0"/>
        <w:rPr>
          <w:sz w:val="20"/>
          <w:szCs w:val="20"/>
          <w:color w:val="auto"/>
        </w:rPr>
      </w:pPr>
      <w:r>
        <w:rPr>
          <w:rFonts w:ascii="Arial" w:cs="Arial" w:eastAsia="Arial" w:hAnsi="Arial"/>
          <w:sz w:val="16"/>
          <w:szCs w:val="16"/>
          <w:b w:val="1"/>
          <w:bCs w:val="1"/>
          <w:color w:val="auto"/>
        </w:rPr>
        <w:t>Condensed Financial Information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(Parent Company Only)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2017, 2016 and 2015</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334" w:lineRule="exact"/>
        <w:rPr>
          <w:sz w:val="20"/>
          <w:szCs w:val="20"/>
          <w:color w:val="auto"/>
        </w:rPr>
      </w:pPr>
    </w:p>
    <w:p>
      <w:pPr>
        <w:jc w:val="both"/>
        <w:ind w:left="8220"/>
        <w:spacing w:after="0"/>
        <w:tabs>
          <w:tab w:leader="none" w:pos="9460" w:val="left"/>
          <w:tab w:leader="none" w:pos="107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2"/>
          <w:szCs w:val="12"/>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Condensed Statements of Cash Flows</w:t>
      </w:r>
    </w:p>
    <w:p>
      <w:pPr>
        <w:sectPr>
          <w:pgSz w:w="11900" w:h="16838" w:orient="portrait"/>
          <w:cols w:equalWidth="0" w:num="1">
            <w:col w:w="11420"/>
          </w:cols>
          <w:pgMar w:left="240" w:top="283" w:right="239" w:bottom="219" w:gutter="0" w:footer="0" w:header="0"/>
        </w:sectPr>
      </w:pP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investing activities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maturities and repayments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Fixed maturity securities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Mortgage loans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Real estate and real estate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limited partnership interests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Fixed maturity securities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Mortgage loans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Real estate and real estate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limited partnership interests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received in connection with freestanding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paid in connection with freestanding derivatives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received under repurchase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paid under repurchase agreements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received under reverse repurchase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paid under reverse repurchase agreements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 of operating joint venture interest to a former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Returns of capital from subsidiaries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Capital contributions to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from subsidiaries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change in policy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change in short-term investments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change in other invested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provided by (used in) investing activities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4"/>
          <w:szCs w:val="14"/>
          <w:color w:val="auto"/>
        </w:rPr>
        <w:t>Policyholder account balances: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Withdrawals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change in payables for collateral under securities loaned and other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Long-term debt issued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Long-term debt 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Capital contributions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Capital contribution associated with the sale of operating joint venture interest to a former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paid to MetLife, Inc.</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Financing element on certain derivative instruments and other derivative related transactions, net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3,460</w:t>
            </w:r>
          </w:p>
        </w:tc>
        <w:tc>
          <w:tcPr>
            <w:tcW w:w="14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3,256</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4,196</w:t>
            </w:r>
          </w:p>
        </w:tc>
      </w:tr>
      <w:tr>
        <w:trPr>
          <w:trHeight w:val="810"/>
        </w:trPr>
        <w:tc>
          <w:tcPr>
            <w:tcW w:w="36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14,667</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39,104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35,728</w:t>
            </w:r>
          </w:p>
        </w:tc>
      </w:tr>
      <w:tr>
        <w:trPr>
          <w:trHeight w:val="270"/>
        </w:trPr>
        <w:tc>
          <w:tcPr>
            <w:tcW w:w="3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308</w:t>
            </w:r>
          </w:p>
        </w:tc>
      </w:tr>
      <w:tr>
        <w:trPr>
          <w:trHeight w:val="270"/>
        </w:trPr>
        <w:tc>
          <w:tcPr>
            <w:tcW w:w="3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704</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1,484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958</w:t>
            </w:r>
          </w:p>
        </w:tc>
      </w:tr>
      <w:tr>
        <w:trPr>
          <w:trHeight w:val="270"/>
        </w:trPr>
        <w:tc>
          <w:tcPr>
            <w:tcW w:w="3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441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368</w:t>
            </w:r>
          </w:p>
        </w:tc>
      </w:tr>
      <w:tr>
        <w:trPr>
          <w:trHeight w:val="270"/>
        </w:trPr>
        <w:tc>
          <w:tcPr>
            <w:tcW w:w="3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258</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422</w:t>
            </w:r>
          </w:p>
        </w:tc>
      </w:tr>
      <w:tr>
        <w:trPr>
          <w:trHeight w:val="540"/>
        </w:trPr>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(16,287)</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(34,906)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(39,298)</w:t>
            </w:r>
          </w:p>
        </w:tc>
      </w:tr>
      <w:tr>
        <w:trPr>
          <w:trHeight w:val="270"/>
        </w:trPr>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(273)</w:t>
            </w:r>
          </w:p>
        </w:tc>
      </w:tr>
      <w:tr>
        <w:trPr>
          <w:trHeight w:val="270"/>
        </w:trPr>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(2,017)</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(2,803)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(2,515)</w:t>
            </w:r>
          </w:p>
        </w:tc>
      </w:tr>
      <w:tr>
        <w:trPr>
          <w:trHeight w:val="270"/>
        </w:trPr>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(268)</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270"/>
        </w:trPr>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(263)</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(233)</w:t>
            </w:r>
          </w:p>
        </w:tc>
      </w:tr>
      <w:tr>
        <w:trPr>
          <w:trHeight w:val="270"/>
        </w:trPr>
        <w:tc>
          <w:tcPr>
            <w:tcW w:w="3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1,858</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707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223</w:t>
            </w:r>
          </w:p>
        </w:tc>
      </w:tr>
      <w:tr>
        <w:trPr>
          <w:trHeight w:val="270"/>
        </w:trPr>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(3,829)</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(2,764)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(868)</w:t>
            </w:r>
          </w:p>
        </w:tc>
      </w:tr>
      <w:tr>
        <w:trPr>
          <w:trHeight w:val="270"/>
        </w:trPr>
        <w:tc>
          <w:tcPr>
            <w:tcW w:w="36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199</w:t>
            </w:r>
          </w:p>
        </w:tc>
      </w:tr>
      <w:tr>
        <w:trPr>
          <w:trHeight w:val="270"/>
        </w:trPr>
        <w:tc>
          <w:tcPr>
            <w:tcW w:w="36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(199)</w:t>
            </w:r>
          </w:p>
        </w:tc>
      </w:tr>
      <w:tr>
        <w:trPr>
          <w:trHeight w:val="270"/>
        </w:trPr>
        <w:tc>
          <w:tcPr>
            <w:tcW w:w="36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199</w:t>
            </w:r>
          </w:p>
        </w:tc>
      </w:tr>
      <w:tr>
        <w:trPr>
          <w:trHeight w:val="270"/>
        </w:trPr>
        <w:tc>
          <w:tcPr>
            <w:tcW w:w="36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(199)</w:t>
            </w:r>
          </w:p>
        </w:tc>
      </w:tr>
      <w:tr>
        <w:trPr>
          <w:trHeight w:val="270"/>
        </w:trPr>
        <w:tc>
          <w:tcPr>
            <w:tcW w:w="3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169</w:t>
            </w:r>
          </w:p>
        </w:tc>
      </w:tr>
      <w:tr>
        <w:trPr>
          <w:trHeight w:val="270"/>
        </w:trPr>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70"/>
        </w:trPr>
        <w:tc>
          <w:tcPr>
            <w:tcW w:w="3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544</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70"/>
        </w:trPr>
        <w:tc>
          <w:tcPr>
            <w:tcW w:w="3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711</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876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(495)</w:t>
            </w:r>
          </w:p>
        </w:tc>
      </w:tr>
      <w:tr>
        <w:trPr>
          <w:trHeight w:val="276"/>
        </w:trPr>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r>
      <w:tr>
        <w:trPr>
          <w:trHeight w:val="250"/>
        </w:trPr>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(3,794)</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2,536</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(5,744)</w:t>
            </w:r>
          </w:p>
        </w:tc>
      </w:tr>
      <w:tr>
        <w:trPr>
          <w:trHeight w:val="798"/>
        </w:trPr>
        <w:tc>
          <w:tcPr>
            <w:tcW w:w="36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3,845</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9,672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19,970</w:t>
            </w:r>
          </w:p>
        </w:tc>
      </w:tr>
      <w:tr>
        <w:trPr>
          <w:trHeight w:val="270"/>
        </w:trPr>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(2,360)</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(12,001)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(20,797)</w:t>
            </w:r>
          </w:p>
        </w:tc>
      </w:tr>
      <w:tr>
        <w:trPr>
          <w:trHeight w:val="270"/>
        </w:trPr>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(3,136)</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(3,257)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3,118</w:t>
            </w:r>
          </w:p>
        </w:tc>
      </w:tr>
      <w:tr>
        <w:trPr>
          <w:trHeight w:val="270"/>
        </w:trPr>
        <w:tc>
          <w:tcPr>
            <w:tcW w:w="36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175</w:t>
            </w:r>
          </w:p>
        </w:tc>
      </w:tr>
      <w:tr>
        <w:trPr>
          <w:trHeight w:val="270"/>
        </w:trPr>
        <w:tc>
          <w:tcPr>
            <w:tcW w:w="36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(148)</w:t>
            </w:r>
          </w:p>
        </w:tc>
      </w:tr>
      <w:tr>
        <w:trPr>
          <w:trHeight w:val="270"/>
        </w:trPr>
        <w:tc>
          <w:tcPr>
            <w:tcW w:w="3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1,300</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1,568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w:t>
            </w:r>
          </w:p>
        </w:tc>
      </w:tr>
      <w:tr>
        <w:trPr>
          <w:trHeight w:val="351"/>
        </w:trPr>
        <w:tc>
          <w:tcPr>
            <w:tcW w:w="36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202</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6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270"/>
        </w:trPr>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(149)</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(97)</w:t>
            </w:r>
          </w:p>
        </w:tc>
      </w:tr>
    </w:tbl>
    <w:p>
      <w:pPr>
        <w:spacing w:after="0" w:line="1" w:lineRule="exact"/>
        <w:rPr>
          <w:sz w:val="20"/>
          <w:szCs w:val="20"/>
          <w:color w:val="auto"/>
        </w:rPr>
      </w:pPr>
    </w:p>
    <w:p>
      <w:pPr>
        <w:sectPr>
          <w:pgSz w:w="11900" w:h="16838" w:orient="portrait"/>
          <w:cols w:equalWidth="0" w:num="2">
            <w:col w:w="7060" w:space="720"/>
            <w:col w:w="3640"/>
          </w:cols>
          <w:pgMar w:left="240" w:top="283" w:right="239" w:bottom="219"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42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1,732</w:t>
            </w:r>
          </w:p>
        </w:tc>
        <w:tc>
          <w:tcPr>
            <w:tcW w:w="0" w:type="dxa"/>
            <w:vAlign w:val="bottom"/>
          </w:tcPr>
          <w:p>
            <w:pPr>
              <w:spacing w:after="0"/>
              <w:rPr>
                <w:sz w:val="1"/>
                <w:szCs w:val="1"/>
                <w:color w:val="auto"/>
              </w:rPr>
            </w:pPr>
          </w:p>
        </w:tc>
      </w:tr>
      <w:tr>
        <w:trPr>
          <w:trHeight w:val="171"/>
        </w:trPr>
        <w:tc>
          <w:tcPr>
            <w:tcW w:w="7780" w:type="dxa"/>
            <w:vAlign w:val="bottom"/>
          </w:tcPr>
          <w:p>
            <w:pPr>
              <w:ind w:left="40"/>
              <w:spacing w:after="0"/>
              <w:rPr>
                <w:sz w:val="20"/>
                <w:szCs w:val="20"/>
                <w:color w:val="auto"/>
              </w:rPr>
            </w:pPr>
            <w:r>
              <w:rPr>
                <w:rFonts w:ascii="Arial" w:cs="Arial" w:eastAsia="Arial" w:hAnsi="Arial"/>
                <w:sz w:val="14"/>
                <w:szCs w:val="14"/>
                <w:color w:val="auto"/>
              </w:rPr>
              <w:t>Effect of change in foreign currency exchange rates on cash and cash equivalents balances</w:t>
            </w:r>
          </w:p>
        </w:tc>
        <w:tc>
          <w:tcPr>
            <w:tcW w:w="4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74"/>
        </w:trPr>
        <w:tc>
          <w:tcPr>
            <w:tcW w:w="778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vMerge w:val="continue"/>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 in cash and cash equivalents</w:t>
            </w:r>
          </w:p>
        </w:tc>
        <w:tc>
          <w:tcPr>
            <w:tcW w:w="4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80"/>
        </w:trPr>
        <w:tc>
          <w:tcPr>
            <w:tcW w:w="77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40"/>
              <w:spacing w:after="0"/>
              <w:rPr>
                <w:sz w:val="20"/>
                <w:szCs w:val="20"/>
                <w:color w:val="auto"/>
              </w:rPr>
            </w:pPr>
            <w:r>
              <w:rPr>
                <w:rFonts w:ascii="Arial" w:cs="Arial" w:eastAsia="Arial" w:hAnsi="Arial"/>
                <w:sz w:val="14"/>
                <w:szCs w:val="14"/>
                <w:color w:val="auto"/>
              </w:rPr>
              <w:t>Cash and cash equivalents, beginning of year</w:t>
            </w:r>
          </w:p>
        </w:tc>
        <w:tc>
          <w:tcPr>
            <w:tcW w:w="42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1,881</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1,379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1,197</w:t>
            </w:r>
          </w:p>
        </w:tc>
        <w:tc>
          <w:tcPr>
            <w:tcW w:w="0" w:type="dxa"/>
            <w:vAlign w:val="bottom"/>
          </w:tcPr>
          <w:p>
            <w:pPr>
              <w:spacing w:after="0"/>
              <w:rPr>
                <w:sz w:val="1"/>
                <w:szCs w:val="1"/>
                <w:color w:val="auto"/>
              </w:rPr>
            </w:pPr>
          </w:p>
        </w:tc>
      </w:tr>
      <w:tr>
        <w:trPr>
          <w:trHeight w:val="74"/>
        </w:trPr>
        <w:tc>
          <w:tcPr>
            <w:tcW w:w="778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end of year</w:t>
            </w: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1,249</w:t>
            </w:r>
          </w:p>
        </w:tc>
        <w:tc>
          <w:tcPr>
            <w:tcW w:w="14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1,881</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1,379</w:t>
            </w:r>
          </w:p>
        </w:tc>
        <w:tc>
          <w:tcPr>
            <w:tcW w:w="0" w:type="dxa"/>
            <w:vAlign w:val="bottom"/>
          </w:tcPr>
          <w:p>
            <w:pPr>
              <w:spacing w:after="0"/>
              <w:rPr>
                <w:sz w:val="1"/>
                <w:szCs w:val="1"/>
                <w:color w:val="auto"/>
              </w:rPr>
            </w:pPr>
          </w:p>
        </w:tc>
      </w:tr>
      <w:tr>
        <w:trPr>
          <w:trHeight w:val="60"/>
        </w:trPr>
        <w:tc>
          <w:tcPr>
            <w:tcW w:w="778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7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420"/>
          </w:cols>
          <w:pgMar w:left="240" w:top="283" w:right="239" w:bottom="219" w:gutter="0" w:footer="0" w:header="0"/>
          <w:type w:val="continuous"/>
        </w:sectPr>
      </w:pPr>
    </w:p>
    <w:p>
      <w:pPr>
        <w:ind w:left="3460"/>
        <w:spacing w:after="0"/>
        <w:rPr>
          <w:sz w:val="20"/>
          <w:szCs w:val="20"/>
          <w:color w:val="auto"/>
        </w:rPr>
      </w:pPr>
      <w:r>
        <w:rPr>
          <w:rFonts w:ascii="Arial" w:cs="Arial" w:eastAsia="Arial" w:hAnsi="Arial"/>
          <w:sz w:val="15"/>
          <w:szCs w:val="15"/>
          <w:b w:val="1"/>
          <w:bCs w:val="1"/>
          <w:color w:val="auto"/>
        </w:rPr>
        <w:t>See accompanying notes to the condensed financial information.</w:t>
      </w:r>
    </w:p>
    <w:p>
      <w:pPr>
        <w:sectPr>
          <w:pgSz w:w="11900" w:h="16838" w:orient="portrait"/>
          <w:cols w:equalWidth="0" w:num="1">
            <w:col w:w="11420"/>
          </w:cols>
          <w:pgMar w:left="240" w:top="283" w:right="239" w:bottom="219" w:gutter="0" w:footer="0" w:header="0"/>
          <w:type w:val="continuous"/>
        </w:sectPr>
      </w:pPr>
    </w:p>
    <w:bookmarkStart w:id="171" w:name="page172"/>
    <w:bookmarkEnd w:id="171"/>
    <w:p>
      <w:pPr>
        <w:jc w:val="center"/>
        <w:spacing w:after="0"/>
        <w:rPr>
          <w:sz w:val="20"/>
          <w:szCs w:val="20"/>
          <w:color w:val="auto"/>
        </w:rPr>
      </w:pPr>
      <w:r>
        <w:rPr>
          <w:rFonts w:ascii="Arial" w:cs="Arial" w:eastAsia="Arial" w:hAnsi="Arial"/>
          <w:sz w:val="15"/>
          <w:szCs w:val="15"/>
          <w:color w:val="auto"/>
        </w:rPr>
        <w:t>170</w:t>
      </w:r>
    </w:p>
    <w:p>
      <w:pPr>
        <w:sectPr>
          <w:pgSz w:w="11900" w:h="16838" w:orient="portrait"/>
          <w:cols w:equalWidth="0" w:num="1">
            <w:col w:w="9019"/>
          </w:cols>
          <w:pgMar w:left="1440" w:top="287" w:right="1440" w:bottom="1440" w:gutter="0" w:footer="0" w:header="0"/>
        </w:sectPr>
      </w:pPr>
    </w:p>
    <w:bookmarkStart w:id="172" w:name="page173"/>
    <w:bookmarkEnd w:id="172"/>
    <w:p>
      <w:pPr>
        <w:ind w:left="34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Brighthouse Life Insurance Company</w:t>
      </w:r>
    </w:p>
    <w:p>
      <w:pPr>
        <w:spacing w:after="0" w:line="140"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Schedule II</w:t>
      </w:r>
    </w:p>
    <w:p>
      <w:pPr>
        <w:spacing w:after="0" w:line="140" w:lineRule="exact"/>
        <w:rPr>
          <w:sz w:val="20"/>
          <w:szCs w:val="20"/>
          <w:color w:val="auto"/>
        </w:rPr>
      </w:pPr>
    </w:p>
    <w:p>
      <w:pPr>
        <w:ind w:left="4120"/>
        <w:spacing w:after="0"/>
        <w:rPr>
          <w:sz w:val="20"/>
          <w:szCs w:val="20"/>
          <w:color w:val="auto"/>
        </w:rPr>
      </w:pPr>
      <w:r>
        <w:rPr>
          <w:rFonts w:ascii="Arial" w:cs="Arial" w:eastAsia="Arial" w:hAnsi="Arial"/>
          <w:sz w:val="16"/>
          <w:szCs w:val="16"/>
          <w:b w:val="1"/>
          <w:bCs w:val="1"/>
          <w:color w:val="auto"/>
        </w:rPr>
        <w:t>Condensed Financial Information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(Parent Company Only)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2017, 2016 and 2015</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7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40"/>
              <w:spacing w:after="0"/>
              <w:rPr>
                <w:sz w:val="20"/>
                <w:szCs w:val="20"/>
                <w:color w:val="auto"/>
              </w:rPr>
            </w:pPr>
            <w:r>
              <w:rPr>
                <w:rFonts w:ascii="Arial" w:cs="Arial" w:eastAsia="Arial" w:hAnsi="Arial"/>
                <w:sz w:val="14"/>
                <w:szCs w:val="14"/>
                <w:color w:val="auto"/>
              </w:rPr>
              <w:t>Net cash paid (received) for:</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60"/>
        </w:trPr>
        <w:tc>
          <w:tcPr>
            <w:tcW w:w="778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ind w:left="180"/>
              <w:spacing w:after="0"/>
              <w:rPr>
                <w:sz w:val="20"/>
                <w:szCs w:val="20"/>
                <w:color w:val="auto"/>
              </w:rPr>
            </w:pPr>
            <w:r>
              <w:rPr>
                <w:rFonts w:ascii="Arial" w:cs="Arial" w:eastAsia="Arial" w:hAnsi="Arial"/>
                <w:sz w:val="14"/>
                <w:szCs w:val="14"/>
                <w:color w:val="auto"/>
              </w:rPr>
              <w:t>Income tax</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780" w:type="dxa"/>
            <w:vAlign w:val="bottom"/>
            <w:vMerge w:val="continue"/>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(421)</w:t>
            </w:r>
          </w:p>
        </w:tc>
        <w:tc>
          <w:tcPr>
            <w:tcW w:w="140" w:type="dxa"/>
            <w:vAlign w:val="bottom"/>
          </w:tcPr>
          <w:p>
            <w:pPr>
              <w:spacing w:after="0"/>
              <w:rPr>
                <w:sz w:val="13"/>
                <w:szCs w:val="13"/>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00"/>
        </w:trPr>
        <w:tc>
          <w:tcPr>
            <w:tcW w:w="778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vMerge w:val="continue"/>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778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color w:val="auto"/>
              </w:rPr>
              <w:t>Non-cash transactions:</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7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780" w:type="dxa"/>
            <w:vAlign w:val="bottom"/>
          </w:tcPr>
          <w:p>
            <w:pPr>
              <w:ind w:left="180"/>
              <w:spacing w:after="0"/>
              <w:rPr>
                <w:sz w:val="20"/>
                <w:szCs w:val="20"/>
                <w:color w:val="auto"/>
              </w:rPr>
            </w:pPr>
            <w:r>
              <w:rPr>
                <w:rFonts w:ascii="Arial" w:cs="Arial" w:eastAsia="Arial" w:hAnsi="Arial"/>
                <w:sz w:val="14"/>
                <w:szCs w:val="14"/>
                <w:color w:val="auto"/>
              </w:rPr>
              <w:t>Capital contributions</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6"/>
                <w:szCs w:val="16"/>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00"/>
        </w:trPr>
        <w:tc>
          <w:tcPr>
            <w:tcW w:w="778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CEEFF"/>
            </w:tcBorders>
            <w:vMerge w:val="continue"/>
          </w:tcPr>
          <w:p>
            <w:pPr>
              <w:spacing w:after="0"/>
              <w:rPr>
                <w:sz w:val="8"/>
                <w:szCs w:val="8"/>
                <w:color w:val="auto"/>
              </w:rPr>
            </w:pPr>
          </w:p>
        </w:tc>
        <w:tc>
          <w:tcPr>
            <w:tcW w:w="240" w:type="dxa"/>
            <w:vAlign w:val="bottom"/>
            <w:tcBorders>
              <w:bottom w:val="single" w:sz="8" w:color="auto"/>
            </w:tcBorders>
            <w:vMerge w:val="continue"/>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7780" w:type="dxa"/>
            <w:vAlign w:val="bottom"/>
            <w:shd w:val="clear" w:color="auto" w:fill="CCEEFF"/>
          </w:tcPr>
          <w:p>
            <w:pPr>
              <w:ind w:left="180"/>
              <w:spacing w:after="0" w:line="150" w:lineRule="exact"/>
              <w:rPr>
                <w:sz w:val="20"/>
                <w:szCs w:val="20"/>
                <w:color w:val="auto"/>
              </w:rPr>
            </w:pPr>
            <w:r>
              <w:rPr>
                <w:rFonts w:ascii="Arial" w:cs="Arial" w:eastAsia="Arial" w:hAnsi="Arial"/>
                <w:sz w:val="14"/>
                <w:szCs w:val="14"/>
                <w:color w:val="auto"/>
              </w:rPr>
              <w:t>Transfer of fixed maturity securities from former affiliates</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3,565</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778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rPr>
              <w:t>Transfer of mortgage loans from former affiliates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780" w:type="dxa"/>
            <w:vAlign w:val="bottom"/>
            <w:vMerge w:val="continue"/>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3"/>
                <w:szCs w:val="13"/>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0"/>
        </w:trPr>
        <w:tc>
          <w:tcPr>
            <w:tcW w:w="778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CEEFF"/>
            </w:tcBorders>
            <w:vMerge w:val="continue"/>
          </w:tcPr>
          <w:p>
            <w:pPr>
              <w:spacing w:after="0"/>
              <w:rPr>
                <w:sz w:val="8"/>
                <w:szCs w:val="8"/>
                <w:color w:val="auto"/>
              </w:rPr>
            </w:pPr>
          </w:p>
        </w:tc>
        <w:tc>
          <w:tcPr>
            <w:tcW w:w="240" w:type="dxa"/>
            <w:vAlign w:val="bottom"/>
            <w:tcBorders>
              <w:bottom w:val="single" w:sz="8" w:color="auto"/>
            </w:tcBorders>
            <w:vMerge w:val="continue"/>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7780" w:type="dxa"/>
            <w:vAlign w:val="bottom"/>
            <w:shd w:val="clear" w:color="auto" w:fill="CCEEFF"/>
          </w:tcPr>
          <w:p>
            <w:pPr>
              <w:ind w:left="180"/>
              <w:spacing w:after="0" w:line="150" w:lineRule="exact"/>
              <w:rPr>
                <w:sz w:val="20"/>
                <w:szCs w:val="20"/>
                <w:color w:val="auto"/>
              </w:rPr>
            </w:pPr>
            <w:r>
              <w:rPr>
                <w:rFonts w:ascii="Arial" w:cs="Arial" w:eastAsia="Arial" w:hAnsi="Arial"/>
                <w:sz w:val="14"/>
                <w:szCs w:val="14"/>
                <w:color w:val="auto"/>
              </w:rPr>
              <w:t>Transfer of short-term investments from former affiliates</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778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rPr>
              <w:t>Transfer of fixed maturity securities to former affiliates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780" w:type="dxa"/>
            <w:vAlign w:val="bottom"/>
            <w:vMerge w:val="continue"/>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293</w:t>
            </w:r>
          </w:p>
        </w:tc>
        <w:tc>
          <w:tcPr>
            <w:tcW w:w="140" w:type="dxa"/>
            <w:vAlign w:val="bottom"/>
          </w:tcPr>
          <w:p>
            <w:pPr>
              <w:spacing w:after="0"/>
              <w:rPr>
                <w:sz w:val="13"/>
                <w:szCs w:val="13"/>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0"/>
        </w:trPr>
        <w:tc>
          <w:tcPr>
            <w:tcW w:w="778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vMerge w:val="continue"/>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7780" w:type="dxa"/>
            <w:vAlign w:val="bottom"/>
            <w:shd w:val="clear" w:color="auto" w:fill="CCEEFF"/>
          </w:tcPr>
          <w:p>
            <w:pPr>
              <w:ind w:left="180"/>
              <w:spacing w:after="0" w:line="150" w:lineRule="exact"/>
              <w:rPr>
                <w:sz w:val="20"/>
                <w:szCs w:val="20"/>
                <w:color w:val="auto"/>
              </w:rPr>
            </w:pPr>
            <w:r>
              <w:rPr>
                <w:rFonts w:ascii="Arial" w:cs="Arial" w:eastAsia="Arial" w:hAnsi="Arial"/>
                <w:sz w:val="14"/>
                <w:szCs w:val="14"/>
                <w:color w:val="auto"/>
              </w:rPr>
              <w:t>Reduction of other invested assets in connection with affiliated reinsurance transactions</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778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rPr>
              <w:t>Reduction of policyholder account balances in connection with reinsurance transactions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780" w:type="dxa"/>
            <w:vAlign w:val="bottom"/>
            <w:vMerge w:val="continue"/>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293</w:t>
            </w:r>
          </w:p>
        </w:tc>
        <w:tc>
          <w:tcPr>
            <w:tcW w:w="140" w:type="dxa"/>
            <w:vAlign w:val="bottom"/>
          </w:tcPr>
          <w:p>
            <w:pPr>
              <w:spacing w:after="0"/>
              <w:rPr>
                <w:sz w:val="13"/>
                <w:szCs w:val="13"/>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See accompanying notes to the condensed financial information.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284" w:right="239" w:bottom="1440" w:gutter="0" w:footer="0" w:header="0"/>
        </w:sectPr>
      </w:pPr>
    </w:p>
    <w:bookmarkStart w:id="173" w:name="page174"/>
    <w:bookmarkEnd w:id="173"/>
    <w:p>
      <w:pPr>
        <w:ind w:left="34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Brighthouse Life Insurance Company</w:t>
      </w:r>
    </w:p>
    <w:p>
      <w:pPr>
        <w:spacing w:after="0" w:line="117"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Schedule II</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the Condensed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condensed financial information of Brighthouse Life Insurance Company (the “Parent Company”) should be read in conjunction with the consolidated financial statements of Brighthouse Life Insurance Company and its subsidiaries and the notes thereto (the “Consolidated Financial Statements”). These condensed unconsolidated financial statements reflect the results of operations, financial position and cash flows for the Parent Company. Investments in subsidiaries are accounted for using the equity method of accounting.</w:t>
      </w:r>
    </w:p>
    <w:p>
      <w:pPr>
        <w:spacing w:after="0" w:line="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preparation of these condensed unconsolidated financial statements in conformity with GAAP requires management to adopt accounting policies and make certain estimates and assumptions. The most important of these estimates and assumptions relate to the fair value measurements, identifiable intangible assets and the provision for potential losses that may arise from litigation and regulatory proceedings and tax audits, which may affect the amounts reported in the condensed unconsolidated financial statements and accompanying notes. Actual results could differ from these estimates.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 in Subsidiaries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 ended December 31, 2017, Brighthouse Life Insurance Company paid cash capital contributions of $83 million to subsidiaries, of which $75 million was paid to BHNY.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 ended December 31, 2017, Brighthouse Life Insurance Company received $544 million of cash dividends from subsidiaries, of which $535 million was received from BRCD.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283"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20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Schedule III</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Supplementary Insurance Information</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December 31, 2017 and 2016</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2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DAC</w:t>
            </w:r>
          </w:p>
        </w:tc>
        <w:tc>
          <w:tcPr>
            <w:tcW w:w="120" w:type="dxa"/>
            <w:vAlign w:val="bottom"/>
          </w:tcPr>
          <w:p>
            <w:pPr>
              <w:spacing w:after="0"/>
              <w:rPr>
                <w:sz w:val="14"/>
                <w:szCs w:val="14"/>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Future Policy</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Policyholder</w:t>
            </w:r>
          </w:p>
        </w:tc>
        <w:tc>
          <w:tcPr>
            <w:tcW w:w="160" w:type="dxa"/>
            <w:vAlign w:val="bottom"/>
          </w:tcPr>
          <w:p>
            <w:pPr>
              <w:spacing w:after="0"/>
              <w:rPr>
                <w:sz w:val="14"/>
                <w:szCs w:val="14"/>
                <w:color w:val="auto"/>
              </w:rPr>
            </w:pPr>
          </w:p>
        </w:tc>
        <w:tc>
          <w:tcPr>
            <w:tcW w:w="15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Unearned</w:t>
            </w:r>
          </w:p>
        </w:tc>
        <w:tc>
          <w:tcPr>
            <w:tcW w:w="140" w:type="dxa"/>
            <w:vAlign w:val="bottom"/>
          </w:tcPr>
          <w:p>
            <w:pPr>
              <w:spacing w:after="0"/>
              <w:rPr>
                <w:sz w:val="14"/>
                <w:szCs w:val="14"/>
                <w:color w:val="auto"/>
              </w:rPr>
            </w:pPr>
          </w:p>
        </w:tc>
        <w:tc>
          <w:tcPr>
            <w:tcW w:w="102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Unearned</w:t>
            </w:r>
          </w:p>
        </w:tc>
        <w:tc>
          <w:tcPr>
            <w:tcW w:w="0" w:type="dxa"/>
            <w:vAlign w:val="bottom"/>
          </w:tcPr>
          <w:p>
            <w:pPr>
              <w:spacing w:after="0"/>
              <w:rPr>
                <w:sz w:val="1"/>
                <w:szCs w:val="1"/>
                <w:color w:val="auto"/>
              </w:rPr>
            </w:pPr>
          </w:p>
        </w:tc>
      </w:tr>
      <w:tr>
        <w:trPr>
          <w:trHeight w:val="149"/>
        </w:trPr>
        <w:tc>
          <w:tcPr>
            <w:tcW w:w="3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1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Benefits and Other</w:t>
            </w:r>
          </w:p>
        </w:tc>
        <w:tc>
          <w:tcPr>
            <w:tcW w:w="16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Account</w:t>
            </w: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VOBA</w:t>
            </w:r>
          </w:p>
        </w:tc>
        <w:tc>
          <w:tcPr>
            <w:tcW w:w="120" w:type="dxa"/>
            <w:vAlign w:val="bottom"/>
          </w:tcPr>
          <w:p>
            <w:pPr>
              <w:spacing w:after="0"/>
              <w:rPr>
                <w:sz w:val="16"/>
                <w:szCs w:val="16"/>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Policy-Related Balances</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Balances</w:t>
            </w:r>
          </w:p>
        </w:tc>
        <w:tc>
          <w:tcPr>
            <w:tcW w:w="16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Premiums (1), (2)</w:t>
            </w:r>
          </w:p>
        </w:tc>
        <w:tc>
          <w:tcPr>
            <w:tcW w:w="140" w:type="dxa"/>
            <w:vAlign w:val="bottom"/>
          </w:tcPr>
          <w:p>
            <w:pPr>
              <w:spacing w:after="0"/>
              <w:rPr>
                <w:sz w:val="16"/>
                <w:szCs w:val="16"/>
                <w:color w:val="auto"/>
              </w:rPr>
            </w:pPr>
          </w:p>
        </w:tc>
        <w:tc>
          <w:tcPr>
            <w:tcW w:w="1020" w:type="dxa"/>
            <w:vAlign w:val="bottom"/>
          </w:tcPr>
          <w:p>
            <w:pPr>
              <w:jc w:val="right"/>
              <w:ind w:right="144"/>
              <w:spacing w:after="0"/>
              <w:rPr>
                <w:sz w:val="20"/>
                <w:szCs w:val="20"/>
                <w:color w:val="auto"/>
              </w:rPr>
            </w:pPr>
            <w:r>
              <w:rPr>
                <w:rFonts w:ascii="Arial" w:cs="Arial" w:eastAsia="Arial" w:hAnsi="Arial"/>
                <w:sz w:val="14"/>
                <w:szCs w:val="14"/>
                <w:b w:val="1"/>
                <w:bCs w:val="1"/>
                <w:color w:val="auto"/>
                <w:w w:val="98"/>
              </w:rPr>
              <w:t>Revenue (1)</w:t>
            </w:r>
          </w:p>
        </w:tc>
        <w:tc>
          <w:tcPr>
            <w:tcW w:w="0" w:type="dxa"/>
            <w:vAlign w:val="bottom"/>
          </w:tcPr>
          <w:p>
            <w:pPr>
              <w:spacing w:after="0"/>
              <w:rPr>
                <w:sz w:val="1"/>
                <w:szCs w:val="1"/>
                <w:color w:val="auto"/>
              </w:rPr>
            </w:pPr>
          </w:p>
        </w:tc>
      </w:tr>
      <w:tr>
        <w:trPr>
          <w:trHeight w:val="270"/>
        </w:trPr>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2017</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3240" w:type="dxa"/>
            <w:vAlign w:val="bottom"/>
            <w:gridSpan w:val="2"/>
          </w:tcPr>
          <w:p>
            <w:pPr>
              <w:ind w:left="20"/>
              <w:spacing w:after="0"/>
              <w:rPr>
                <w:sz w:val="20"/>
                <w:szCs w:val="20"/>
                <w:color w:val="auto"/>
              </w:rPr>
            </w:pPr>
            <w:r>
              <w:rPr>
                <w:rFonts w:ascii="Arial" w:cs="Arial" w:eastAsia="Arial" w:hAnsi="Arial"/>
                <w:sz w:val="15"/>
                <w:szCs w:val="15"/>
                <w:color w:val="auto"/>
              </w:rPr>
              <w:t>Annuities</w:t>
            </w:r>
          </w:p>
        </w:tc>
        <w:tc>
          <w:tcPr>
            <w:tcW w:w="240" w:type="dxa"/>
            <w:vAlign w:val="bottom"/>
            <w:vMerge w:val="restart"/>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vMerge w:val="restart"/>
          </w:tcPr>
          <w:p>
            <w:pPr>
              <w:jc w:val="right"/>
              <w:ind w:right="25"/>
              <w:spacing w:after="0"/>
              <w:rPr>
                <w:sz w:val="20"/>
                <w:szCs w:val="20"/>
                <w:color w:val="auto"/>
              </w:rPr>
            </w:pPr>
            <w:r>
              <w:rPr>
                <w:rFonts w:ascii="Arial" w:cs="Arial" w:eastAsia="Arial" w:hAnsi="Arial"/>
                <w:sz w:val="15"/>
                <w:szCs w:val="15"/>
                <w:color w:val="auto"/>
              </w:rPr>
              <w:t>4,819</w:t>
            </w:r>
          </w:p>
        </w:tc>
        <w:tc>
          <w:tcPr>
            <w:tcW w:w="14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vMerge w:val="restart"/>
          </w:tcPr>
          <w:p>
            <w:pPr>
              <w:jc w:val="right"/>
              <w:ind w:right="25"/>
              <w:spacing w:after="0"/>
              <w:rPr>
                <w:sz w:val="20"/>
                <w:szCs w:val="20"/>
                <w:color w:val="auto"/>
              </w:rPr>
            </w:pPr>
            <w:r>
              <w:rPr>
                <w:rFonts w:ascii="Arial" w:cs="Arial" w:eastAsia="Arial" w:hAnsi="Arial"/>
                <w:sz w:val="15"/>
                <w:szCs w:val="15"/>
                <w:color w:val="auto"/>
              </w:rPr>
              <w:t>8,200</w:t>
            </w:r>
          </w:p>
        </w:tc>
        <w:tc>
          <w:tcPr>
            <w:tcW w:w="1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vMerge w:val="restart"/>
          </w:tcPr>
          <w:p>
            <w:pPr>
              <w:jc w:val="right"/>
              <w:ind w:right="25"/>
              <w:spacing w:after="0"/>
              <w:rPr>
                <w:sz w:val="20"/>
                <w:szCs w:val="20"/>
                <w:color w:val="auto"/>
              </w:rPr>
            </w:pPr>
            <w:r>
              <w:rPr>
                <w:rFonts w:ascii="Arial" w:cs="Arial" w:eastAsia="Arial" w:hAnsi="Arial"/>
                <w:sz w:val="15"/>
                <w:szCs w:val="15"/>
                <w:color w:val="auto"/>
              </w:rPr>
              <w:t>25,943</w:t>
            </w:r>
          </w:p>
        </w:tc>
        <w:tc>
          <w:tcPr>
            <w:tcW w:w="120" w:type="dxa"/>
            <w:vAlign w:val="bottom"/>
          </w:tcPr>
          <w:p>
            <w:pPr>
              <w:spacing w:after="0"/>
              <w:rPr>
                <w:sz w:val="18"/>
                <w:szCs w:val="18"/>
                <w:color w:val="auto"/>
              </w:rPr>
            </w:pPr>
          </w:p>
        </w:tc>
        <w:tc>
          <w:tcPr>
            <w:tcW w:w="160" w:type="dxa"/>
            <w:vAlign w:val="bottom"/>
            <w:vMerge w:val="restart"/>
          </w:tcPr>
          <w:p>
            <w:pPr>
              <w:jc w:val="right"/>
              <w:ind w:right="3"/>
              <w:spacing w:after="0"/>
              <w:rPr>
                <w:sz w:val="20"/>
                <w:szCs w:val="20"/>
                <w:color w:val="auto"/>
              </w:rPr>
            </w:pPr>
            <w:r>
              <w:rPr>
                <w:rFonts w:ascii="Arial" w:cs="Arial" w:eastAsia="Arial" w:hAnsi="Arial"/>
                <w:sz w:val="15"/>
                <w:szCs w:val="15"/>
                <w:color w:val="auto"/>
                <w:w w:val="71"/>
              </w:rPr>
              <w:t>$</w:t>
            </w:r>
          </w:p>
        </w:tc>
        <w:tc>
          <w:tcPr>
            <w:tcW w:w="15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vMerge w:val="restart"/>
          </w:tcPr>
          <w:p>
            <w:pPr>
              <w:jc w:val="right"/>
              <w:ind w:right="24"/>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58"/>
        </w:trPr>
        <w:tc>
          <w:tcPr>
            <w:tcW w:w="3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Life</w:t>
            </w:r>
          </w:p>
        </w:tc>
        <w:tc>
          <w:tcPr>
            <w:tcW w:w="24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671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4,437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2,620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62"/>
        </w:trPr>
        <w:tc>
          <w:tcPr>
            <w:tcW w:w="3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240" w:type="dxa"/>
            <w:vAlign w:val="bottom"/>
            <w:gridSpan w:val="2"/>
          </w:tcPr>
          <w:p>
            <w:pPr>
              <w:ind w:left="20"/>
              <w:spacing w:after="0"/>
              <w:rPr>
                <w:sz w:val="20"/>
                <w:szCs w:val="20"/>
                <w:color w:val="auto"/>
              </w:rPr>
            </w:pPr>
            <w:r>
              <w:rPr>
                <w:rFonts w:ascii="Arial" w:cs="Arial" w:eastAsia="Arial" w:hAnsi="Arial"/>
                <w:sz w:val="15"/>
                <w:szCs w:val="15"/>
                <w:color w:val="auto"/>
              </w:rPr>
              <w:t>Run-off</w:t>
            </w:r>
          </w:p>
        </w:tc>
        <w:tc>
          <w:tcPr>
            <w:tcW w:w="240" w:type="dxa"/>
            <w:vAlign w:val="bottom"/>
          </w:tcPr>
          <w:p>
            <w:pPr>
              <w:spacing w:after="0"/>
              <w:rPr>
                <w:sz w:val="18"/>
                <w:szCs w:val="18"/>
                <w:color w:val="auto"/>
              </w:rPr>
            </w:pPr>
          </w:p>
        </w:tc>
        <w:tc>
          <w:tcPr>
            <w:tcW w:w="960" w:type="dxa"/>
            <w:vAlign w:val="bottom"/>
            <w:vMerge w:val="restart"/>
          </w:tcPr>
          <w:p>
            <w:pPr>
              <w:jc w:val="right"/>
              <w:ind w:right="25"/>
              <w:spacing w:after="0"/>
              <w:rPr>
                <w:sz w:val="20"/>
                <w:szCs w:val="20"/>
                <w:color w:val="auto"/>
              </w:rPr>
            </w:pPr>
            <w:r>
              <w:rPr>
                <w:rFonts w:ascii="Arial" w:cs="Arial" w:eastAsia="Arial" w:hAnsi="Arial"/>
                <w:sz w:val="15"/>
                <w:szCs w:val="15"/>
                <w:color w:val="auto"/>
              </w:rPr>
              <w:t>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vMerge w:val="restart"/>
          </w:tcPr>
          <w:p>
            <w:pPr>
              <w:jc w:val="right"/>
              <w:ind w:right="25"/>
              <w:spacing w:after="0"/>
              <w:rPr>
                <w:sz w:val="20"/>
                <w:szCs w:val="20"/>
                <w:color w:val="auto"/>
              </w:rPr>
            </w:pPr>
            <w:r>
              <w:rPr>
                <w:rFonts w:ascii="Arial" w:cs="Arial" w:eastAsia="Arial" w:hAnsi="Arial"/>
                <w:sz w:val="15"/>
                <w:szCs w:val="15"/>
                <w:color w:val="auto"/>
              </w:rPr>
              <w:t>18,265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25"/>
              <w:spacing w:after="0"/>
              <w:rPr>
                <w:sz w:val="20"/>
                <w:szCs w:val="20"/>
                <w:color w:val="auto"/>
              </w:rPr>
            </w:pPr>
            <w:r>
              <w:rPr>
                <w:rFonts w:ascii="Arial" w:cs="Arial" w:eastAsia="Arial" w:hAnsi="Arial"/>
                <w:sz w:val="15"/>
                <w:szCs w:val="15"/>
                <w:color w:val="auto"/>
              </w:rPr>
              <w:t>8,505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020" w:type="dxa"/>
            <w:vAlign w:val="bottom"/>
            <w:vMerge w:val="restart"/>
          </w:tcPr>
          <w:p>
            <w:pPr>
              <w:jc w:val="right"/>
              <w:ind w:right="24"/>
              <w:spacing w:after="0"/>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58"/>
        </w:trPr>
        <w:tc>
          <w:tcPr>
            <w:tcW w:w="3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Corporate &amp; Other</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128</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7,533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81"/>
        </w:trPr>
        <w:tc>
          <w:tcPr>
            <w:tcW w:w="324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Total</w:t>
            </w: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rPr>
              <w:t>5,623</w:t>
            </w:r>
          </w:p>
        </w:tc>
        <w:tc>
          <w:tcPr>
            <w:tcW w:w="1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rPr>
              <w:t>38,435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rPr>
              <w:t>37,069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216</w:t>
            </w:r>
          </w:p>
        </w:tc>
        <w:tc>
          <w:tcPr>
            <w:tcW w:w="0" w:type="dxa"/>
            <w:vAlign w:val="bottom"/>
          </w:tcPr>
          <w:p>
            <w:pPr>
              <w:spacing w:after="0"/>
              <w:rPr>
                <w:sz w:val="1"/>
                <w:szCs w:val="1"/>
                <w:color w:val="auto"/>
              </w:rPr>
            </w:pPr>
          </w:p>
        </w:tc>
      </w:tr>
      <w:tr>
        <w:trPr>
          <w:trHeight w:val="251"/>
        </w:trPr>
        <w:tc>
          <w:tcPr>
            <w:tcW w:w="31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2016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3240" w:type="dxa"/>
            <w:vAlign w:val="bottom"/>
            <w:gridSpan w:val="2"/>
          </w:tcPr>
          <w:p>
            <w:pPr>
              <w:ind w:left="20"/>
              <w:spacing w:after="0"/>
              <w:rPr>
                <w:sz w:val="20"/>
                <w:szCs w:val="20"/>
                <w:color w:val="auto"/>
              </w:rPr>
            </w:pPr>
            <w:r>
              <w:rPr>
                <w:rFonts w:ascii="Arial" w:cs="Arial" w:eastAsia="Arial" w:hAnsi="Arial"/>
                <w:sz w:val="15"/>
                <w:szCs w:val="15"/>
                <w:color w:val="auto"/>
              </w:rPr>
              <w:t>Annuities</w:t>
            </w:r>
          </w:p>
        </w:tc>
        <w:tc>
          <w:tcPr>
            <w:tcW w:w="240" w:type="dxa"/>
            <w:vAlign w:val="bottom"/>
            <w:vMerge w:val="restart"/>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vMerge w:val="restart"/>
          </w:tcPr>
          <w:p>
            <w:pPr>
              <w:jc w:val="right"/>
              <w:ind w:right="25"/>
              <w:spacing w:after="0"/>
              <w:rPr>
                <w:sz w:val="20"/>
                <w:szCs w:val="20"/>
                <w:color w:val="auto"/>
              </w:rPr>
            </w:pPr>
            <w:r>
              <w:rPr>
                <w:rFonts w:ascii="Arial" w:cs="Arial" w:eastAsia="Arial" w:hAnsi="Arial"/>
                <w:sz w:val="15"/>
                <w:szCs w:val="15"/>
                <w:color w:val="auto"/>
              </w:rPr>
              <w:t>4,820</w:t>
            </w:r>
          </w:p>
        </w:tc>
        <w:tc>
          <w:tcPr>
            <w:tcW w:w="14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vMerge w:val="restart"/>
          </w:tcPr>
          <w:p>
            <w:pPr>
              <w:jc w:val="right"/>
              <w:ind w:right="25"/>
              <w:spacing w:after="0"/>
              <w:rPr>
                <w:sz w:val="20"/>
                <w:szCs w:val="20"/>
                <w:color w:val="auto"/>
              </w:rPr>
            </w:pPr>
            <w:r>
              <w:rPr>
                <w:rFonts w:ascii="Arial" w:cs="Arial" w:eastAsia="Arial" w:hAnsi="Arial"/>
                <w:sz w:val="15"/>
                <w:szCs w:val="15"/>
                <w:color w:val="auto"/>
              </w:rPr>
              <w:t>7,560</w:t>
            </w:r>
          </w:p>
        </w:tc>
        <w:tc>
          <w:tcPr>
            <w:tcW w:w="1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vMerge w:val="restart"/>
          </w:tcPr>
          <w:p>
            <w:pPr>
              <w:jc w:val="right"/>
              <w:ind w:right="25"/>
              <w:spacing w:after="0"/>
              <w:rPr>
                <w:sz w:val="20"/>
                <w:szCs w:val="20"/>
                <w:color w:val="auto"/>
              </w:rPr>
            </w:pPr>
            <w:r>
              <w:rPr>
                <w:rFonts w:ascii="Arial" w:cs="Arial" w:eastAsia="Arial" w:hAnsi="Arial"/>
                <w:sz w:val="15"/>
                <w:szCs w:val="15"/>
                <w:color w:val="auto"/>
              </w:rPr>
              <w:t>25,233</w:t>
            </w:r>
          </w:p>
        </w:tc>
        <w:tc>
          <w:tcPr>
            <w:tcW w:w="120" w:type="dxa"/>
            <w:vAlign w:val="bottom"/>
          </w:tcPr>
          <w:p>
            <w:pPr>
              <w:spacing w:after="0"/>
              <w:rPr>
                <w:sz w:val="18"/>
                <w:szCs w:val="18"/>
                <w:color w:val="auto"/>
              </w:rPr>
            </w:pPr>
          </w:p>
        </w:tc>
        <w:tc>
          <w:tcPr>
            <w:tcW w:w="160" w:type="dxa"/>
            <w:vAlign w:val="bottom"/>
            <w:vMerge w:val="restart"/>
          </w:tcPr>
          <w:p>
            <w:pPr>
              <w:jc w:val="right"/>
              <w:ind w:right="3"/>
              <w:spacing w:after="0"/>
              <w:rPr>
                <w:sz w:val="20"/>
                <w:szCs w:val="20"/>
                <w:color w:val="auto"/>
              </w:rPr>
            </w:pPr>
            <w:r>
              <w:rPr>
                <w:rFonts w:ascii="Arial" w:cs="Arial" w:eastAsia="Arial" w:hAnsi="Arial"/>
                <w:sz w:val="15"/>
                <w:szCs w:val="15"/>
                <w:color w:val="auto"/>
                <w:w w:val="71"/>
              </w:rPr>
              <w:t>$</w:t>
            </w:r>
          </w:p>
        </w:tc>
        <w:tc>
          <w:tcPr>
            <w:tcW w:w="15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vMerge w:val="restart"/>
          </w:tcPr>
          <w:p>
            <w:pPr>
              <w:jc w:val="right"/>
              <w:ind w:right="24"/>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58"/>
        </w:trPr>
        <w:tc>
          <w:tcPr>
            <w:tcW w:w="3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Life</w:t>
            </w:r>
          </w:p>
        </w:tc>
        <w:tc>
          <w:tcPr>
            <w:tcW w:w="24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787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4,094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2,838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62"/>
        </w:trPr>
        <w:tc>
          <w:tcPr>
            <w:tcW w:w="3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240" w:type="dxa"/>
            <w:vAlign w:val="bottom"/>
            <w:gridSpan w:val="2"/>
          </w:tcPr>
          <w:p>
            <w:pPr>
              <w:ind w:left="20"/>
              <w:spacing w:after="0"/>
              <w:rPr>
                <w:sz w:val="20"/>
                <w:szCs w:val="20"/>
                <w:color w:val="auto"/>
              </w:rPr>
            </w:pPr>
            <w:r>
              <w:rPr>
                <w:rFonts w:ascii="Arial" w:cs="Arial" w:eastAsia="Arial" w:hAnsi="Arial"/>
                <w:sz w:val="15"/>
                <w:szCs w:val="15"/>
                <w:color w:val="auto"/>
              </w:rPr>
              <w:t>Run-off</w:t>
            </w:r>
          </w:p>
        </w:tc>
        <w:tc>
          <w:tcPr>
            <w:tcW w:w="240" w:type="dxa"/>
            <w:vAlign w:val="bottom"/>
          </w:tcPr>
          <w:p>
            <w:pPr>
              <w:spacing w:after="0"/>
              <w:rPr>
                <w:sz w:val="18"/>
                <w:szCs w:val="18"/>
                <w:color w:val="auto"/>
              </w:rPr>
            </w:pPr>
          </w:p>
        </w:tc>
        <w:tc>
          <w:tcPr>
            <w:tcW w:w="960" w:type="dxa"/>
            <w:vAlign w:val="bottom"/>
            <w:vMerge w:val="restart"/>
          </w:tcPr>
          <w:p>
            <w:pPr>
              <w:jc w:val="right"/>
              <w:ind w:right="25"/>
              <w:spacing w:after="0"/>
              <w:rPr>
                <w:sz w:val="20"/>
                <w:szCs w:val="20"/>
                <w:color w:val="auto"/>
              </w:rPr>
            </w:pPr>
            <w:r>
              <w:rPr>
                <w:rFonts w:ascii="Arial" w:cs="Arial" w:eastAsia="Arial" w:hAnsi="Arial"/>
                <w:sz w:val="15"/>
                <w:szCs w:val="15"/>
                <w:color w:val="auto"/>
              </w:rPr>
              <w:t>584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vMerge w:val="restart"/>
          </w:tcPr>
          <w:p>
            <w:pPr>
              <w:jc w:val="right"/>
              <w:ind w:right="25"/>
              <w:spacing w:after="0"/>
              <w:rPr>
                <w:sz w:val="20"/>
                <w:szCs w:val="20"/>
                <w:color w:val="auto"/>
              </w:rPr>
            </w:pPr>
            <w:r>
              <w:rPr>
                <w:rFonts w:ascii="Arial" w:cs="Arial" w:eastAsia="Arial" w:hAnsi="Arial"/>
                <w:sz w:val="15"/>
                <w:szCs w:val="15"/>
                <w:color w:val="auto"/>
              </w:rPr>
              <w:t>16,381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25"/>
              <w:spacing w:after="0"/>
              <w:rPr>
                <w:sz w:val="20"/>
                <w:szCs w:val="20"/>
                <w:color w:val="auto"/>
              </w:rPr>
            </w:pPr>
            <w:r>
              <w:rPr>
                <w:rFonts w:ascii="Arial" w:cs="Arial" w:eastAsia="Arial" w:hAnsi="Arial"/>
                <w:sz w:val="15"/>
                <w:szCs w:val="15"/>
                <w:color w:val="auto"/>
              </w:rPr>
              <w:t>8,506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020" w:type="dxa"/>
            <w:vAlign w:val="bottom"/>
            <w:vMerge w:val="restart"/>
          </w:tcPr>
          <w:p>
            <w:pPr>
              <w:jc w:val="right"/>
              <w:ind w:right="24"/>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58"/>
        </w:trPr>
        <w:tc>
          <w:tcPr>
            <w:tcW w:w="3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Corporate &amp; Other</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148</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7,429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6"/>
        </w:trPr>
        <w:tc>
          <w:tcPr>
            <w:tcW w:w="3240" w:type="dxa"/>
            <w:vAlign w:val="bottom"/>
            <w:gridSpan w:val="2"/>
          </w:tcPr>
          <w:p>
            <w:pPr>
              <w:ind w:left="180"/>
              <w:spacing w:after="0"/>
              <w:rPr>
                <w:sz w:val="20"/>
                <w:szCs w:val="20"/>
                <w:color w:val="auto"/>
              </w:rPr>
            </w:pPr>
            <w:r>
              <w:rPr>
                <w:rFonts w:ascii="Arial" w:cs="Arial" w:eastAsia="Arial" w:hAnsi="Arial"/>
                <w:sz w:val="15"/>
                <w:szCs w:val="15"/>
                <w:color w:val="auto"/>
              </w:rPr>
              <w:t>Total</w:t>
            </w:r>
          </w:p>
        </w:tc>
        <w:tc>
          <w:tcPr>
            <w:tcW w:w="24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6,339</w:t>
            </w:r>
          </w:p>
        </w:tc>
        <w:tc>
          <w:tcPr>
            <w:tcW w:w="14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35,464</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36,579</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19</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218</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______________</w:t>
      </w:r>
    </w:p>
    <w:p>
      <w:pPr>
        <w:spacing w:after="0" w:line="103" w:lineRule="exact"/>
        <w:rPr>
          <w:sz w:val="20"/>
          <w:szCs w:val="20"/>
          <w:color w:val="auto"/>
        </w:rPr>
      </w:pPr>
    </w:p>
    <w:p>
      <w:pPr>
        <w:ind w:left="500" w:hanging="492"/>
        <w:spacing w:after="0"/>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Amounts are included within the future policy benefits and other policy-related balances column.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Includes premiums received in advance.</w:t>
      </w: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240" w:top="230" w:right="5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Schedule III</w:t>
      </w:r>
    </w:p>
    <w:p>
      <w:pPr>
        <w:spacing w:after="0" w:line="1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Consolidated Supplementary Insurance Information — (continued)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2017, 2016 and 2015</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millions)</w:t>
      </w:r>
    </w:p>
    <w:p>
      <w:pPr>
        <w:spacing w:after="0" w:line="31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Premiums and Universal</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Policyholder Benefits and</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Claims and</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Net Investment</w:t>
            </w: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Interest Credited to</w:t>
            </w:r>
          </w:p>
        </w:tc>
        <w:tc>
          <w:tcPr>
            <w:tcW w:w="160" w:type="dxa"/>
            <w:vAlign w:val="bottom"/>
          </w:tcPr>
          <w:p>
            <w:pPr>
              <w:spacing w:after="0"/>
              <w:rPr>
                <w:sz w:val="12"/>
                <w:szCs w:val="12"/>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Amortization of</w:t>
            </w:r>
          </w:p>
        </w:tc>
        <w:tc>
          <w:tcPr>
            <w:tcW w:w="240" w:type="dxa"/>
            <w:vAlign w:val="bottom"/>
          </w:tcPr>
          <w:p>
            <w:pPr>
              <w:spacing w:after="0"/>
              <w:rPr>
                <w:sz w:val="12"/>
                <w:szCs w:val="12"/>
                <w:color w:val="auto"/>
              </w:rPr>
            </w:pPr>
          </w:p>
        </w:tc>
        <w:tc>
          <w:tcPr>
            <w:tcW w:w="110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120" w:type="dxa"/>
            <w:vAlign w:val="bottom"/>
          </w:tcPr>
          <w:p>
            <w:pPr>
              <w:spacing w:after="0"/>
              <w:rPr>
                <w:sz w:val="12"/>
                <w:szCs w:val="12"/>
                <w:color w:val="auto"/>
              </w:rPr>
            </w:pPr>
          </w:p>
        </w:tc>
        <w:tc>
          <w:tcPr>
            <w:tcW w:w="1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and Investment-Type</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Policyholder</w:t>
            </w: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Product Policy Fees</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Income (1)</w:t>
            </w: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Account Balances</w:t>
            </w: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DAC and VOBA</w:t>
            </w:r>
          </w:p>
        </w:tc>
        <w:tc>
          <w:tcPr>
            <w:tcW w:w="240" w:type="dxa"/>
            <w:vAlign w:val="bottom"/>
          </w:tcPr>
          <w:p>
            <w:pPr>
              <w:spacing w:after="0"/>
              <w:rPr>
                <w:sz w:val="16"/>
                <w:szCs w:val="16"/>
                <w:color w:val="auto"/>
              </w:rPr>
            </w:pPr>
          </w:p>
        </w:tc>
        <w:tc>
          <w:tcPr>
            <w:tcW w:w="1100" w:type="dxa"/>
            <w:vAlign w:val="bottom"/>
          </w:tcPr>
          <w:p>
            <w:pPr>
              <w:jc w:val="right"/>
              <w:ind w:right="300"/>
              <w:spacing w:after="0"/>
              <w:rPr>
                <w:sz w:val="20"/>
                <w:szCs w:val="20"/>
                <w:color w:val="auto"/>
              </w:rPr>
            </w:pPr>
            <w:r>
              <w:rPr>
                <w:rFonts w:ascii="Arial" w:cs="Arial" w:eastAsia="Arial" w:hAnsi="Arial"/>
                <w:sz w:val="14"/>
                <w:szCs w:val="14"/>
                <w:b w:val="1"/>
                <w:bCs w:val="1"/>
                <w:color w:val="auto"/>
              </w:rPr>
              <w:t>Expenses</w:t>
            </w:r>
          </w:p>
        </w:tc>
        <w:tc>
          <w:tcPr>
            <w:tcW w:w="0" w:type="dxa"/>
            <w:vAlign w:val="bottom"/>
          </w:tcPr>
          <w:p>
            <w:pPr>
              <w:spacing w:after="0"/>
              <w:rPr>
                <w:sz w:val="1"/>
                <w:szCs w:val="1"/>
                <w:color w:val="auto"/>
              </w:rPr>
            </w:pPr>
          </w:p>
        </w:tc>
      </w:tr>
      <w:tr>
        <w:trPr>
          <w:trHeight w:val="250"/>
        </w:trPr>
        <w:tc>
          <w:tcPr>
            <w:tcW w:w="3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00" w:type="dxa"/>
            <w:vAlign w:val="bottom"/>
            <w:gridSpan w:val="2"/>
          </w:tcPr>
          <w:p>
            <w:pPr>
              <w:ind w:left="40"/>
              <w:spacing w:after="0"/>
              <w:rPr>
                <w:sz w:val="20"/>
                <w:szCs w:val="20"/>
                <w:color w:val="auto"/>
              </w:rPr>
            </w:pPr>
            <w:r>
              <w:rPr>
                <w:rFonts w:ascii="Arial" w:cs="Arial" w:eastAsia="Arial" w:hAnsi="Arial"/>
                <w:sz w:val="16"/>
                <w:szCs w:val="16"/>
                <w:color w:val="auto"/>
              </w:rPr>
              <w:t>Annuities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41"/>
              <w:spacing w:after="0"/>
              <w:rPr>
                <w:sz w:val="20"/>
                <w:szCs w:val="20"/>
                <w:color w:val="auto"/>
              </w:rPr>
            </w:pPr>
            <w:r>
              <w:rPr>
                <w:rFonts w:ascii="Arial" w:cs="Arial" w:eastAsia="Arial" w:hAnsi="Arial"/>
                <w:sz w:val="16"/>
                <w:szCs w:val="16"/>
                <w:color w:val="auto"/>
              </w:rPr>
              <w:t>2,448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1,238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1"/>
              <w:spacing w:after="0"/>
              <w:rPr>
                <w:sz w:val="20"/>
                <w:szCs w:val="20"/>
                <w:color w:val="auto"/>
              </w:rPr>
            </w:pPr>
            <w:r>
              <w:rPr>
                <w:rFonts w:ascii="Arial" w:cs="Arial" w:eastAsia="Arial" w:hAnsi="Arial"/>
                <w:sz w:val="16"/>
                <w:szCs w:val="16"/>
                <w:color w:val="auto"/>
              </w:rPr>
              <w:t>2,140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1,035</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Life</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37"/>
        </w:trPr>
        <w:tc>
          <w:tcPr>
            <w:tcW w:w="3300" w:type="dxa"/>
            <w:vAlign w:val="bottom"/>
            <w:gridSpan w:val="2"/>
          </w:tcPr>
          <w:p>
            <w:pPr>
              <w:ind w:left="40"/>
              <w:spacing w:after="0"/>
              <w:rPr>
                <w:sz w:val="20"/>
                <w:szCs w:val="20"/>
                <w:color w:val="auto"/>
              </w:rPr>
            </w:pPr>
            <w:r>
              <w:rPr>
                <w:rFonts w:ascii="Arial" w:cs="Arial" w:eastAsia="Arial" w:hAnsi="Arial"/>
                <w:sz w:val="16"/>
                <w:szCs w:val="16"/>
                <w:color w:val="auto"/>
              </w:rPr>
              <w:t>Run-off</w:t>
            </w:r>
          </w:p>
        </w:tc>
        <w:tc>
          <w:tcPr>
            <w:tcW w:w="120" w:type="dxa"/>
            <w:vAlign w:val="bottom"/>
          </w:tcPr>
          <w:p>
            <w:pPr>
              <w:spacing w:after="0"/>
              <w:rPr>
                <w:sz w:val="20"/>
                <w:szCs w:val="20"/>
                <w:color w:val="auto"/>
              </w:rPr>
            </w:pPr>
          </w:p>
        </w:tc>
        <w:tc>
          <w:tcPr>
            <w:tcW w:w="1700" w:type="dxa"/>
            <w:vAlign w:val="bottom"/>
          </w:tcPr>
          <w:p>
            <w:pPr>
              <w:jc w:val="right"/>
              <w:ind w:right="41"/>
              <w:spacing w:after="0"/>
              <w:rPr>
                <w:sz w:val="20"/>
                <w:szCs w:val="20"/>
                <w:color w:val="auto"/>
              </w:rPr>
            </w:pPr>
            <w:r>
              <w:rPr>
                <w:rFonts w:ascii="Arial" w:cs="Arial" w:eastAsia="Arial" w:hAnsi="Arial"/>
                <w:sz w:val="16"/>
                <w:szCs w:val="16"/>
                <w:color w:val="auto"/>
              </w:rPr>
              <w:t>715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1,358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1"/>
              <w:spacing w:after="0"/>
              <w:rPr>
                <w:sz w:val="20"/>
                <w:szCs w:val="20"/>
                <w:color w:val="auto"/>
              </w:rPr>
            </w:pPr>
            <w:r>
              <w:rPr>
                <w:rFonts w:ascii="Arial" w:cs="Arial" w:eastAsia="Arial" w:hAnsi="Arial"/>
                <w:sz w:val="16"/>
                <w:szCs w:val="16"/>
                <w:color w:val="auto"/>
              </w:rPr>
              <w:t>1,788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Corporate &amp; Other</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84"/>
        </w:trPr>
        <w:tc>
          <w:tcPr>
            <w:tcW w:w="33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3,984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2,973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4,670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916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1,833</w:t>
            </w: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00" w:type="dxa"/>
            <w:vAlign w:val="bottom"/>
            <w:gridSpan w:val="2"/>
          </w:tcPr>
          <w:p>
            <w:pPr>
              <w:ind w:left="40"/>
              <w:spacing w:after="0"/>
              <w:rPr>
                <w:sz w:val="20"/>
                <w:szCs w:val="20"/>
                <w:color w:val="auto"/>
              </w:rPr>
            </w:pPr>
            <w:r>
              <w:rPr>
                <w:rFonts w:ascii="Arial" w:cs="Arial" w:eastAsia="Arial" w:hAnsi="Arial"/>
                <w:sz w:val="16"/>
                <w:szCs w:val="16"/>
                <w:color w:val="auto"/>
              </w:rPr>
              <w:t>Annuities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41"/>
              <w:spacing w:after="0"/>
              <w:rPr>
                <w:sz w:val="20"/>
                <w:szCs w:val="20"/>
                <w:color w:val="auto"/>
              </w:rPr>
            </w:pPr>
            <w:r>
              <w:rPr>
                <w:rFonts w:ascii="Arial" w:cs="Arial" w:eastAsia="Arial" w:hAnsi="Arial"/>
                <w:sz w:val="16"/>
                <w:szCs w:val="16"/>
                <w:color w:val="auto"/>
              </w:rPr>
              <w:t>2,714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1,324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1"/>
              <w:spacing w:after="0"/>
              <w:rPr>
                <w:sz w:val="20"/>
                <w:szCs w:val="20"/>
                <w:color w:val="auto"/>
              </w:rPr>
            </w:pPr>
            <w:r>
              <w:rPr>
                <w:rFonts w:ascii="Arial" w:cs="Arial" w:eastAsia="Arial" w:hAnsi="Arial"/>
                <w:sz w:val="16"/>
                <w:szCs w:val="16"/>
                <w:color w:val="auto"/>
              </w:rPr>
              <w:t>2,340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Life</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37"/>
        </w:trPr>
        <w:tc>
          <w:tcPr>
            <w:tcW w:w="3300" w:type="dxa"/>
            <w:vAlign w:val="bottom"/>
            <w:gridSpan w:val="2"/>
          </w:tcPr>
          <w:p>
            <w:pPr>
              <w:ind w:left="40"/>
              <w:spacing w:after="0"/>
              <w:rPr>
                <w:sz w:val="20"/>
                <w:szCs w:val="20"/>
                <w:color w:val="auto"/>
              </w:rPr>
            </w:pPr>
            <w:r>
              <w:rPr>
                <w:rFonts w:ascii="Arial" w:cs="Arial" w:eastAsia="Arial" w:hAnsi="Arial"/>
                <w:sz w:val="16"/>
                <w:szCs w:val="16"/>
                <w:color w:val="auto"/>
              </w:rPr>
              <w:t>Run-off</w:t>
            </w:r>
          </w:p>
        </w:tc>
        <w:tc>
          <w:tcPr>
            <w:tcW w:w="120" w:type="dxa"/>
            <w:vAlign w:val="bottom"/>
          </w:tcPr>
          <w:p>
            <w:pPr>
              <w:spacing w:after="0"/>
              <w:rPr>
                <w:sz w:val="20"/>
                <w:szCs w:val="20"/>
                <w:color w:val="auto"/>
              </w:rPr>
            </w:pPr>
          </w:p>
        </w:tc>
        <w:tc>
          <w:tcPr>
            <w:tcW w:w="1700" w:type="dxa"/>
            <w:vAlign w:val="bottom"/>
          </w:tcPr>
          <w:p>
            <w:pPr>
              <w:jc w:val="right"/>
              <w:ind w:right="41"/>
              <w:spacing w:after="0"/>
              <w:rPr>
                <w:sz w:val="20"/>
                <w:szCs w:val="20"/>
                <w:color w:val="auto"/>
              </w:rPr>
            </w:pPr>
            <w:r>
              <w:rPr>
                <w:rFonts w:ascii="Arial" w:cs="Arial" w:eastAsia="Arial" w:hAnsi="Arial"/>
                <w:sz w:val="16"/>
                <w:szCs w:val="16"/>
                <w:color w:val="auto"/>
              </w:rPr>
              <w:t>878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1,311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1"/>
              <w:spacing w:after="0"/>
              <w:rPr>
                <w:sz w:val="20"/>
                <w:szCs w:val="20"/>
                <w:color w:val="auto"/>
              </w:rPr>
            </w:pPr>
            <w:r>
              <w:rPr>
                <w:rFonts w:ascii="Arial" w:cs="Arial" w:eastAsia="Arial" w:hAnsi="Arial"/>
                <w:sz w:val="16"/>
                <w:szCs w:val="16"/>
                <w:color w:val="auto"/>
              </w:rPr>
              <w:t>1,901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Corporate &amp; Other</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84"/>
        </w:trPr>
        <w:tc>
          <w:tcPr>
            <w:tcW w:w="33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4,277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3,111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4,869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1,700</w:t>
            </w: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2015</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00" w:type="dxa"/>
            <w:vAlign w:val="bottom"/>
            <w:gridSpan w:val="2"/>
          </w:tcPr>
          <w:p>
            <w:pPr>
              <w:ind w:left="40"/>
              <w:spacing w:after="0"/>
              <w:rPr>
                <w:sz w:val="20"/>
                <w:szCs w:val="20"/>
                <w:color w:val="auto"/>
              </w:rPr>
            </w:pPr>
            <w:r>
              <w:rPr>
                <w:rFonts w:ascii="Arial" w:cs="Arial" w:eastAsia="Arial" w:hAnsi="Arial"/>
                <w:sz w:val="16"/>
                <w:szCs w:val="16"/>
                <w:color w:val="auto"/>
              </w:rPr>
              <w:t>Annuities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41"/>
              <w:spacing w:after="0"/>
              <w:rPr>
                <w:sz w:val="20"/>
                <w:szCs w:val="20"/>
                <w:color w:val="auto"/>
              </w:rPr>
            </w:pPr>
            <w:r>
              <w:rPr>
                <w:rFonts w:ascii="Arial" w:cs="Arial" w:eastAsia="Arial" w:hAnsi="Arial"/>
                <w:sz w:val="16"/>
                <w:szCs w:val="16"/>
                <w:color w:val="auto"/>
              </w:rPr>
              <w:t>3,282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1,141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1"/>
              <w:spacing w:after="0"/>
              <w:rPr>
                <w:sz w:val="20"/>
                <w:szCs w:val="20"/>
                <w:color w:val="auto"/>
              </w:rPr>
            </w:pPr>
            <w:r>
              <w:rPr>
                <w:rFonts w:ascii="Arial" w:cs="Arial" w:eastAsia="Arial" w:hAnsi="Arial"/>
                <w:sz w:val="16"/>
                <w:szCs w:val="16"/>
                <w:color w:val="auto"/>
              </w:rPr>
              <w:t>2,285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938</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Life</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37"/>
        </w:trPr>
        <w:tc>
          <w:tcPr>
            <w:tcW w:w="3300" w:type="dxa"/>
            <w:vAlign w:val="bottom"/>
            <w:gridSpan w:val="2"/>
          </w:tcPr>
          <w:p>
            <w:pPr>
              <w:ind w:left="40"/>
              <w:spacing w:after="0"/>
              <w:rPr>
                <w:sz w:val="20"/>
                <w:szCs w:val="20"/>
                <w:color w:val="auto"/>
              </w:rPr>
            </w:pPr>
            <w:r>
              <w:rPr>
                <w:rFonts w:ascii="Arial" w:cs="Arial" w:eastAsia="Arial" w:hAnsi="Arial"/>
                <w:sz w:val="16"/>
                <w:szCs w:val="16"/>
                <w:color w:val="auto"/>
              </w:rPr>
              <w:t>Run-off</w:t>
            </w:r>
          </w:p>
        </w:tc>
        <w:tc>
          <w:tcPr>
            <w:tcW w:w="120" w:type="dxa"/>
            <w:vAlign w:val="bottom"/>
          </w:tcPr>
          <w:p>
            <w:pPr>
              <w:spacing w:after="0"/>
              <w:rPr>
                <w:sz w:val="20"/>
                <w:szCs w:val="20"/>
                <w:color w:val="auto"/>
              </w:rPr>
            </w:pPr>
          </w:p>
        </w:tc>
        <w:tc>
          <w:tcPr>
            <w:tcW w:w="1700" w:type="dxa"/>
            <w:vAlign w:val="bottom"/>
          </w:tcPr>
          <w:p>
            <w:pPr>
              <w:jc w:val="right"/>
              <w:ind w:right="41"/>
              <w:spacing w:after="0"/>
              <w:rPr>
                <w:sz w:val="20"/>
                <w:szCs w:val="20"/>
                <w:color w:val="auto"/>
              </w:rPr>
            </w:pPr>
            <w:r>
              <w:rPr>
                <w:rFonts w:ascii="Arial" w:cs="Arial" w:eastAsia="Arial" w:hAnsi="Arial"/>
                <w:sz w:val="16"/>
                <w:szCs w:val="16"/>
                <w:color w:val="auto"/>
              </w:rPr>
              <w:t>793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1,461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1"/>
              <w:spacing w:after="0"/>
              <w:rPr>
                <w:sz w:val="20"/>
                <w:szCs w:val="20"/>
                <w:color w:val="auto"/>
              </w:rPr>
            </w:pPr>
            <w:r>
              <w:rPr>
                <w:rFonts w:ascii="Arial" w:cs="Arial" w:eastAsia="Arial" w:hAnsi="Arial"/>
                <w:sz w:val="16"/>
                <w:szCs w:val="16"/>
                <w:color w:val="auto"/>
              </w:rPr>
              <w:t>1,301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Corporate &amp; Other</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31"/>
        </w:trPr>
        <w:tc>
          <w:tcPr>
            <w:tcW w:w="3300" w:type="dxa"/>
            <w:vAlign w:val="bottom"/>
            <w:gridSpan w:val="2"/>
          </w:tcPr>
          <w:p>
            <w:pPr>
              <w:ind w:left="20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4,930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3,001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4,311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12700</wp:posOffset>
            </wp:positionV>
            <wp:extent cx="50596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59680" cy="889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-98425</wp:posOffset>
            </wp:positionV>
            <wp:extent cx="50596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059680" cy="8890"/>
                    </a:xfrm>
                    <a:prstGeom prst="rect">
                      <a:avLst/>
                    </a:prstGeom>
                    <a:noFill/>
                  </pic:spPr>
                </pic:pic>
              </a:graphicData>
            </a:graphic>
          </wp:anchor>
        </w:drawing>
      </w:r>
    </w:p>
    <w:p>
      <w:pPr>
        <w:spacing w:after="0" w:line="93" w:lineRule="exact"/>
        <w:rPr>
          <w:sz w:val="20"/>
          <w:szCs w:val="20"/>
          <w:color w:val="auto"/>
        </w:rPr>
      </w:pPr>
    </w:p>
    <w:p>
      <w:pPr>
        <w:ind w:left="500" w:hanging="492"/>
        <w:spacing w:after="0"/>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See Note 2 of the Notes to the Consolidated Financial Statements for the basis of allocation of net investment income.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174</w:t>
      </w:r>
    </w:p>
    <w:p>
      <w:pPr>
        <w:sectPr>
          <w:pgSz w:w="11900" w:h="16838" w:orient="portrait"/>
          <w:cols w:equalWidth="0" w:num="1">
            <w:col w:w="11340"/>
          </w:cols>
          <w:pgMar w:left="240" w:top="229" w:right="3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Life Insurance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Brighthouse Financial,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Reinsurance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2016 and 2015</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 Amount</w:t>
            </w:r>
          </w:p>
        </w:tc>
        <w:tc>
          <w:tcPr>
            <w:tcW w:w="30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Ceded</w:t>
            </w:r>
          </w:p>
        </w:tc>
        <w:tc>
          <w:tcPr>
            <w:tcW w:w="260" w:type="dxa"/>
            <w:vAlign w:val="bottom"/>
          </w:tcPr>
          <w:p>
            <w:pPr>
              <w:spacing w:after="0"/>
              <w:rPr>
                <w:sz w:val="14"/>
                <w:szCs w:val="1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Assumed</w:t>
            </w:r>
          </w:p>
        </w:tc>
        <w:tc>
          <w:tcPr>
            <w:tcW w:w="200" w:type="dxa"/>
            <w:vAlign w:val="bottom"/>
          </w:tcPr>
          <w:p>
            <w:pPr>
              <w:spacing w:after="0"/>
              <w:rPr>
                <w:sz w:val="14"/>
                <w:szCs w:val="14"/>
                <w:color w:val="auto"/>
              </w:rPr>
            </w:pPr>
          </w:p>
        </w:tc>
        <w:tc>
          <w:tcPr>
            <w:tcW w:w="114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Net Amount</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w w:val="96"/>
              </w:rPr>
              <w:t>% Amount Assumed</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445"/>
              <w:spacing w:after="0"/>
              <w:rPr>
                <w:sz w:val="20"/>
                <w:szCs w:val="20"/>
                <w:color w:val="auto"/>
              </w:rPr>
            </w:pPr>
            <w:r>
              <w:rPr>
                <w:rFonts w:ascii="Arial" w:cs="Arial" w:eastAsia="Arial" w:hAnsi="Arial"/>
                <w:sz w:val="14"/>
                <w:szCs w:val="14"/>
                <w:b w:val="1"/>
                <w:bCs w:val="1"/>
                <w:color w:val="auto"/>
              </w:rPr>
              <w:t>to Net</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Life insurance in-force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589,488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194,032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9,006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404,462</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 premium</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Life insurance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824</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Accident &amp; health insurance</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41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insurance premium</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1,731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916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828</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2016</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Life insurance in-force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610,206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450,000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7,006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167,212</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 premium</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Life insurance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1,850</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1,008</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Accident &amp; health insurance</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84"/>
        </w:trPr>
        <w:tc>
          <w:tcPr>
            <w:tcW w:w="41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insurance premium</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2,226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1,127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1,180</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2015</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Life insurance in-force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591,105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466,406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94,863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219,562</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 premium</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Life insurance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2,172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824</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1,432</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Accident &amp; health insurance</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r>
        <w:trPr>
          <w:trHeight w:val="244"/>
        </w:trPr>
        <w:tc>
          <w:tcPr>
            <w:tcW w:w="4120" w:type="dxa"/>
            <w:vAlign w:val="bottom"/>
          </w:tcPr>
          <w:p>
            <w:pPr>
              <w:ind w:left="200"/>
              <w:spacing w:after="0"/>
              <w:rPr>
                <w:sz w:val="20"/>
                <w:szCs w:val="20"/>
                <w:color w:val="auto"/>
              </w:rPr>
            </w:pPr>
            <w:r>
              <w:rPr>
                <w:rFonts w:ascii="Arial" w:cs="Arial" w:eastAsia="Arial" w:hAnsi="Arial"/>
                <w:sz w:val="16"/>
                <w:szCs w:val="16"/>
                <w:color w:val="auto"/>
              </w:rPr>
              <w:t>Total insurance premium</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2,404</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1,063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1,637</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4"/>
                <w:szCs w:val="14"/>
                <w:color w:val="auto"/>
              </w:rPr>
              <w:t>______________</w:t>
            </w: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20" w:hanging="412"/>
        <w:spacing w:after="0"/>
        <w:tabs>
          <w:tab w:leader="none" w:pos="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annuities with life contingencies.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For the year ended December 31, 2017, reinsurance ceded and assumed included related party transactions for life insurance in-force of $17.1 billion and $9.0 billion, respectively, and life insurance premiums of $537 million and $13 million, respectively. For the year ended December 31, 2016, reinsurance ceded and assumed included related party transactions for life insurance in-force of $266.3 billion and $7.0 billion, respectively, and life insurance premiums of $766 million and $35 million, respectively. For the year ended December 31, 2015, reinsurance ceded and assumed included related party transactions for life insurance in-force of $278.4 billion and $86.4 billion, respectively, and life insurance premiums of $687 million and $227 million, respectively.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22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with the participation of the Chief Executive Officer and Chief Financial Officer, has evaluated the effectiveness of the design and operation of the Company’s disclosure controls and procedures as defined in Rule 15d-15(e) under the Securities Exchange Act of 1934, as amended (“Exchange Act”), as of the end of the period covered by this report. Based on that evaluation, the Chief Executive Officer and Chief Financial Officer have concluded that these disclosure controls and procedures were effective as of December 31, 2017.</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Historically, the Company relied on certain financial, administrative and other resources of MetLife, Inc. to operate our business until the Separation on August 4, 2017. In connection with the Separation, the Company redesigned several business processes and continues to change business processes as a subsidiary of Brighthouse Financial, Inc. The Company identifies, documents and evaluates controls to ensure controls over our financial reporting are effective. MetLife, through services agreements, continues to provide certain services on a transitional basis. We consider these to be a material change in our internal control over financial reporting.</w:t>
      </w:r>
    </w:p>
    <w:p>
      <w:pPr>
        <w:spacing w:after="0" w:line="1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than as noted above, there were no changes to the Company’s internal control over financial reporting (as defined in Rule 15d-15(f) under the Exchange Act) during the quarter ended December 31, 2017 that have materially affected, or are reasonably likely to materially affect, the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Management of Brighthouse Life Insurance Company is responsible for establishing and maintaining adequate internal control over financial reporting. In fulfilling this responsibility, estimates and judgments by management are required to assess the expected benefits and related costs of control procedures. The objectives of internal control include providing management with reasonable, but not absolute, assurance that assets are safeguarded against loss from unauthorized use or disposition, and that transactions are executed in accordance with management’s authorization and recorded properly to permit the preparation of consolidated financial statements in conformity with GAAP.</w:t>
      </w:r>
    </w:p>
    <w:p>
      <w:pPr>
        <w:spacing w:after="0" w:line="13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has completed an assessment of the effectiveness of the Company’s internal control over financial reporting as of December 31, 2017. In making the assessment, management used the criteria set forth in “Internal Control — Integrated Framework” (“COSO 2013”) promulgated by the Committee of Sponsoring Organizations of the Treadway Commission (“COSO”).</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upon the assessment performed under that framework, management concluded that the Company’s internal control over financial reporting was effective as of December 31, 2017.</w:t>
      </w:r>
    </w:p>
    <w:p>
      <w:pPr>
        <w:spacing w:after="0" w:line="6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Deloitte &amp; Touche LLP, an independent registered public accounting firm, has audited the consolidated financial statements and consolidated financial statement schedules included in the Annual Report on Form 10-K for the year ended December 31, 2017. The Report of the Independent Registered Public Accounting Firm on their audit of the consolidated financial statements and consolidated financial statement schedules is included on page 78.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23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Omitted pursuant to General Instruction I(2)(c) of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Omitted pursuant to General Instruction I(2)(c) of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Omitted pursuant to General Instruction I(2)(c) of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Omitted pursuant to General Instruction I(2)(c) of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Deloitte &amp; Touche LLP (“Deloitte”), the independent auditor of Brighthouse Financial, Inc., has served as the independent auditor of the Company since 2000, and as auditor of current and former affiliates of the Company for more than 75 years. Its long-term knowledge of the Brighthouse group of companies, combined with its insurance industry expertise and global presence, has enabled it to carry out its audits of the Company’s financial statements with effectiveness and efficiency. Deloitte is a registered public accounting firm with the Public Company Accounting Oversight Board (United States) (“PCAOB”) as required by the Sarbanes-Oxley Act of 2002 (“Sarbanes-Oxley”) and the Rules of the PCAOB.</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Auditor’s Fees for 2017 and 2016</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table below presents fees for professional services rendered by Deloitte for the audit of the Company’s annual financial statements, audit-related services, tax services and all other services for the years ended December 31, 2017 and 2016. Prior to our separation from MetLife, Inc., our former parent paid all audit, audit-related, tax and other fees of Deloitte. As a result, the amounts reported below for fiscal year 2016 represent an allocation and are not directly comparable to the fees we paid for fiscal year 2017. All fees shown in the table for 2017 were related to services that were approved by the Audit Committee of Brighthouse Financial, Inc. (“Audit Committee”).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Audit fees (1)</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6.50</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Audit-related fees (2)</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0.40</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0.07</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fees (3)</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All other fees (4)</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197"/>
        </w:trPr>
        <w:tc>
          <w:tcPr>
            <w:tcW w:w="8340" w:type="dxa"/>
            <w:vAlign w:val="bottom"/>
          </w:tcPr>
          <w:p>
            <w:pPr>
              <w:spacing w:after="0"/>
              <w:rPr>
                <w:sz w:val="20"/>
                <w:szCs w:val="20"/>
                <w:color w:val="auto"/>
              </w:rPr>
            </w:pPr>
            <w:r>
              <w:rPr>
                <w:rFonts w:ascii="Arial" w:cs="Arial" w:eastAsia="Arial" w:hAnsi="Arial"/>
                <w:sz w:val="14"/>
                <w:szCs w:val="14"/>
                <w:color w:val="auto"/>
              </w:rPr>
              <w:t>____________</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r>
    </w:tbl>
    <w:p>
      <w:pPr>
        <w:spacing w:after="0" w:line="92" w:lineRule="exact"/>
        <w:rPr>
          <w:sz w:val="20"/>
          <w:szCs w:val="20"/>
          <w:color w:val="auto"/>
        </w:rPr>
      </w:pPr>
    </w:p>
    <w:p>
      <w:pPr>
        <w:jc w:val="both"/>
        <w:ind w:left="500" w:hanging="492"/>
        <w:spacing w:after="0" w:line="264"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Fees for services to perform an audit or review in accordance with auditing standards of the PCAOB and services that generally only the Company’s independent auditor can reasonably provide, such as comfort letters, statutory audits, attest services, consents and assistance with and review of documents filed with the SEC.</w:t>
      </w:r>
    </w:p>
    <w:p>
      <w:pPr>
        <w:spacing w:after="0" w:line="73"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Fees for assurance and related services that are traditionally performed by the Company’s independent auditor, such as audit and related services for due diligence related to mergers, acquisitions and divestitures, accounting consultations and audits in connection with proposed or consummated acquisitions and divestitures, control reviews, attest services not required by statute or regulation, and consultation concerning financial accounting and reporting standards.</w:t>
      </w:r>
    </w:p>
    <w:p>
      <w:pPr>
        <w:spacing w:after="0" w:line="78"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Fees for tax compliance, consultation and planning services. Tax compliance generally involves preparation of original and amended tax returns, claims for refunds and tax payment planning services. Tax consultation and tax planning encompass a diverse range of advisory services, including assistance in connection with tax audits and filing appeals, tax advice related to mergers, acquisitions and divestitures, and requests for rulings or technical advice from taxing authorities.</w:t>
      </w:r>
    </w:p>
    <w:p>
      <w:pPr>
        <w:spacing w:after="0" w:line="78" w:lineRule="exact"/>
        <w:rPr>
          <w:rFonts w:ascii="Arial" w:cs="Arial" w:eastAsia="Arial" w:hAnsi="Arial"/>
          <w:sz w:val="18"/>
          <w:szCs w:val="18"/>
          <w:color w:val="auto"/>
        </w:rPr>
      </w:pPr>
    </w:p>
    <w:p>
      <w:pPr>
        <w:ind w:left="500" w:hanging="492"/>
        <w:spacing w:after="0"/>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Fees for other types of permitted services, including risk and other consulting services, financial advisory services and valuation services.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229"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Fees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Audit Committee approves Deloitte’s audit and non-audit services to Brighthouse and its subsidiaries, including the Company, in advance as required under Sarbanes-Oxley and SEC rules. Before the commencement of each fiscal year, the Audit Committee appoints the independent auditor to perform audit services that Brighthouse expects to be performed for the fiscal year and appoints the auditor to perform audit-related, tax and other permitted non-audit services. The Audit Committee or a designated member of the Audit Committee to whom authority has been delegated may, from time to time, pre-approve additional audit and non-audit services to be performed by Brighthouse’s independent auditor. Any pre-approval of services between Audit Committee meetings must be reported to the full Audit Committee at its next scheduled meeting.</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Audit Committee is responsible for approving fees for the audit and for any audit-related, tax or other permitted non-audit services. If the audit, audit-related, tax and other permitted non-audit fees for a particular period or service exceed the amounts previously approved, the Audit Committee determines whether or not to approve the additional fees.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Audit Committee ensures the regular rotation of the audit engagement team partners as required by law.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229"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5" w:lineRule="exact"/>
        <w:rPr>
          <w:sz w:val="20"/>
          <w:szCs w:val="20"/>
          <w:color w:val="auto"/>
        </w:rPr>
      </w:pPr>
    </w:p>
    <w:p>
      <w:pPr>
        <w:ind w:left="340" w:hanging="251"/>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71" w:lineRule="exact"/>
        <w:rPr>
          <w:rFonts w:ascii="Arial" w:cs="Arial" w:eastAsia="Arial" w:hAnsi="Arial"/>
          <w:sz w:val="18"/>
          <w:szCs w:val="18"/>
          <w:color w:val="auto"/>
        </w:rPr>
      </w:pPr>
    </w:p>
    <w:p>
      <w:pPr>
        <w:ind w:left="500" w:hanging="168"/>
        <w:spacing w:after="0"/>
        <w:tabs>
          <w:tab w:leader="none" w:pos="5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Financial Statements: See “Index to Consolidated Financial Statements, Notes and Schedules.”</w:t>
      </w:r>
    </w:p>
    <w:p>
      <w:pPr>
        <w:spacing w:after="0" w:line="171" w:lineRule="exact"/>
        <w:rPr>
          <w:rFonts w:ascii="Arial" w:cs="Arial" w:eastAsia="Arial" w:hAnsi="Arial"/>
          <w:sz w:val="18"/>
          <w:szCs w:val="18"/>
          <w:color w:val="auto"/>
        </w:rPr>
      </w:pPr>
    </w:p>
    <w:p>
      <w:pPr>
        <w:ind w:left="500" w:hanging="168"/>
        <w:spacing w:after="0"/>
        <w:tabs>
          <w:tab w:leader="none" w:pos="5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Financial Statement Schedules: See “Index to Consolidated Financial Statements, Notes and Schedules.”</w:t>
      </w:r>
    </w:p>
    <w:p>
      <w:pPr>
        <w:spacing w:after="0" w:line="171" w:lineRule="exact"/>
        <w:rPr>
          <w:rFonts w:ascii="Arial" w:cs="Arial" w:eastAsia="Arial" w:hAnsi="Arial"/>
          <w:sz w:val="18"/>
          <w:szCs w:val="18"/>
          <w:color w:val="auto"/>
        </w:rPr>
      </w:pPr>
    </w:p>
    <w:p>
      <w:pPr>
        <w:ind w:left="500" w:hanging="168"/>
        <w:spacing w:after="0" w:line="277" w:lineRule="auto"/>
        <w:tabs>
          <w:tab w:leader="none" w:pos="5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Exhibits: The exhibits are listed in the “Exhibit Index” below. Entries marked by the symbol # next to the exhibit’s number identify management contracts or compensation plans or arrangements.</w:t>
      </w:r>
    </w:p>
    <w:p>
      <w:pPr>
        <w:spacing w:after="0" w:line="36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0920"/>
          </w:cols>
          <w:pgMar w:left="240" w:top="229" w:right="7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color w:val="auto"/>
        </w:rPr>
        <w:t>Exhibit Index</w:t>
      </w:r>
    </w:p>
    <w:p>
      <w:pPr>
        <w:spacing w:after="0" w:line="171"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5"/>
          <w:szCs w:val="15"/>
          <w:b w:val="1"/>
          <w:bCs w:val="1"/>
          <w:i w:val="1"/>
          <w:iCs w:val="1"/>
          <w:color w:val="auto"/>
        </w:rPr>
        <w:t>(Note Regarding Reliance on Statements in Our Contracts</w:t>
      </w:r>
      <w:r>
        <w:rPr>
          <w:rFonts w:ascii="Arial" w:cs="Arial" w:eastAsia="Arial" w:hAnsi="Arial"/>
          <w:sz w:val="15"/>
          <w:szCs w:val="15"/>
          <w:i w:val="1"/>
          <w:iCs w:val="1"/>
          <w:color w:val="auto"/>
        </w:rPr>
        <w:t>: In reviewing the agreements included as exhibits to this Annual Report on Form 10-K, please remember that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they are included to provide you with information regarding their terms and are not intended to provide any other factual or disclosure information about Brighthouse Life Insurance Company ,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Life Insurance Company, its subsidiaries and affiliates may be found elsewhere in this Annual Report on Form 10-K and Brighthouse Life Insurance Company’s other public filings, which are available without charge through the SEC’s website at www.sec.gov.)</w:t>
      </w:r>
    </w:p>
    <w:p>
      <w:pPr>
        <w:spacing w:after="0" w:line="366"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180</w:t>
      </w:r>
    </w:p>
    <w:p>
      <w:pPr>
        <w:sectPr>
          <w:pgSz w:w="11900" w:h="16838" w:orient="portrait"/>
          <w:cols w:equalWidth="0" w:num="1">
            <w:col w:w="11420"/>
          </w:cols>
          <w:pgMar w:left="240" w:top="229"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Exhibit No.</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20" w:type="dxa"/>
            <w:vAlign w:val="bottom"/>
            <w:gridSpan w:val="16"/>
          </w:tcPr>
          <w:p>
            <w:pPr>
              <w:ind w:left="14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304"/>
        </w:trPr>
        <w:tc>
          <w:tcPr>
            <w:tcW w:w="116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3"/>
          </w:tcPr>
          <w:p>
            <w:pPr>
              <w:spacing w:after="0"/>
              <w:rPr>
                <w:rFonts w:ascii="Arial" w:cs="Arial" w:eastAsia="Arial" w:hAnsi="Arial"/>
                <w:sz w:val="16"/>
                <w:szCs w:val="16"/>
                <w:color w:val="0000FF"/>
                <w:w w:val="95"/>
              </w:rPr>
            </w:pPr>
            <w:hyperlink r:id="rId153">
              <w:r>
                <w:rPr>
                  <w:rFonts w:ascii="Arial" w:cs="Arial" w:eastAsia="Arial" w:hAnsi="Arial"/>
                  <w:sz w:val="16"/>
                  <w:szCs w:val="16"/>
                  <w:color w:val="0000FF"/>
                  <w:w w:val="95"/>
                </w:rPr>
                <w:t>Agreement and Plan of Merger between MetLife Investors USA Insurance Company and MetLife Insurance Company USA, dated as of November 14,</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20" w:type="dxa"/>
            <w:vAlign w:val="bottom"/>
            <w:gridSpan w:val="23"/>
          </w:tcPr>
          <w:p>
            <w:pPr>
              <w:spacing w:after="0" w:line="183" w:lineRule="exact"/>
              <w:rPr>
                <w:rFonts w:ascii="Arial" w:cs="Arial" w:eastAsia="Arial" w:hAnsi="Arial"/>
                <w:sz w:val="16"/>
                <w:szCs w:val="16"/>
                <w:color w:val="0000FF"/>
                <w:w w:val="94"/>
              </w:rPr>
            </w:pPr>
            <w:hyperlink r:id="rId153">
              <w:r>
                <w:rPr>
                  <w:rFonts w:ascii="Arial" w:cs="Arial" w:eastAsia="Arial" w:hAnsi="Arial"/>
                  <w:sz w:val="16"/>
                  <w:szCs w:val="16"/>
                  <w:color w:val="0000FF"/>
                  <w:w w:val="94"/>
                </w:rPr>
                <w:t>2014 (Incorporated by reference to Exhibit 2.1 to the MetLife Insurance Company USA’s Annual Report on Form 10-K for the year ended December 31,</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80" w:type="dxa"/>
            <w:vAlign w:val="bottom"/>
            <w:tcBorders>
              <w:top w:val="single" w:sz="8" w:color="0000FF"/>
            </w:tcBorders>
            <w:gridSpan w:val="22"/>
          </w:tcPr>
          <w:p>
            <w:pPr>
              <w:spacing w:after="0" w:line="183" w:lineRule="exact"/>
              <w:rPr>
                <w:rFonts w:ascii="Arial" w:cs="Arial" w:eastAsia="Arial" w:hAnsi="Arial"/>
                <w:sz w:val="16"/>
                <w:szCs w:val="16"/>
                <w:color w:val="0000FF"/>
              </w:rPr>
            </w:pPr>
            <w:hyperlink r:id="rId153">
              <w:r>
                <w:rPr>
                  <w:rFonts w:ascii="Arial" w:cs="Arial" w:eastAsia="Arial" w:hAnsi="Arial"/>
                  <w:sz w:val="16"/>
                  <w:szCs w:val="16"/>
                  <w:color w:val="0000FF"/>
                </w:rPr>
                <w:t>2014 (the “2014 Annual Report”)).</w:t>
              </w:r>
            </w:hyperlink>
          </w:p>
        </w:tc>
        <w:tc>
          <w:tcPr>
            <w:tcW w:w="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160" w:type="dxa"/>
            <w:vAlign w:val="bottom"/>
          </w:tcPr>
          <w:p>
            <w:pPr>
              <w:jc w:val="center"/>
              <w:spacing w:after="0"/>
              <w:rPr>
                <w:sz w:val="20"/>
                <w:szCs w:val="20"/>
                <w:color w:val="auto"/>
              </w:rPr>
            </w:pPr>
            <w:r>
              <w:rPr>
                <w:rFonts w:ascii="Arial" w:cs="Arial" w:eastAsia="Arial" w:hAnsi="Arial"/>
                <w:sz w:val="16"/>
                <w:szCs w:val="16"/>
                <w:color w:val="auto"/>
                <w:w w:val="89"/>
              </w:rPr>
              <w:t>2.2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3"/>
          </w:tcPr>
          <w:p>
            <w:pPr>
              <w:spacing w:after="0"/>
              <w:rPr>
                <w:rFonts w:ascii="Arial" w:cs="Arial" w:eastAsia="Arial" w:hAnsi="Arial"/>
                <w:sz w:val="16"/>
                <w:szCs w:val="16"/>
                <w:color w:val="0000FF"/>
                <w:w w:val="94"/>
              </w:rPr>
            </w:pPr>
            <w:hyperlink r:id="rId154">
              <w:r>
                <w:rPr>
                  <w:rFonts w:ascii="Arial" w:cs="Arial" w:eastAsia="Arial" w:hAnsi="Arial"/>
                  <w:sz w:val="16"/>
                  <w:szCs w:val="16"/>
                  <w:color w:val="0000FF"/>
                  <w:w w:val="94"/>
                </w:rPr>
                <w:t>Agreement and Plan of Merger between MetLife Investors Insurance Company and MetLife Insurance Company USA, dated as of November 14, 2014</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80" w:type="dxa"/>
            <w:vAlign w:val="bottom"/>
            <w:tcBorders>
              <w:top w:val="single" w:sz="8" w:color="0000FF"/>
            </w:tcBorders>
            <w:gridSpan w:val="21"/>
          </w:tcPr>
          <w:p>
            <w:pPr>
              <w:spacing w:after="0" w:line="183" w:lineRule="exact"/>
              <w:rPr>
                <w:rFonts w:ascii="Arial" w:cs="Arial" w:eastAsia="Arial" w:hAnsi="Arial"/>
                <w:sz w:val="16"/>
                <w:szCs w:val="16"/>
                <w:color w:val="0000FF"/>
              </w:rPr>
            </w:pPr>
            <w:hyperlink r:id="rId154">
              <w:r>
                <w:rPr>
                  <w:rFonts w:ascii="Arial" w:cs="Arial" w:eastAsia="Arial" w:hAnsi="Arial"/>
                  <w:sz w:val="16"/>
                  <w:szCs w:val="16"/>
                  <w:color w:val="0000FF"/>
                </w:rPr>
                <w:t>(Incorporated by reference to Exhibit 2.2 to the 2014 Annual Report).</w:t>
              </w:r>
            </w:hyperlink>
          </w:p>
        </w:tc>
        <w:tc>
          <w:tcPr>
            <w:tcW w:w="40" w:type="dxa"/>
            <w:vAlign w:val="bottom"/>
            <w:gridSpan w:val="2"/>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160" w:type="dxa"/>
            <w:vAlign w:val="bottom"/>
          </w:tcPr>
          <w:p>
            <w:pPr>
              <w:jc w:val="center"/>
              <w:spacing w:after="0"/>
              <w:rPr>
                <w:sz w:val="20"/>
                <w:szCs w:val="20"/>
                <w:color w:val="auto"/>
              </w:rPr>
            </w:pPr>
            <w:r>
              <w:rPr>
                <w:rFonts w:ascii="Arial" w:cs="Arial" w:eastAsia="Arial" w:hAnsi="Arial"/>
                <w:sz w:val="16"/>
                <w:szCs w:val="16"/>
                <w:color w:val="auto"/>
                <w:w w:val="89"/>
              </w:rPr>
              <w:t>2.3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3"/>
          </w:tcPr>
          <w:p>
            <w:pPr>
              <w:spacing w:after="0"/>
              <w:rPr>
                <w:rFonts w:ascii="Arial" w:cs="Arial" w:eastAsia="Arial" w:hAnsi="Arial"/>
                <w:sz w:val="16"/>
                <w:szCs w:val="16"/>
                <w:color w:val="0000FF"/>
                <w:w w:val="96"/>
              </w:rPr>
            </w:pPr>
            <w:hyperlink r:id="rId155">
              <w:r>
                <w:rPr>
                  <w:rFonts w:ascii="Arial" w:cs="Arial" w:eastAsia="Arial" w:hAnsi="Arial"/>
                  <w:sz w:val="16"/>
                  <w:szCs w:val="16"/>
                  <w:color w:val="0000FF"/>
                  <w:w w:val="96"/>
                </w:rPr>
                <w:t>Agreement and Plan of Merger between Exeter Reassurance Company, Ltd and MetLife Insurance Company USA, dated as of November 14, 2014</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80" w:type="dxa"/>
            <w:vAlign w:val="bottom"/>
            <w:tcBorders>
              <w:top w:val="single" w:sz="8" w:color="0000FF"/>
            </w:tcBorders>
            <w:gridSpan w:val="21"/>
          </w:tcPr>
          <w:p>
            <w:pPr>
              <w:spacing w:after="0" w:line="183" w:lineRule="exact"/>
              <w:rPr>
                <w:rFonts w:ascii="Arial" w:cs="Arial" w:eastAsia="Arial" w:hAnsi="Arial"/>
                <w:sz w:val="16"/>
                <w:szCs w:val="16"/>
                <w:color w:val="0000FF"/>
              </w:rPr>
            </w:pPr>
            <w:hyperlink r:id="rId155">
              <w:r>
                <w:rPr>
                  <w:rFonts w:ascii="Arial" w:cs="Arial" w:eastAsia="Arial" w:hAnsi="Arial"/>
                  <w:sz w:val="16"/>
                  <w:szCs w:val="16"/>
                  <w:color w:val="0000FF"/>
                </w:rPr>
                <w:t>(Incorporated by reference to Exhibit 2.3 to the 2014 Annual Report).</w:t>
              </w:r>
            </w:hyperlink>
          </w:p>
        </w:tc>
        <w:tc>
          <w:tcPr>
            <w:tcW w:w="40" w:type="dxa"/>
            <w:vAlign w:val="bottom"/>
            <w:gridSpan w:val="2"/>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16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tcBorders>
              <w:bottom w:val="single" w:sz="8" w:color="0000FF"/>
            </w:tcBorders>
            <w:gridSpan w:val="19"/>
          </w:tcPr>
          <w:p>
            <w:pPr>
              <w:spacing w:after="0"/>
              <w:rPr>
                <w:rFonts w:ascii="Arial" w:cs="Arial" w:eastAsia="Arial" w:hAnsi="Arial"/>
                <w:sz w:val="16"/>
                <w:szCs w:val="16"/>
                <w:color w:val="0000FF"/>
                <w:w w:val="93"/>
              </w:rPr>
            </w:pPr>
            <w:hyperlink r:id="rId156">
              <w:r>
                <w:rPr>
                  <w:rFonts w:ascii="Arial" w:cs="Arial" w:eastAsia="Arial" w:hAnsi="Arial"/>
                  <w:sz w:val="16"/>
                  <w:szCs w:val="16"/>
                  <w:color w:val="0000FF"/>
                  <w:w w:val="93"/>
                </w:rPr>
                <w:t>Certificate of Incorporation of MetLife Insurance Company of Connecticut (now Brighthouse Life Insurance Company), as effective November 14, 2014</w:t>
              </w:r>
            </w:hyperlink>
          </w:p>
        </w:tc>
        <w:tc>
          <w:tcPr>
            <w:tcW w:w="180" w:type="dxa"/>
            <w:vAlign w:val="bottom"/>
            <w:gridSpan w:val="4"/>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20" w:type="dxa"/>
            <w:vAlign w:val="bottom"/>
            <w:gridSpan w:val="23"/>
          </w:tcPr>
          <w:p>
            <w:pPr>
              <w:spacing w:after="0" w:line="183" w:lineRule="exact"/>
              <w:rPr>
                <w:rFonts w:ascii="Arial" w:cs="Arial" w:eastAsia="Arial" w:hAnsi="Arial"/>
                <w:sz w:val="16"/>
                <w:szCs w:val="16"/>
                <w:color w:val="0000FF"/>
              </w:rPr>
            </w:pPr>
            <w:hyperlink r:id="rId156">
              <w:r>
                <w:rPr>
                  <w:rFonts w:ascii="Arial" w:cs="Arial" w:eastAsia="Arial" w:hAnsi="Arial"/>
                  <w:sz w:val="16"/>
                  <w:szCs w:val="16"/>
                  <w:color w:val="0000FF"/>
                </w:rPr>
                <w:t>(Incorporated by reference to Exhibit 3.1 to the 2014 Annual Report).</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16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20" w:type="dxa"/>
            <w:vAlign w:val="bottom"/>
            <w:tcBorders>
              <w:bottom w:val="single" w:sz="8" w:color="0000FF"/>
            </w:tcBorders>
            <w:gridSpan w:val="18"/>
          </w:tcPr>
          <w:p>
            <w:pPr>
              <w:spacing w:after="0"/>
              <w:rPr>
                <w:rFonts w:ascii="Arial" w:cs="Arial" w:eastAsia="Arial" w:hAnsi="Arial"/>
                <w:sz w:val="16"/>
                <w:szCs w:val="16"/>
                <w:color w:val="0000FF"/>
                <w:w w:val="93"/>
              </w:rPr>
            </w:pPr>
            <w:hyperlink r:id="rId157">
              <w:r>
                <w:rPr>
                  <w:rFonts w:ascii="Arial" w:cs="Arial" w:eastAsia="Arial" w:hAnsi="Arial"/>
                  <w:sz w:val="16"/>
                  <w:szCs w:val="16"/>
                  <w:color w:val="0000FF"/>
                  <w:w w:val="93"/>
                </w:rPr>
                <w:t>Certificate of Amendment of Certificate of Incorporation of MetLife Insurance Company of Connecticut (now Brighthouse Life Insurance Company), as</w:t>
              </w:r>
            </w:hyperlink>
          </w:p>
        </w:tc>
        <w:tc>
          <w:tcPr>
            <w:tcW w:w="200" w:type="dxa"/>
            <w:vAlign w:val="bottom"/>
            <w:gridSpan w:val="5"/>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20" w:type="dxa"/>
            <w:vAlign w:val="bottom"/>
            <w:gridSpan w:val="23"/>
          </w:tcPr>
          <w:p>
            <w:pPr>
              <w:spacing w:after="0" w:line="183" w:lineRule="exact"/>
              <w:rPr>
                <w:rFonts w:ascii="Arial" w:cs="Arial" w:eastAsia="Arial" w:hAnsi="Arial"/>
                <w:sz w:val="16"/>
                <w:szCs w:val="16"/>
                <w:color w:val="0000FF"/>
              </w:rPr>
            </w:pPr>
            <w:hyperlink r:id="rId157">
              <w:r>
                <w:rPr>
                  <w:rFonts w:ascii="Arial" w:cs="Arial" w:eastAsia="Arial" w:hAnsi="Arial"/>
                  <w:sz w:val="16"/>
                  <w:szCs w:val="16"/>
                  <w:color w:val="0000FF"/>
                </w:rPr>
                <w:t>effective November 14, 2014 (Incorporated by reference to Exhibit 3.2 to the 2014 Annual Report).</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160" w:type="dxa"/>
            <w:vAlign w:val="bottom"/>
          </w:tcPr>
          <w:p>
            <w:pPr>
              <w:jc w:val="center"/>
              <w:spacing w:after="0"/>
              <w:rPr>
                <w:sz w:val="20"/>
                <w:szCs w:val="20"/>
                <w:color w:val="auto"/>
              </w:rPr>
            </w:pPr>
            <w:r>
              <w:rPr>
                <w:rFonts w:ascii="Arial" w:cs="Arial" w:eastAsia="Arial" w:hAnsi="Arial"/>
                <w:sz w:val="16"/>
                <w:szCs w:val="16"/>
                <w:color w:val="auto"/>
                <w:w w:val="89"/>
              </w:rPr>
              <w:t>3.3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80" w:type="dxa"/>
            <w:vAlign w:val="bottom"/>
            <w:tcBorders>
              <w:bottom w:val="single" w:sz="8" w:color="0000FF"/>
            </w:tcBorders>
            <w:gridSpan w:val="16"/>
          </w:tcPr>
          <w:p>
            <w:pPr>
              <w:spacing w:after="0"/>
              <w:rPr>
                <w:rFonts w:ascii="Arial" w:cs="Arial" w:eastAsia="Arial" w:hAnsi="Arial"/>
                <w:sz w:val="16"/>
                <w:szCs w:val="16"/>
                <w:color w:val="0000FF"/>
                <w:w w:val="93"/>
              </w:rPr>
            </w:pPr>
            <w:hyperlink r:id="rId158">
              <w:r>
                <w:rPr>
                  <w:rFonts w:ascii="Arial" w:cs="Arial" w:eastAsia="Arial" w:hAnsi="Arial"/>
                  <w:sz w:val="16"/>
                  <w:szCs w:val="16"/>
                  <w:color w:val="0000FF"/>
                  <w:w w:val="93"/>
                </w:rPr>
                <w:t>Certificate of Amendment of Certificate of Incorporation of MetLife Insurance Company USA (now Brighthouse Life Insurance Company), as effective</w:t>
              </w:r>
            </w:hyperlink>
          </w:p>
        </w:tc>
        <w:tc>
          <w:tcPr>
            <w:tcW w:w="240" w:type="dxa"/>
            <w:vAlign w:val="bottom"/>
            <w:gridSpan w:val="7"/>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60" w:type="dxa"/>
            <w:vAlign w:val="bottom"/>
            <w:tcBorders>
              <w:bottom w:val="single" w:sz="8" w:color="0000FF"/>
            </w:tcBorders>
            <w:gridSpan w:val="15"/>
          </w:tcPr>
          <w:p>
            <w:pPr>
              <w:spacing w:after="0" w:line="183" w:lineRule="exact"/>
              <w:rPr>
                <w:rFonts w:ascii="Arial" w:cs="Arial" w:eastAsia="Arial" w:hAnsi="Arial"/>
                <w:sz w:val="16"/>
                <w:szCs w:val="16"/>
                <w:color w:val="0000FF"/>
                <w:w w:val="92"/>
              </w:rPr>
            </w:pPr>
            <w:hyperlink r:id="rId158">
              <w:r>
                <w:rPr>
                  <w:rFonts w:ascii="Arial" w:cs="Arial" w:eastAsia="Arial" w:hAnsi="Arial"/>
                  <w:sz w:val="16"/>
                  <w:szCs w:val="16"/>
                  <w:color w:val="0000FF"/>
                  <w:w w:val="92"/>
                </w:rPr>
                <w:t>March 6, 2017. (Incorporated by reference to Exhibit 3.3 to the Brighthouse Life Insurance Company’s Annual Report on Form 10-K for the year ended</w:t>
              </w:r>
            </w:hyperlink>
          </w:p>
        </w:tc>
        <w:tc>
          <w:tcPr>
            <w:tcW w:w="260" w:type="dxa"/>
            <w:vAlign w:val="bottom"/>
            <w:gridSpan w:val="8"/>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20" w:type="dxa"/>
            <w:vAlign w:val="bottom"/>
            <w:tcBorders>
              <w:bottom w:val="single" w:sz="8" w:color="0000FF"/>
            </w:tcBorders>
            <w:gridSpan w:val="6"/>
          </w:tcPr>
          <w:p>
            <w:pPr>
              <w:spacing w:after="0" w:line="183" w:lineRule="exact"/>
              <w:rPr>
                <w:rFonts w:ascii="Arial" w:cs="Arial" w:eastAsia="Arial" w:hAnsi="Arial"/>
                <w:sz w:val="16"/>
                <w:szCs w:val="16"/>
                <w:color w:val="0000FF"/>
                <w:w w:val="92"/>
              </w:rPr>
            </w:pPr>
            <w:hyperlink r:id="rId158">
              <w:r>
                <w:rPr>
                  <w:rFonts w:ascii="Arial" w:cs="Arial" w:eastAsia="Arial" w:hAnsi="Arial"/>
                  <w:sz w:val="16"/>
                  <w:szCs w:val="16"/>
                  <w:color w:val="0000FF"/>
                  <w:w w:val="92"/>
                </w:rPr>
                <w:t>December 31, 2016 (the “2016 Annual Report”)).</w:t>
              </w:r>
            </w:hyperlink>
          </w:p>
        </w:tc>
        <w:tc>
          <w:tcPr>
            <w:tcW w:w="6900" w:type="dxa"/>
            <w:vAlign w:val="bottom"/>
            <w:gridSpan w:val="17"/>
          </w:tcPr>
          <w:p>
            <w:pPr>
              <w:spacing w:after="0"/>
              <w:rPr>
                <w:sz w:val="15"/>
                <w:szCs w:val="15"/>
                <w:color w:val="auto"/>
              </w:rPr>
            </w:pPr>
          </w:p>
        </w:tc>
      </w:tr>
      <w:tr>
        <w:trPr>
          <w:trHeight w:val="237"/>
        </w:trPr>
        <w:tc>
          <w:tcPr>
            <w:tcW w:w="1160" w:type="dxa"/>
            <w:vAlign w:val="bottom"/>
          </w:tcPr>
          <w:p>
            <w:pPr>
              <w:jc w:val="center"/>
              <w:spacing w:after="0"/>
              <w:rPr>
                <w:sz w:val="20"/>
                <w:szCs w:val="20"/>
                <w:color w:val="auto"/>
              </w:rPr>
            </w:pPr>
            <w:r>
              <w:rPr>
                <w:rFonts w:ascii="Arial" w:cs="Arial" w:eastAsia="Arial" w:hAnsi="Arial"/>
                <w:sz w:val="16"/>
                <w:szCs w:val="16"/>
                <w:color w:val="auto"/>
                <w:w w:val="89"/>
              </w:rPr>
              <w:t>3.4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580" w:type="dxa"/>
            <w:vAlign w:val="bottom"/>
            <w:tcBorders>
              <w:bottom w:val="single" w:sz="8" w:color="0000FF"/>
            </w:tcBorders>
            <w:gridSpan w:val="12"/>
          </w:tcPr>
          <w:p>
            <w:pPr>
              <w:spacing w:after="0"/>
              <w:rPr>
                <w:rFonts w:ascii="Arial" w:cs="Arial" w:eastAsia="Arial" w:hAnsi="Arial"/>
                <w:sz w:val="16"/>
                <w:szCs w:val="16"/>
                <w:color w:val="0000FF"/>
                <w:w w:val="91"/>
              </w:rPr>
            </w:pPr>
            <w:hyperlink r:id="rId159">
              <w:r>
                <w:rPr>
                  <w:rFonts w:ascii="Arial" w:cs="Arial" w:eastAsia="Arial" w:hAnsi="Arial"/>
                  <w:sz w:val="16"/>
                  <w:szCs w:val="16"/>
                  <w:color w:val="0000FF"/>
                  <w:w w:val="91"/>
                </w:rPr>
                <w:t>Amended and Restated By-laws of Brighthouse Life Insurance Company, as effective March 6, 2017.</w:t>
              </w:r>
            </w:hyperlink>
          </w:p>
        </w:tc>
        <w:tc>
          <w:tcPr>
            <w:tcW w:w="3540" w:type="dxa"/>
            <w:vAlign w:val="bottom"/>
            <w:gridSpan w:val="11"/>
          </w:tcPr>
          <w:p>
            <w:pPr>
              <w:spacing w:after="0"/>
              <w:rPr>
                <w:sz w:val="20"/>
                <w:szCs w:val="20"/>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3"/>
          </w:tcPr>
          <w:p>
            <w:pPr>
              <w:spacing w:after="0"/>
              <w:rPr>
                <w:rFonts w:ascii="Arial" w:cs="Arial" w:eastAsia="Arial" w:hAnsi="Arial"/>
                <w:sz w:val="16"/>
                <w:szCs w:val="16"/>
                <w:color w:val="0000FF"/>
                <w:w w:val="96"/>
              </w:rPr>
            </w:pPr>
            <w:hyperlink r:id="rId160">
              <w:r>
                <w:rPr>
                  <w:rFonts w:ascii="Arial" w:cs="Arial" w:eastAsia="Arial" w:hAnsi="Arial"/>
                  <w:sz w:val="16"/>
                  <w:szCs w:val="16"/>
                  <w:color w:val="0000FF"/>
                  <w:w w:val="96"/>
                </w:rPr>
                <w:t>Service Agreement and Indemnity Combination Coinsurance and Modified Coinsurance Agreement of Certain Life Insurance Policies (effective as of</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40" w:type="dxa"/>
            <w:vAlign w:val="bottom"/>
            <w:tcBorders>
              <w:top w:val="single" w:sz="8" w:color="0000FF"/>
              <w:bottom w:val="single" w:sz="8" w:color="0000FF"/>
            </w:tcBorders>
            <w:gridSpan w:val="13"/>
          </w:tcPr>
          <w:p>
            <w:pPr>
              <w:spacing w:after="0" w:line="183" w:lineRule="exact"/>
              <w:rPr>
                <w:rFonts w:ascii="Arial" w:cs="Arial" w:eastAsia="Arial" w:hAnsi="Arial"/>
                <w:sz w:val="16"/>
                <w:szCs w:val="16"/>
                <w:color w:val="0000FF"/>
                <w:w w:val="92"/>
              </w:rPr>
            </w:pPr>
            <w:hyperlink r:id="rId160">
              <w:r>
                <w:rPr>
                  <w:rFonts w:ascii="Arial" w:cs="Arial" w:eastAsia="Arial" w:hAnsi="Arial"/>
                  <w:sz w:val="16"/>
                  <w:szCs w:val="16"/>
                  <w:color w:val="0000FF"/>
                  <w:w w:val="92"/>
                </w:rPr>
                <w:t>January 1, 2014), between MetLife Insurance Company of Connecticut and Metropolitan Life Insurance Company (Treaty #20132) (Incorporated by</w:t>
              </w:r>
            </w:hyperlink>
          </w:p>
        </w:tc>
        <w:tc>
          <w:tcPr>
            <w:tcW w:w="80" w:type="dxa"/>
            <w:vAlign w:val="bottom"/>
            <w:tcBorders>
              <w:top w:val="single" w:sz="8" w:color="0000FF"/>
            </w:tcBorders>
          </w:tcPr>
          <w:p>
            <w:pPr>
              <w:spacing w:after="0"/>
              <w:rPr>
                <w:sz w:val="15"/>
                <w:szCs w:val="15"/>
                <w:color w:val="auto"/>
              </w:rPr>
            </w:pPr>
          </w:p>
        </w:tc>
        <w:tc>
          <w:tcPr>
            <w:tcW w:w="400" w:type="dxa"/>
            <w:vAlign w:val="bottom"/>
            <w:gridSpan w:val="9"/>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40" w:type="dxa"/>
            <w:vAlign w:val="bottom"/>
            <w:tcBorders>
              <w:bottom w:val="single" w:sz="8" w:color="0000FF"/>
            </w:tcBorders>
            <w:gridSpan w:val="19"/>
          </w:tcPr>
          <w:p>
            <w:pPr>
              <w:spacing w:after="0" w:line="183" w:lineRule="exact"/>
              <w:rPr>
                <w:rFonts w:ascii="Arial" w:cs="Arial" w:eastAsia="Arial" w:hAnsi="Arial"/>
                <w:sz w:val="16"/>
                <w:szCs w:val="16"/>
                <w:color w:val="0000FF"/>
                <w:w w:val="92"/>
              </w:rPr>
            </w:pPr>
            <w:hyperlink r:id="rId160">
              <w:r>
                <w:rPr>
                  <w:rFonts w:ascii="Arial" w:cs="Arial" w:eastAsia="Arial" w:hAnsi="Arial"/>
                  <w:sz w:val="16"/>
                  <w:szCs w:val="16"/>
                  <w:color w:val="0000FF"/>
                  <w:w w:val="92"/>
                </w:rPr>
                <w:t>reference to Exhibit 4.1 to MetLife Insurance Company of Connecticut’s Annual Report on Form 10-K for the year ended December 31, 2013 (the “2013</w:t>
              </w:r>
            </w:hyperlink>
          </w:p>
        </w:tc>
        <w:tc>
          <w:tcPr>
            <w:tcW w:w="180" w:type="dxa"/>
            <w:vAlign w:val="bottom"/>
            <w:gridSpan w:val="4"/>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Borders>
              <w:bottom w:val="single" w:sz="8" w:color="0000FF"/>
            </w:tcBorders>
          </w:tcPr>
          <w:p>
            <w:pPr>
              <w:spacing w:after="0" w:line="183" w:lineRule="exact"/>
              <w:rPr>
                <w:rFonts w:ascii="Arial" w:cs="Arial" w:eastAsia="Arial" w:hAnsi="Arial"/>
                <w:sz w:val="16"/>
                <w:szCs w:val="16"/>
                <w:color w:val="0000FF"/>
                <w:w w:val="94"/>
              </w:rPr>
            </w:pPr>
            <w:hyperlink r:id="rId160">
              <w:r>
                <w:rPr>
                  <w:rFonts w:ascii="Arial" w:cs="Arial" w:eastAsia="Arial" w:hAnsi="Arial"/>
                  <w:sz w:val="16"/>
                  <w:szCs w:val="16"/>
                  <w:color w:val="0000FF"/>
                  <w:w w:val="94"/>
                </w:rPr>
                <w:t>Annual Report”)).</w:t>
              </w:r>
            </w:hyperlink>
          </w:p>
        </w:tc>
        <w:tc>
          <w:tcPr>
            <w:tcW w:w="8940" w:type="dxa"/>
            <w:vAlign w:val="bottom"/>
            <w:gridSpan w:val="22"/>
          </w:tcPr>
          <w:p>
            <w:pPr>
              <w:spacing w:after="0"/>
              <w:rPr>
                <w:sz w:val="15"/>
                <w:szCs w:val="15"/>
                <w:color w:val="auto"/>
              </w:rPr>
            </w:pPr>
          </w:p>
        </w:tc>
      </w:tr>
      <w:tr>
        <w:trPr>
          <w:trHeight w:val="358"/>
        </w:trPr>
        <w:tc>
          <w:tcPr>
            <w:tcW w:w="116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3"/>
          </w:tcPr>
          <w:p>
            <w:pPr>
              <w:spacing w:after="0"/>
              <w:rPr>
                <w:rFonts w:ascii="Arial" w:cs="Arial" w:eastAsia="Arial" w:hAnsi="Arial"/>
                <w:sz w:val="16"/>
                <w:szCs w:val="16"/>
                <w:color w:val="0000FF"/>
                <w:w w:val="93"/>
              </w:rPr>
            </w:pPr>
            <w:hyperlink r:id="rId161">
              <w:r>
                <w:rPr>
                  <w:rFonts w:ascii="Arial" w:cs="Arial" w:eastAsia="Arial" w:hAnsi="Arial"/>
                  <w:sz w:val="16"/>
                  <w:szCs w:val="16"/>
                  <w:color w:val="0000FF"/>
                  <w:w w:val="93"/>
                </w:rPr>
                <w:t>Service Agreement and Indemnity Combination Coinsurance and Modified Coinsurance Agreement of Certain Annuity Contracts (effective as of January</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60" w:type="dxa"/>
            <w:vAlign w:val="bottom"/>
            <w:tcBorders>
              <w:top w:val="single" w:sz="8" w:color="0000FF"/>
            </w:tcBorders>
            <w:gridSpan w:val="20"/>
          </w:tcPr>
          <w:p>
            <w:pPr>
              <w:spacing w:after="0" w:line="183" w:lineRule="exact"/>
              <w:rPr>
                <w:rFonts w:ascii="Arial" w:cs="Arial" w:eastAsia="Arial" w:hAnsi="Arial"/>
                <w:sz w:val="16"/>
                <w:szCs w:val="16"/>
                <w:color w:val="0000FF"/>
                <w:w w:val="92"/>
              </w:rPr>
            </w:pPr>
            <w:hyperlink r:id="rId161">
              <w:r>
                <w:rPr>
                  <w:rFonts w:ascii="Arial" w:cs="Arial" w:eastAsia="Arial" w:hAnsi="Arial"/>
                  <w:sz w:val="16"/>
                  <w:szCs w:val="16"/>
                  <w:color w:val="0000FF"/>
                  <w:w w:val="92"/>
                </w:rPr>
                <w:t>1, 2014), between MetLife Insurance Company of Connecticut and Metropolitan Life Insurance Company (Treaty #20176) (Incorporated by reference to</w:t>
              </w:r>
            </w:hyperlink>
          </w:p>
        </w:tc>
        <w:tc>
          <w:tcPr>
            <w:tcW w:w="160" w:type="dxa"/>
            <w:vAlign w:val="bottom"/>
            <w:gridSpan w:val="3"/>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80" w:type="dxa"/>
            <w:vAlign w:val="bottom"/>
            <w:tcBorders>
              <w:top w:val="single" w:sz="8" w:color="0000FF"/>
              <w:bottom w:val="single" w:sz="8" w:color="0000FF"/>
            </w:tcBorders>
            <w:gridSpan w:val="4"/>
          </w:tcPr>
          <w:p>
            <w:pPr>
              <w:spacing w:after="0" w:line="183" w:lineRule="exact"/>
              <w:rPr>
                <w:rFonts w:ascii="Arial" w:cs="Arial" w:eastAsia="Arial" w:hAnsi="Arial"/>
                <w:sz w:val="16"/>
                <w:szCs w:val="16"/>
                <w:color w:val="0000FF"/>
                <w:w w:val="92"/>
              </w:rPr>
            </w:pPr>
            <w:hyperlink r:id="rId161">
              <w:r>
                <w:rPr>
                  <w:rFonts w:ascii="Arial" w:cs="Arial" w:eastAsia="Arial" w:hAnsi="Arial"/>
                  <w:sz w:val="16"/>
                  <w:szCs w:val="16"/>
                  <w:color w:val="0000FF"/>
                  <w:w w:val="92"/>
                </w:rPr>
                <w:t>Exhibit 4.2 to the 2013 Annual Report).</w:t>
              </w:r>
            </w:hyperlink>
          </w:p>
        </w:tc>
        <w:tc>
          <w:tcPr>
            <w:tcW w:w="7320" w:type="dxa"/>
            <w:vAlign w:val="bottom"/>
            <w:tcBorders>
              <w:top w:val="single" w:sz="8" w:color="0000FF"/>
            </w:tcBorders>
            <w:gridSpan w:val="13"/>
          </w:tcPr>
          <w:p>
            <w:pPr>
              <w:spacing w:after="0"/>
              <w:rPr>
                <w:sz w:val="15"/>
                <w:szCs w:val="15"/>
                <w:color w:val="auto"/>
              </w:rPr>
            </w:pPr>
          </w:p>
        </w:tc>
        <w:tc>
          <w:tcPr>
            <w:tcW w:w="220" w:type="dxa"/>
            <w:vAlign w:val="bottom"/>
            <w:gridSpan w:val="6"/>
          </w:tcPr>
          <w:p>
            <w:pPr>
              <w:spacing w:after="0"/>
              <w:rPr>
                <w:sz w:val="15"/>
                <w:szCs w:val="15"/>
                <w:color w:val="auto"/>
              </w:rPr>
            </w:pPr>
          </w:p>
        </w:tc>
      </w:tr>
      <w:tr>
        <w:trPr>
          <w:trHeight w:val="358"/>
        </w:trPr>
        <w:tc>
          <w:tcPr>
            <w:tcW w:w="11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3"/>
          </w:tcPr>
          <w:p>
            <w:pPr>
              <w:spacing w:after="0"/>
              <w:rPr>
                <w:rFonts w:ascii="Arial" w:cs="Arial" w:eastAsia="Arial" w:hAnsi="Arial"/>
                <w:sz w:val="16"/>
                <w:szCs w:val="16"/>
                <w:color w:val="0000FF"/>
                <w:w w:val="93"/>
              </w:rPr>
            </w:pPr>
            <w:hyperlink r:id="rId162">
              <w:r>
                <w:rPr>
                  <w:rFonts w:ascii="Arial" w:cs="Arial" w:eastAsia="Arial" w:hAnsi="Arial"/>
                  <w:sz w:val="16"/>
                  <w:szCs w:val="16"/>
                  <w:color w:val="0000FF"/>
                  <w:w w:val="93"/>
                </w:rPr>
                <w:t>Investment Management Agreement, dated as of January 1, 2017, between MetLife Investment Advisors, LLC and Brighthouse Life Insurance Company</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3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80" w:type="dxa"/>
            <w:vAlign w:val="bottom"/>
            <w:gridSpan w:val="11"/>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20" w:type="dxa"/>
            <w:vAlign w:val="bottom"/>
            <w:gridSpan w:val="23"/>
          </w:tcPr>
          <w:p>
            <w:pPr>
              <w:spacing w:after="0" w:line="183" w:lineRule="exact"/>
              <w:rPr>
                <w:rFonts w:ascii="Arial" w:cs="Arial" w:eastAsia="Arial" w:hAnsi="Arial"/>
                <w:sz w:val="16"/>
                <w:szCs w:val="16"/>
                <w:color w:val="0000FF"/>
                <w:w w:val="95"/>
              </w:rPr>
            </w:pPr>
            <w:hyperlink r:id="rId162">
              <w:r>
                <w:rPr>
                  <w:rFonts w:ascii="Arial" w:cs="Arial" w:eastAsia="Arial" w:hAnsi="Arial"/>
                  <w:sz w:val="16"/>
                  <w:szCs w:val="16"/>
                  <w:color w:val="0000FF"/>
                  <w:w w:val="95"/>
                </w:rPr>
                <w:t>(formerly known as MetLife Insurance Company USA) (Incorporated by reference to Exhibit 10.1 to the Brighthouse Life Insurance Company’s Current</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120" w:type="dxa"/>
            <w:vAlign w:val="bottom"/>
            <w:tcBorders>
              <w:top w:val="single" w:sz="8" w:color="0000FF"/>
              <w:bottom w:val="single" w:sz="8" w:color="0000FF"/>
            </w:tcBorders>
            <w:gridSpan w:val="5"/>
          </w:tcPr>
          <w:p>
            <w:pPr>
              <w:spacing w:after="0" w:line="183" w:lineRule="exact"/>
              <w:rPr>
                <w:rFonts w:ascii="Arial" w:cs="Arial" w:eastAsia="Arial" w:hAnsi="Arial"/>
                <w:sz w:val="16"/>
                <w:szCs w:val="16"/>
                <w:color w:val="0000FF"/>
                <w:w w:val="93"/>
              </w:rPr>
            </w:pPr>
            <w:hyperlink r:id="rId162">
              <w:r>
                <w:rPr>
                  <w:rFonts w:ascii="Arial" w:cs="Arial" w:eastAsia="Arial" w:hAnsi="Arial"/>
                  <w:sz w:val="16"/>
                  <w:szCs w:val="16"/>
                  <w:color w:val="0000FF"/>
                  <w:w w:val="93"/>
                </w:rPr>
                <w:t>Report on Form 8-K, filed on August 10, 2017).</w:t>
              </w:r>
            </w:hyperlink>
          </w:p>
        </w:tc>
        <w:tc>
          <w:tcPr>
            <w:tcW w:w="6960" w:type="dxa"/>
            <w:vAlign w:val="bottom"/>
            <w:tcBorders>
              <w:top w:val="single" w:sz="8" w:color="0000FF"/>
            </w:tcBorders>
            <w:gridSpan w:val="16"/>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58"/>
        </w:trPr>
        <w:tc>
          <w:tcPr>
            <w:tcW w:w="1160" w:type="dxa"/>
            <w:vAlign w:val="bottom"/>
          </w:tcPr>
          <w:p>
            <w:pPr>
              <w:jc w:val="center"/>
              <w:spacing w:after="0"/>
              <w:rPr>
                <w:sz w:val="20"/>
                <w:szCs w:val="20"/>
                <w:color w:val="auto"/>
              </w:rPr>
            </w:pPr>
            <w:r>
              <w:rPr>
                <w:rFonts w:ascii="Arial" w:cs="Arial" w:eastAsia="Arial" w:hAnsi="Arial"/>
                <w:sz w:val="16"/>
                <w:szCs w:val="16"/>
                <w:color w:val="auto"/>
                <w:w w:val="96"/>
              </w:rPr>
              <w:t>23.1*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00" w:type="dxa"/>
            <w:vAlign w:val="bottom"/>
            <w:tcBorders>
              <w:bottom w:val="single" w:sz="8" w:color="0000FF"/>
            </w:tcBorders>
            <w:gridSpan w:val="3"/>
          </w:tcPr>
          <w:p>
            <w:pPr>
              <w:spacing w:after="0"/>
              <w:rPr>
                <w:rFonts w:ascii="Arial" w:cs="Arial" w:eastAsia="Arial" w:hAnsi="Arial"/>
                <w:sz w:val="16"/>
                <w:szCs w:val="16"/>
                <w:color w:val="0000FF"/>
                <w:w w:val="92"/>
              </w:rPr>
            </w:pPr>
            <w:hyperlink w:anchor="page185">
              <w:r>
                <w:rPr>
                  <w:rFonts w:ascii="Arial" w:cs="Arial" w:eastAsia="Arial" w:hAnsi="Arial"/>
                  <w:sz w:val="16"/>
                  <w:szCs w:val="16"/>
                  <w:color w:val="0000FF"/>
                  <w:w w:val="92"/>
                </w:rPr>
                <w:t>Consent of Deloitte &amp; Touche LLP.</w:t>
              </w:r>
            </w:hyperlink>
          </w:p>
        </w:tc>
        <w:tc>
          <w:tcPr>
            <w:tcW w:w="7820" w:type="dxa"/>
            <w:vAlign w:val="bottom"/>
            <w:gridSpan w:val="20"/>
          </w:tcPr>
          <w:p>
            <w:pPr>
              <w:spacing w:after="0"/>
              <w:rPr>
                <w:sz w:val="24"/>
                <w:szCs w:val="24"/>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6"/>
                <w:szCs w:val="16"/>
                <w:color w:val="auto"/>
                <w:w w:val="96"/>
              </w:rPr>
              <w:t>31.1*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3"/>
          </w:tcPr>
          <w:p>
            <w:pPr>
              <w:spacing w:after="0"/>
              <w:rPr>
                <w:rFonts w:ascii="Arial" w:cs="Arial" w:eastAsia="Arial" w:hAnsi="Arial"/>
                <w:sz w:val="16"/>
                <w:szCs w:val="16"/>
                <w:color w:val="0000FF"/>
              </w:rPr>
            </w:pPr>
            <w:hyperlink w:anchor="page186">
              <w:r>
                <w:rPr>
                  <w:rFonts w:ascii="Arial" w:cs="Arial" w:eastAsia="Arial" w:hAnsi="Arial"/>
                  <w:sz w:val="16"/>
                  <w:szCs w:val="16"/>
                  <w:color w:val="0000FF"/>
                </w:rPr>
                <w:t>Certification of Chief Executive Officer pursuant to Section 302 of the Sarbanes-Oxley Act of 2002.</w:t>
              </w:r>
            </w:hyperlink>
          </w:p>
        </w:tc>
      </w:tr>
      <w:tr>
        <w:trPr>
          <w:trHeight w:val="372"/>
        </w:trPr>
        <w:tc>
          <w:tcPr>
            <w:tcW w:w="1160" w:type="dxa"/>
            <w:vAlign w:val="bottom"/>
          </w:tcPr>
          <w:p>
            <w:pPr>
              <w:jc w:val="center"/>
              <w:spacing w:after="0"/>
              <w:rPr>
                <w:sz w:val="20"/>
                <w:szCs w:val="20"/>
                <w:color w:val="auto"/>
              </w:rPr>
            </w:pPr>
            <w:r>
              <w:rPr>
                <w:rFonts w:ascii="Arial" w:cs="Arial" w:eastAsia="Arial" w:hAnsi="Arial"/>
                <w:sz w:val="16"/>
                <w:szCs w:val="16"/>
                <w:color w:val="auto"/>
                <w:w w:val="96"/>
              </w:rPr>
              <w:t>31.2*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80" w:type="dxa"/>
            <w:vAlign w:val="bottom"/>
            <w:tcBorders>
              <w:top w:val="single" w:sz="8" w:color="0000FF"/>
              <w:bottom w:val="single" w:sz="8" w:color="0000FF"/>
            </w:tcBorders>
            <w:gridSpan w:val="10"/>
          </w:tcPr>
          <w:p>
            <w:pPr>
              <w:spacing w:after="0"/>
              <w:rPr>
                <w:rFonts w:ascii="Arial" w:cs="Arial" w:eastAsia="Arial" w:hAnsi="Arial"/>
                <w:sz w:val="16"/>
                <w:szCs w:val="16"/>
                <w:color w:val="0000FF"/>
                <w:w w:val="93"/>
              </w:rPr>
            </w:pPr>
            <w:hyperlink w:anchor="page187">
              <w:r>
                <w:rPr>
                  <w:rFonts w:ascii="Arial" w:cs="Arial" w:eastAsia="Arial" w:hAnsi="Arial"/>
                  <w:sz w:val="16"/>
                  <w:szCs w:val="16"/>
                  <w:color w:val="0000FF"/>
                  <w:w w:val="93"/>
                </w:rPr>
                <w:t>Certification of Chief Financial Officer pursuant to Section 302 of the Sarbanes-Oxley Act of 2002.</w:t>
              </w:r>
            </w:hyperlink>
          </w:p>
        </w:tc>
        <w:tc>
          <w:tcPr>
            <w:tcW w:w="20" w:type="dxa"/>
            <w:vAlign w:val="bottom"/>
            <w:tcBorders>
              <w:top w:val="single" w:sz="8" w:color="0000FF"/>
            </w:tcBorders>
          </w:tcPr>
          <w:p>
            <w:pPr>
              <w:spacing w:after="0"/>
              <w:rPr>
                <w:sz w:val="24"/>
                <w:szCs w:val="24"/>
                <w:color w:val="auto"/>
              </w:rPr>
            </w:pPr>
          </w:p>
        </w:tc>
        <w:tc>
          <w:tcPr>
            <w:tcW w:w="3620" w:type="dxa"/>
            <w:vAlign w:val="bottom"/>
            <w:gridSpan w:val="12"/>
          </w:tcPr>
          <w:p>
            <w:pPr>
              <w:spacing w:after="0"/>
              <w:rPr>
                <w:sz w:val="24"/>
                <w:szCs w:val="24"/>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6"/>
                <w:szCs w:val="16"/>
                <w:color w:val="auto"/>
                <w:w w:val="96"/>
              </w:rPr>
              <w:t>32.1*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3"/>
          </w:tcPr>
          <w:p>
            <w:pPr>
              <w:spacing w:after="0"/>
              <w:rPr>
                <w:rFonts w:ascii="Arial" w:cs="Arial" w:eastAsia="Arial" w:hAnsi="Arial"/>
                <w:sz w:val="16"/>
                <w:szCs w:val="16"/>
                <w:color w:val="0000FF"/>
              </w:rPr>
            </w:pPr>
            <w:hyperlink w:anchor="page188">
              <w:r>
                <w:rPr>
                  <w:rFonts w:ascii="Arial" w:cs="Arial" w:eastAsia="Arial" w:hAnsi="Arial"/>
                  <w:sz w:val="16"/>
                  <w:szCs w:val="16"/>
                  <w:color w:val="0000FF"/>
                </w:rPr>
                <w:t>Certification of Chief Executive Officer pursuant to Section 906 of the Sarbanes-Oxley Act of 2002.</w:t>
              </w:r>
            </w:hyperlink>
          </w:p>
        </w:tc>
      </w:tr>
      <w:tr>
        <w:trPr>
          <w:trHeight w:val="372"/>
        </w:trPr>
        <w:tc>
          <w:tcPr>
            <w:tcW w:w="1160" w:type="dxa"/>
            <w:vAlign w:val="bottom"/>
          </w:tcPr>
          <w:p>
            <w:pPr>
              <w:jc w:val="center"/>
              <w:spacing w:after="0"/>
              <w:rPr>
                <w:sz w:val="20"/>
                <w:szCs w:val="20"/>
                <w:color w:val="auto"/>
              </w:rPr>
            </w:pPr>
            <w:r>
              <w:rPr>
                <w:rFonts w:ascii="Arial" w:cs="Arial" w:eastAsia="Arial" w:hAnsi="Arial"/>
                <w:sz w:val="16"/>
                <w:szCs w:val="16"/>
                <w:color w:val="auto"/>
                <w:w w:val="96"/>
              </w:rPr>
              <w:t>32.2*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tcBorders>
              <w:top w:val="single" w:sz="8" w:color="0000FF"/>
              <w:bottom w:val="single" w:sz="8" w:color="0000FF"/>
            </w:tcBorders>
            <w:gridSpan w:val="9"/>
          </w:tcPr>
          <w:p>
            <w:pPr>
              <w:spacing w:after="0"/>
              <w:rPr>
                <w:rFonts w:ascii="Arial" w:cs="Arial" w:eastAsia="Arial" w:hAnsi="Arial"/>
                <w:sz w:val="16"/>
                <w:szCs w:val="16"/>
                <w:color w:val="0000FF"/>
                <w:w w:val="93"/>
              </w:rPr>
            </w:pPr>
            <w:hyperlink w:anchor="page189">
              <w:r>
                <w:rPr>
                  <w:rFonts w:ascii="Arial" w:cs="Arial" w:eastAsia="Arial" w:hAnsi="Arial"/>
                  <w:sz w:val="16"/>
                  <w:szCs w:val="16"/>
                  <w:color w:val="0000FF"/>
                  <w:w w:val="93"/>
                </w:rPr>
                <w:t>Certification of Chief Financial Officer pursuant to Section 906 of the Sarbanes-Oxley Act of 2002.</w:t>
              </w:r>
            </w:hyperlink>
          </w:p>
        </w:tc>
        <w:tc>
          <w:tcPr>
            <w:tcW w:w="40" w:type="dxa"/>
            <w:vAlign w:val="bottom"/>
            <w:tcBorders>
              <w:top w:val="single" w:sz="8" w:color="0000FF"/>
            </w:tcBorders>
            <w:gridSpan w:val="2"/>
          </w:tcPr>
          <w:p>
            <w:pPr>
              <w:spacing w:after="0"/>
              <w:rPr>
                <w:sz w:val="24"/>
                <w:szCs w:val="24"/>
                <w:color w:val="auto"/>
              </w:rPr>
            </w:pPr>
          </w:p>
        </w:tc>
        <w:tc>
          <w:tcPr>
            <w:tcW w:w="3620" w:type="dxa"/>
            <w:vAlign w:val="bottom"/>
            <w:gridSpan w:val="12"/>
          </w:tcPr>
          <w:p>
            <w:pPr>
              <w:spacing w:after="0"/>
              <w:rPr>
                <w:sz w:val="24"/>
                <w:szCs w:val="24"/>
                <w:color w:val="auto"/>
              </w:rPr>
            </w:pPr>
          </w:p>
        </w:tc>
      </w:tr>
      <w:tr>
        <w:trPr>
          <w:trHeight w:val="406"/>
        </w:trPr>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101.INS</w:t>
            </w:r>
          </w:p>
        </w:tc>
        <w:tc>
          <w:tcPr>
            <w:tcW w:w="40" w:type="dxa"/>
            <w:vAlign w:val="bottom"/>
          </w:tcPr>
          <w:p>
            <w:pPr>
              <w:spacing w:after="0"/>
              <w:rPr>
                <w:sz w:val="24"/>
                <w:szCs w:val="24"/>
                <w:color w:val="auto"/>
              </w:rPr>
            </w:pPr>
          </w:p>
        </w:tc>
        <w:tc>
          <w:tcPr>
            <w:tcW w:w="10120" w:type="dxa"/>
            <w:vAlign w:val="bottom"/>
            <w:gridSpan w:val="23"/>
          </w:tcPr>
          <w:p>
            <w:pPr>
              <w:spacing w:after="0"/>
              <w:rPr>
                <w:sz w:val="20"/>
                <w:szCs w:val="20"/>
                <w:color w:val="auto"/>
              </w:rPr>
            </w:pPr>
            <w:r>
              <w:rPr>
                <w:rFonts w:ascii="Arial" w:cs="Arial" w:eastAsia="Arial" w:hAnsi="Arial"/>
                <w:sz w:val="16"/>
                <w:szCs w:val="16"/>
                <w:color w:val="auto"/>
              </w:rPr>
              <w:t>XBRL Instance Document.</w:t>
            </w:r>
          </w:p>
        </w:tc>
      </w:tr>
      <w:tr>
        <w:trPr>
          <w:trHeight w:val="392"/>
        </w:trPr>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101.SCH</w:t>
            </w:r>
          </w:p>
        </w:tc>
        <w:tc>
          <w:tcPr>
            <w:tcW w:w="40" w:type="dxa"/>
            <w:vAlign w:val="bottom"/>
          </w:tcPr>
          <w:p>
            <w:pPr>
              <w:spacing w:after="0"/>
              <w:rPr>
                <w:sz w:val="24"/>
                <w:szCs w:val="24"/>
                <w:color w:val="auto"/>
              </w:rPr>
            </w:pPr>
          </w:p>
        </w:tc>
        <w:tc>
          <w:tcPr>
            <w:tcW w:w="10120" w:type="dxa"/>
            <w:vAlign w:val="bottom"/>
            <w:gridSpan w:val="23"/>
          </w:tcPr>
          <w:p>
            <w:pPr>
              <w:spacing w:after="0"/>
              <w:rPr>
                <w:sz w:val="20"/>
                <w:szCs w:val="20"/>
                <w:color w:val="auto"/>
              </w:rPr>
            </w:pPr>
            <w:r>
              <w:rPr>
                <w:rFonts w:ascii="Arial" w:cs="Arial" w:eastAsia="Arial" w:hAnsi="Arial"/>
                <w:sz w:val="16"/>
                <w:szCs w:val="16"/>
                <w:color w:val="auto"/>
              </w:rPr>
              <w:t>XBRL Taxonomy Extension Schema Document.</w:t>
            </w:r>
          </w:p>
        </w:tc>
      </w:tr>
      <w:tr>
        <w:trPr>
          <w:trHeight w:val="392"/>
        </w:trPr>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101.CAL</w:t>
            </w:r>
          </w:p>
        </w:tc>
        <w:tc>
          <w:tcPr>
            <w:tcW w:w="40" w:type="dxa"/>
            <w:vAlign w:val="bottom"/>
          </w:tcPr>
          <w:p>
            <w:pPr>
              <w:spacing w:after="0"/>
              <w:rPr>
                <w:sz w:val="24"/>
                <w:szCs w:val="24"/>
                <w:color w:val="auto"/>
              </w:rPr>
            </w:pPr>
          </w:p>
        </w:tc>
        <w:tc>
          <w:tcPr>
            <w:tcW w:w="10120" w:type="dxa"/>
            <w:vAlign w:val="bottom"/>
            <w:gridSpan w:val="23"/>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392"/>
        </w:trPr>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101.LAB</w:t>
            </w:r>
          </w:p>
        </w:tc>
        <w:tc>
          <w:tcPr>
            <w:tcW w:w="40" w:type="dxa"/>
            <w:vAlign w:val="bottom"/>
          </w:tcPr>
          <w:p>
            <w:pPr>
              <w:spacing w:after="0"/>
              <w:rPr>
                <w:sz w:val="24"/>
                <w:szCs w:val="24"/>
                <w:color w:val="auto"/>
              </w:rPr>
            </w:pPr>
          </w:p>
        </w:tc>
        <w:tc>
          <w:tcPr>
            <w:tcW w:w="10120" w:type="dxa"/>
            <w:vAlign w:val="bottom"/>
            <w:gridSpan w:val="23"/>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392"/>
        </w:trPr>
        <w:tc>
          <w:tcPr>
            <w:tcW w:w="1260" w:type="dxa"/>
            <w:vAlign w:val="bottom"/>
            <w:gridSpan w:val="2"/>
          </w:tcPr>
          <w:p>
            <w:pPr>
              <w:jc w:val="center"/>
              <w:ind w:right="80"/>
              <w:spacing w:after="0"/>
              <w:rPr>
                <w:sz w:val="20"/>
                <w:szCs w:val="20"/>
                <w:color w:val="auto"/>
              </w:rPr>
            </w:pPr>
            <w:r>
              <w:rPr>
                <w:rFonts w:ascii="Arial" w:cs="Arial" w:eastAsia="Arial" w:hAnsi="Arial"/>
                <w:sz w:val="16"/>
                <w:szCs w:val="16"/>
                <w:color w:val="auto"/>
                <w:w w:val="90"/>
              </w:rPr>
              <w:t>101.PRE</w:t>
            </w:r>
          </w:p>
        </w:tc>
        <w:tc>
          <w:tcPr>
            <w:tcW w:w="40" w:type="dxa"/>
            <w:vAlign w:val="bottom"/>
          </w:tcPr>
          <w:p>
            <w:pPr>
              <w:spacing w:after="0"/>
              <w:rPr>
                <w:sz w:val="24"/>
                <w:szCs w:val="24"/>
                <w:color w:val="auto"/>
              </w:rPr>
            </w:pPr>
          </w:p>
        </w:tc>
        <w:tc>
          <w:tcPr>
            <w:tcW w:w="10120" w:type="dxa"/>
            <w:vAlign w:val="bottom"/>
            <w:gridSpan w:val="23"/>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392"/>
        </w:trPr>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101.DEF</w:t>
            </w:r>
          </w:p>
        </w:tc>
        <w:tc>
          <w:tcPr>
            <w:tcW w:w="40" w:type="dxa"/>
            <w:vAlign w:val="bottom"/>
          </w:tcPr>
          <w:p>
            <w:pPr>
              <w:spacing w:after="0"/>
              <w:rPr>
                <w:sz w:val="24"/>
                <w:szCs w:val="24"/>
                <w:color w:val="auto"/>
              </w:rPr>
            </w:pPr>
          </w:p>
        </w:tc>
        <w:tc>
          <w:tcPr>
            <w:tcW w:w="10120" w:type="dxa"/>
            <w:vAlign w:val="bottom"/>
            <w:gridSpan w:val="23"/>
          </w:tcPr>
          <w:p>
            <w:pPr>
              <w:spacing w:after="0"/>
              <w:rPr>
                <w:sz w:val="20"/>
                <w:szCs w:val="20"/>
                <w:color w:val="auto"/>
              </w:rPr>
            </w:pPr>
            <w:r>
              <w:rPr>
                <w:rFonts w:ascii="Arial" w:cs="Arial" w:eastAsia="Arial" w:hAnsi="Arial"/>
                <w:sz w:val="16"/>
                <w:szCs w:val="16"/>
                <w:color w:val="auto"/>
              </w:rPr>
              <w:t>XBRL Taxonomy Extension Definition Linkbase Document.</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March 21, 2018</w:t>
      </w:r>
    </w:p>
    <w:p>
      <w:pPr>
        <w:spacing w:after="0" w:line="33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BRIGHTHOUSE LIFE INSURANCE COMPANY</w:t>
      </w:r>
    </w:p>
    <w:p>
      <w:pPr>
        <w:spacing w:after="0" w:line="185" w:lineRule="exact"/>
        <w:rPr>
          <w:sz w:val="20"/>
          <w:szCs w:val="20"/>
          <w:color w:val="auto"/>
        </w:rPr>
      </w:pPr>
    </w:p>
    <w:tbl>
      <w:tblPr>
        <w:tblLayout w:type="fixed"/>
        <w:tblInd w:w="4740" w:type="dxa"/>
        <w:tblCellMar>
          <w:top w:w="0" w:type="dxa"/>
          <w:left w:w="0" w:type="dxa"/>
          <w:bottom w:w="0" w:type="dxa"/>
          <w:right w:w="0" w:type="dxa"/>
        </w:tblCellMar>
      </w:tblPr>
      <w:tr>
        <w:trPr>
          <w:trHeight w:val="230"/>
        </w:trPr>
        <w:tc>
          <w:tcPr>
            <w:tcW w:w="1100" w:type="dxa"/>
            <w:vAlign w:val="bottom"/>
            <w:gridSpan w:val="2"/>
          </w:tcPr>
          <w:p>
            <w:pPr>
              <w:spacing w:after="0"/>
              <w:rPr>
                <w:sz w:val="20"/>
                <w:szCs w:val="20"/>
                <w:color w:val="auto"/>
              </w:rPr>
            </w:pPr>
            <w:r>
              <w:rPr>
                <w:rFonts w:ascii="Arial" w:cs="Arial" w:eastAsia="Arial" w:hAnsi="Arial"/>
                <w:sz w:val="18"/>
                <w:szCs w:val="18"/>
                <w:color w:val="auto"/>
              </w:rPr>
              <w:t>By</w:t>
            </w:r>
          </w:p>
        </w:tc>
        <w:tc>
          <w:tcPr>
            <w:tcW w:w="5580" w:type="dxa"/>
            <w:vAlign w:val="bottom"/>
          </w:tcPr>
          <w:p>
            <w:pPr>
              <w:ind w:left="80"/>
              <w:spacing w:after="0"/>
              <w:rPr>
                <w:sz w:val="20"/>
                <w:szCs w:val="20"/>
                <w:color w:val="auto"/>
              </w:rPr>
            </w:pPr>
            <w:r>
              <w:rPr>
                <w:rFonts w:ascii="Arial" w:cs="Arial" w:eastAsia="Arial" w:hAnsi="Arial"/>
                <w:sz w:val="18"/>
                <w:szCs w:val="18"/>
                <w:color w:val="auto"/>
              </w:rPr>
              <w:t>/s/ Lynn A. Dumais</w:t>
            </w:r>
          </w:p>
        </w:tc>
      </w:tr>
      <w:tr>
        <w:trPr>
          <w:trHeight w:val="27"/>
        </w:trPr>
        <w:tc>
          <w:tcPr>
            <w:tcW w:w="4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rPr>
              <w:t>Name:</w:t>
            </w:r>
          </w:p>
        </w:tc>
        <w:tc>
          <w:tcPr>
            <w:tcW w:w="5580" w:type="dxa"/>
            <w:vAlign w:val="bottom"/>
          </w:tcPr>
          <w:p>
            <w:pPr>
              <w:ind w:left="240"/>
              <w:spacing w:after="0"/>
              <w:rPr>
                <w:sz w:val="20"/>
                <w:szCs w:val="20"/>
                <w:color w:val="auto"/>
              </w:rPr>
            </w:pPr>
            <w:r>
              <w:rPr>
                <w:rFonts w:ascii="Arial" w:cs="Arial" w:eastAsia="Arial" w:hAnsi="Arial"/>
                <w:sz w:val="18"/>
                <w:szCs w:val="18"/>
                <w:color w:val="auto"/>
              </w:rPr>
              <w:t>Lynn A. Dumais</w:t>
            </w:r>
          </w:p>
        </w:tc>
      </w:tr>
      <w:tr>
        <w:trPr>
          <w:trHeight w:val="256"/>
        </w:trPr>
        <w:tc>
          <w:tcPr>
            <w:tcW w:w="420" w:type="dxa"/>
            <w:vAlign w:val="bottom"/>
          </w:tcPr>
          <w:p>
            <w:pPr>
              <w:spacing w:after="0"/>
              <w:rPr>
                <w:sz w:val="22"/>
                <w:szCs w:val="22"/>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rPr>
              <w:t>Title:</w:t>
            </w:r>
          </w:p>
        </w:tc>
        <w:tc>
          <w:tcPr>
            <w:tcW w:w="5580" w:type="dxa"/>
            <w:vAlign w:val="bottom"/>
          </w:tcPr>
          <w:p>
            <w:pPr>
              <w:ind w:left="240"/>
              <w:spacing w:after="0"/>
              <w:rPr>
                <w:sz w:val="20"/>
                <w:szCs w:val="20"/>
                <w:color w:val="auto"/>
              </w:rPr>
            </w:pPr>
            <w:r>
              <w:rPr>
                <w:rFonts w:ascii="Arial" w:cs="Arial" w:eastAsia="Arial" w:hAnsi="Arial"/>
                <w:sz w:val="18"/>
                <w:szCs w:val="18"/>
                <w:color w:val="auto"/>
              </w:rPr>
              <w:t>Vice President and Chief Accounting Officer</w:t>
            </w:r>
          </w:p>
        </w:tc>
      </w:tr>
      <w:tr>
        <w:trPr>
          <w:trHeight w:val="230"/>
        </w:trPr>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(Authorized Signatory and Principal Accounting Officer)</w:t>
            </w:r>
          </w:p>
        </w:tc>
      </w:tr>
    </w:tbl>
    <w:p>
      <w:pPr>
        <w:sectPr>
          <w:pgSz w:w="11900" w:h="16838" w:orient="portrait"/>
          <w:cols w:equalWidth="0" w:num="1">
            <w:col w:w="11420"/>
          </w:cols>
          <w:pgMar w:left="240" w:top="229" w:right="239" w:bottom="0" w:gutter="0" w:footer="0" w:header="0"/>
        </w:sectPr>
      </w:pPr>
    </w:p>
    <w:bookmarkStart w:id="183" w:name="page184"/>
    <w:bookmarkEnd w:id="183"/>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38" w:lineRule="exact"/>
        <w:rPr>
          <w:sz w:val="20"/>
          <w:szCs w:val="20"/>
          <w:color w:val="auto"/>
        </w:rPr>
      </w:pPr>
    </w:p>
    <w:p>
      <w:pPr>
        <w:ind w:left="1760"/>
        <w:spacing w:after="0"/>
        <w:tabs>
          <w:tab w:leader="none" w:pos="6440" w:val="left"/>
          <w:tab w:leader="none" w:pos="984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69805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6980555"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6587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Eric T. Steigerwalt</w:t>
      </w:r>
    </w:p>
    <w:p>
      <w:pPr>
        <w:spacing w:after="0" w:line="25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 Anant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587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3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Anant Bhalla</w:t>
      </w:r>
    </w:p>
    <w:p>
      <w:pPr>
        <w:spacing w:after="0" w:line="185"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/s/ Peter M.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6587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8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Peter M. Carlson</w:t>
      </w:r>
    </w:p>
    <w:p>
      <w:pPr>
        <w:spacing w:after="0" w:line="185"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/s/ Myles J.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6587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8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Myles J. Lambert</w:t>
      </w:r>
    </w:p>
    <w:p>
      <w:pPr>
        <w:spacing w:after="0" w:line="185"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/s/ Conor E.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65874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6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Conor E. Murphy</w:t>
      </w:r>
    </w:p>
    <w:p>
      <w:pPr>
        <w:spacing w:after="0" w:line="185"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/s/ John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65874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8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John L. Rosenthal</w:t>
      </w:r>
    </w:p>
    <w:p>
      <w:pPr>
        <w:spacing w:after="0" w:line="252"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/s/ Lynn A. Dumais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65874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4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Lynn A. Dumais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center"/>
        <w:ind w:right="740"/>
        <w:spacing w:after="0"/>
        <w:rPr>
          <w:sz w:val="20"/>
          <w:szCs w:val="20"/>
          <w:color w:val="auto"/>
        </w:rPr>
      </w:pPr>
      <w:r>
        <w:rPr>
          <w:rFonts w:ascii="Arial" w:cs="Arial" w:eastAsia="Arial" w:hAnsi="Arial"/>
          <w:sz w:val="16"/>
          <w:szCs w:val="16"/>
          <w:color w:val="auto"/>
        </w:rPr>
        <w:t>Chairman of the Board, President and</w:t>
      </w:r>
    </w:p>
    <w:p>
      <w:pPr>
        <w:spacing w:after="0" w:line="46"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(Principal Executive Officer)</w:t>
      </w:r>
    </w:p>
    <w:p>
      <w:pPr>
        <w:spacing w:after="0" w:line="170"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Director, Vice President and</w:t>
      </w:r>
    </w:p>
    <w:p>
      <w:pPr>
        <w:spacing w:after="0" w:line="23"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(Principal Financial Officer)</w:t>
      </w:r>
    </w:p>
    <w:p>
      <w:pPr>
        <w:spacing w:after="0" w:line="30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Vice President and</w:t>
      </w:r>
    </w:p>
    <w:p>
      <w:pPr>
        <w:spacing w:after="0" w:line="23"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(Principal Accounting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March 21, 2018</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March 21, 2018</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March 21, 2018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21, 2018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21, 2018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21, 2018</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March 21, 2018</w:t>
      </w:r>
    </w:p>
    <w:p>
      <w:pPr>
        <w:spacing w:after="0" w:line="601" w:lineRule="exact"/>
        <w:rPr>
          <w:sz w:val="20"/>
          <w:szCs w:val="20"/>
          <w:color w:val="auto"/>
        </w:rPr>
      </w:pPr>
    </w:p>
    <w:p>
      <w:pPr>
        <w:sectPr>
          <w:pgSz w:w="11900" w:h="16838" w:orient="portrait"/>
          <w:cols w:equalWidth="0" w:num="3">
            <w:col w:w="4540" w:space="720"/>
            <w:col w:w="3460" w:space="720"/>
            <w:col w:w="1960"/>
          </w:cols>
          <w:pgMar w:left="240" w:top="233" w:right="259" w:bottom="1440" w:gutter="0" w:footer="0" w:header="0"/>
          <w:type w:val="continuous"/>
        </w:sectPr>
      </w:pPr>
    </w:p>
    <w:p>
      <w:pPr>
        <w:spacing w:after="0" w:line="115" w:lineRule="exact"/>
        <w:rPr>
          <w:sz w:val="20"/>
          <w:szCs w:val="20"/>
          <w:color w:val="auto"/>
        </w:rPr>
      </w:pPr>
    </w:p>
    <w:p>
      <w:pPr>
        <w:ind w:right="160" w:firstLine="324"/>
        <w:spacing w:after="0" w:line="282" w:lineRule="auto"/>
        <w:rPr>
          <w:sz w:val="20"/>
          <w:szCs w:val="20"/>
          <w:color w:val="auto"/>
        </w:rPr>
      </w:pPr>
      <w:r>
        <w:rPr>
          <w:rFonts w:ascii="Arial" w:cs="Arial" w:eastAsia="Arial" w:hAnsi="Arial"/>
          <w:sz w:val="18"/>
          <w:szCs w:val="18"/>
          <w:b w:val="1"/>
          <w:bCs w:val="1"/>
          <w:color w:val="auto"/>
        </w:rPr>
        <w:t xml:space="preserve">Supplemental Information to be Furnished with Reports Filed Pursuant to Section 15(d) of the Act by Registrants Which Have Not Registered Securities Pursuant to Section 12 of the Act: </w:t>
      </w:r>
      <w:r>
        <w:rPr>
          <w:rFonts w:ascii="Arial" w:cs="Arial" w:eastAsia="Arial" w:hAnsi="Arial"/>
          <w:sz w:val="18"/>
          <w:szCs w:val="18"/>
          <w:color w:val="auto"/>
        </w:rPr>
        <w:t>None.</w:t>
      </w:r>
    </w:p>
    <w:p>
      <w:pPr>
        <w:spacing w:after="0" w:line="5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No annual report to security holders covering the registrant’s last fiscal year or proxy material with respect to any meeting of security holders has been sent, or will be sent, to security holders.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181</w:t>
      </w:r>
    </w:p>
    <w:p>
      <w:pPr>
        <w:sectPr>
          <w:pgSz w:w="11900" w:h="16838" w:orient="portrait"/>
          <w:cols w:equalWidth="0" w:num="1">
            <w:col w:w="11400"/>
          </w:cols>
          <w:pgMar w:left="240" w:top="233" w:right="259" w:bottom="1440" w:gutter="0" w:footer="0" w:header="0"/>
          <w:type w:val="continuous"/>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consent to the incorporation by reference in Registration Statement Nos. 333-201856, 333-201857, 333-201860, 333-201861, 333-207091, 333-208664, 333-209162, 333-209163, 333-216485, 333-217507, and 333-218126 on Form S-3 of our report dated March 21, 2018, relating to the consolidated financial statements and financial statement schedules of Brighthouse Life Insurance Company and subsidiaries, appearing in this Annual Report on Form 10-K of Brighthouse Life Insurance Company and subsidiaries for the year ended December 31, 2017.</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Charlotte, North Carolina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21, 2018</w:t>
      </w:r>
    </w:p>
    <w:p>
      <w:pPr>
        <w:sectPr>
          <w:pgSz w:w="11900" w:h="16838" w:orient="portrait"/>
          <w:cols w:equalWidth="0" w:num="1">
            <w:col w:w="11420"/>
          </w:cols>
          <w:pgMar w:left="240" w:top="743"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31.1</w:t>
      </w:r>
    </w:p>
    <w:p>
      <w:pPr>
        <w:spacing w:after="0" w:line="94" w:lineRule="exact"/>
        <w:rPr>
          <w:sz w:val="20"/>
          <w:szCs w:val="20"/>
          <w:color w:val="auto"/>
        </w:rPr>
      </w:pPr>
    </w:p>
    <w:p>
      <w:pPr>
        <w:ind w:left="5320"/>
        <w:spacing w:after="0"/>
        <w:rPr>
          <w:sz w:val="20"/>
          <w:szCs w:val="20"/>
          <w:color w:val="auto"/>
        </w:rPr>
      </w:pPr>
      <w:r>
        <w:rPr>
          <w:rFonts w:ascii="Arial" w:cs="Arial" w:eastAsia="Arial" w:hAnsi="Arial"/>
          <w:sz w:val="18"/>
          <w:szCs w:val="18"/>
          <w:u w:val="single" w:color="auto"/>
          <w:color w:val="auto"/>
        </w:rPr>
        <w:t>CERTIFICATIONS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I, Eric T. Steigerwalt, certify that:</w:t>
      </w:r>
    </w:p>
    <w:p>
      <w:pPr>
        <w:spacing w:after="0" w:line="252" w:lineRule="exact"/>
        <w:rPr>
          <w:sz w:val="20"/>
          <w:szCs w:val="20"/>
          <w:color w:val="auto"/>
        </w:rPr>
      </w:pPr>
    </w:p>
    <w:p>
      <w:pPr>
        <w:ind w:left="180" w:hanging="172"/>
        <w:spacing w:after="0"/>
        <w:tabs>
          <w:tab w:leader="none" w:pos="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Brighthouse Life Insurance Company;</w:t>
      </w:r>
    </w:p>
    <w:p>
      <w:pPr>
        <w:spacing w:after="0" w:line="252" w:lineRule="exact"/>
        <w:rPr>
          <w:rFonts w:ascii="Arial" w:cs="Arial" w:eastAsia="Arial" w:hAnsi="Arial"/>
          <w:sz w:val="18"/>
          <w:szCs w:val="18"/>
          <w:color w:val="auto"/>
        </w:rPr>
      </w:pPr>
    </w:p>
    <w:p>
      <w:pPr>
        <w:ind w:firstLine="8"/>
        <w:spacing w:after="0" w:line="377" w:lineRule="auto"/>
        <w:tabs>
          <w:tab w:leader="none" w:pos="208"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firstLine="8"/>
        <w:spacing w:after="0" w:line="309" w:lineRule="auto"/>
        <w:tabs>
          <w:tab w:leader="none" w:pos="182"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8"/>
          <w:szCs w:val="18"/>
          <w:color w:val="auto"/>
        </w:rPr>
      </w:pPr>
    </w:p>
    <w:p>
      <w:pPr>
        <w:jc w:val="both"/>
        <w:ind w:right="20" w:firstLine="8"/>
        <w:spacing w:after="0" w:line="295" w:lineRule="auto"/>
        <w:tabs>
          <w:tab w:leader="none" w:pos="181"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8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firstLine="8"/>
        <w:spacing w:after="0" w:line="341" w:lineRule="auto"/>
        <w:tabs>
          <w:tab w:leader="none" w:pos="201"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Eric T. Steigerwalt</w:t>
      </w:r>
    </w:p>
    <w:p>
      <w:pPr>
        <w:spacing w:after="0" w:line="63"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Chairman of the Board, President</w:t>
      </w:r>
    </w:p>
    <w:p>
      <w:pPr>
        <w:spacing w:after="0" w:line="23"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580"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31.2</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I, Anant Bhalla, certify that:</w:t>
      </w:r>
    </w:p>
    <w:p>
      <w:pPr>
        <w:spacing w:after="0" w:line="252" w:lineRule="exact"/>
        <w:rPr>
          <w:sz w:val="20"/>
          <w:szCs w:val="20"/>
          <w:color w:val="auto"/>
        </w:rPr>
      </w:pPr>
    </w:p>
    <w:p>
      <w:pPr>
        <w:ind w:left="180" w:hanging="172"/>
        <w:spacing w:after="0"/>
        <w:tabs>
          <w:tab w:leader="none" w:pos="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Brighthouse Life Insurance Company;</w:t>
      </w:r>
    </w:p>
    <w:p>
      <w:pPr>
        <w:spacing w:after="0" w:line="252" w:lineRule="exact"/>
        <w:rPr>
          <w:rFonts w:ascii="Arial" w:cs="Arial" w:eastAsia="Arial" w:hAnsi="Arial"/>
          <w:sz w:val="18"/>
          <w:szCs w:val="18"/>
          <w:color w:val="auto"/>
        </w:rPr>
      </w:pPr>
    </w:p>
    <w:p>
      <w:pPr>
        <w:ind w:firstLine="8"/>
        <w:spacing w:after="0" w:line="377" w:lineRule="auto"/>
        <w:tabs>
          <w:tab w:leader="none" w:pos="208"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firstLine="8"/>
        <w:spacing w:after="0" w:line="309" w:lineRule="auto"/>
        <w:tabs>
          <w:tab w:leader="none" w:pos="182"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8"/>
          <w:szCs w:val="18"/>
          <w:color w:val="auto"/>
        </w:rPr>
      </w:pPr>
    </w:p>
    <w:p>
      <w:pPr>
        <w:jc w:val="both"/>
        <w:ind w:right="20" w:firstLine="8"/>
        <w:spacing w:after="0" w:line="295" w:lineRule="auto"/>
        <w:tabs>
          <w:tab w:leader="none" w:pos="18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8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firstLine="8"/>
        <w:spacing w:after="0" w:line="341" w:lineRule="auto"/>
        <w:tabs>
          <w:tab w:leader="none" w:pos="201"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/s/ Anant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670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Anant Bhalla</w:t>
      </w:r>
    </w:p>
    <w:p>
      <w:pPr>
        <w:spacing w:after="0" w:line="63"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Vice President and</w:t>
      </w:r>
    </w:p>
    <w:p>
      <w:pPr>
        <w:spacing w:after="0" w:line="63"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CERTIFICATION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1350 OF CHAPTER 63 OF TITLE 18 OF THE UNITED STATES CODE</w:t>
      </w:r>
    </w:p>
    <w:p>
      <w:pPr>
        <w:spacing w:after="0" w:line="33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 Eric T. Steigerwalt, certify that, to my knowledge, (i) Brighthouse Life Insurance Company’s Annual Report on Form 10-K for the year ended December 31, 2017 (the “Form 10-K”) fully complies with the requirements of Section 13(a) or 15(d) of the Securities Exchange Act of 1934, and (ii) the information contained in the Form 10-K fairly presents, in all material respects, the financial condition and results of operations of Brighthouse Life Insurance Company.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2018</w:t>
      </w:r>
    </w:p>
    <w:p>
      <w:pPr>
        <w:spacing w:after="0" w:line="252"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Eric T. Steigerwalt</w:t>
      </w:r>
    </w:p>
    <w:p>
      <w:pPr>
        <w:spacing w:after="0" w:line="6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Chairman of the Board, President and</w:t>
      </w:r>
    </w:p>
    <w:p>
      <w:pPr>
        <w:spacing w:after="0" w:line="23"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certification accompanies this Annual Report on Form 10-K pursuant to Section 906 of the Sarbanes-Oxley Act of 2002 and shall not, except to the extent required by such Act, be deemed filed by Brighthouse Life Insurance Company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420"/>
          </w:cols>
          <w:pgMar w:left="240" w:top="581"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32.2</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CERTIFICATION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1350 OF CHAPTER 63 OF TITLE 18 OF THE UNITED STATES CODE</w:t>
      </w:r>
    </w:p>
    <w:p>
      <w:pPr>
        <w:spacing w:after="0" w:line="33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 Anant Bhalla, certify that, to my knowledge, (i) Brighthouse Life Insurance Company’s Annual Report on Form 10-K for the year ended December 31, 2017 (the “Form 10-K”) fully complies with the requirements of Section 13(a) or 15(d) of the Securities Exchange Act of 1934, and (ii) the information contained in the Form 10-K fairly presents, in all material respects, the financial condition and results of operations of Brighthouse Life Insurance Company.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2018</w:t>
      </w:r>
    </w:p>
    <w:p>
      <w:pPr>
        <w:spacing w:after="0" w:line="252"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/s/ Anant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Anant Bhalla</w:t>
      </w:r>
    </w:p>
    <w:p>
      <w:pPr>
        <w:spacing w:after="0" w:line="6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Vice President and</w:t>
      </w:r>
    </w:p>
    <w:p>
      <w:pPr>
        <w:spacing w:after="0" w:line="2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certification accompanies this Annual Report on Form 10-K pursuant to Section 906 of the Sarbanes-Oxley Act of 2002 and shall not, except to the extent required by such Act, be deemed filed by Brighthouse Life Insurance Company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1)"/>
      <w:numFmt w:val="lowerRoman"/>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1)"/>
      <w:numFmt w:val="lowerRoman"/>
      <w:start w:val="1"/>
    </w:lvl>
  </w:abstractNum>
  <w:abstractNum w:abstractNumId="10">
    <w:nsid w:val="4B588F54"/>
    <w:multiLevelType w:val="hybridMultilevel"/>
    <w:lvl w:ilvl="0">
      <w:lvlJc w:val="left"/>
      <w:lvlText w:val="(%1)"/>
      <w:numFmt w:val="lowerRoman"/>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1)"/>
      <w:numFmt w:val="decimal"/>
      <w:start w:val="256"/>
    </w:lvl>
  </w:abstractNum>
  <w:abstractNum w:abstractNumId="13">
    <w:nsid w:val="38437FDB"/>
    <w:multiLevelType w:val="hybridMultilevel"/>
    <w:lvl w:ilvl="0">
      <w:lvlJc w:val="left"/>
      <w:lvlText w:val="(%1)"/>
      <w:numFmt w:val="decimal"/>
      <w:start w:val="738"/>
    </w:lvl>
  </w:abstractNum>
  <w:abstractNum w:abstractNumId="14">
    <w:nsid w:val="7644A45C"/>
    <w:multiLevelType w:val="hybridMultilevel"/>
    <w:lvl w:ilvl="0">
      <w:lvlJc w:val="left"/>
      <w:lvlText w:val="(%1)"/>
      <w:numFmt w:val="decimal"/>
      <w:start w:val="204"/>
    </w:lvl>
  </w:abstractNum>
  <w:abstractNum w:abstractNumId="15">
    <w:nsid w:val="32FFF902"/>
    <w:multiLevelType w:val="hybridMultilevel"/>
    <w:lvl w:ilvl="0">
      <w:lvlJc w:val="left"/>
      <w:lvlText w:val="(%1)"/>
      <w:numFmt w:val="decimal"/>
      <w:start w:val="43"/>
    </w:lvl>
  </w:abstractNum>
  <w:abstractNum w:abstractNumId="16">
    <w:nsid w:val="684A481A"/>
    <w:multiLevelType w:val="hybridMultilevel"/>
    <w:lvl w:ilvl="0">
      <w:lvlJc w:val="left"/>
      <w:lvlText w:val="(%1)"/>
      <w:numFmt w:val="decimal"/>
      <w:start w:val="738"/>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1)"/>
      <w:numFmt w:val="decimal"/>
      <w:start w:val="738"/>
    </w:lvl>
  </w:abstractNum>
  <w:abstractNum w:abstractNumId="19">
    <w:nsid w:val="3DC240FB"/>
    <w:multiLevelType w:val="hybridMultilevel"/>
    <w:lvl w:ilvl="0">
      <w:lvlJc w:val="left"/>
      <w:lvlText w:val="(%1)"/>
      <w:numFmt w:val="decimal"/>
      <w:start w:val="204"/>
    </w:lvl>
  </w:abstractNum>
  <w:abstractNum w:abstractNumId="20">
    <w:nsid w:val="1BA026FA"/>
    <w:multiLevelType w:val="hybridMultilevel"/>
    <w:lvl w:ilvl="0">
      <w:lvlJc w:val="left"/>
      <w:lvlText w:val="(%1)"/>
      <w:numFmt w:val="decimal"/>
      <w:start w:val="43"/>
    </w:lvl>
  </w:abstractNum>
  <w:abstractNum w:abstractNumId="21">
    <w:nsid w:val="79A1DEAA"/>
    <w:multiLevelType w:val="hybridMultilevel"/>
    <w:lvl w:ilvl="0">
      <w:lvlJc w:val="left"/>
      <w:lvlText w:val="(%1)"/>
      <w:numFmt w:val="decimal"/>
      <w:start w:val="1"/>
    </w:lvl>
  </w:abstractNum>
  <w:abstractNum w:abstractNumId="22">
    <w:nsid w:val="75C6C33A"/>
    <w:multiLevelType w:val="hybridMultilevel"/>
    <w:lvl w:ilvl="0">
      <w:lvlJc w:val="left"/>
      <w:lvlText w:val="(%1)"/>
      <w:numFmt w:val="decimal"/>
      <w:start w:val="867"/>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1)"/>
      <w:numFmt w:val="decimal"/>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1)"/>
      <w:numFmt w:val="decimal"/>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1."/>
      <w:numFmt w:val="decimal"/>
      <w:start w:val="1"/>
    </w:lvl>
    <w:lvl w:ilvl="1">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1."/>
      <w:numFmt w:val="decimal"/>
      <w:start w:val="3"/>
    </w:lvl>
    <w:lvl w:ilvl="1">
      <w:lvlJc w:val="left"/>
      <w:lvlText w:val="•"/>
      <w:numFmt w:val="bullet"/>
      <w:start w:val="1"/>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1)"/>
      <w:numFmt w:val="decimal"/>
      <w:start w:val="1"/>
    </w:lvl>
  </w:abstractNum>
  <w:abstractNum w:abstractNumId="41">
    <w:nsid w:val="3F6AB60F"/>
    <w:multiLevelType w:val="hybridMultilevel"/>
    <w:lvl w:ilvl="0">
      <w:lvlJc w:val="left"/>
      <w:lvlText w:val="%1."/>
      <w:numFmt w:val="decimal"/>
      <w:start w:val="5"/>
    </w:lvl>
  </w:abstractNum>
  <w:abstractNum w:abstractNumId="42">
    <w:nsid w:val="61574095"/>
    <w:multiLevelType w:val="hybridMultilevel"/>
    <w:lvl w:ilvl="0">
      <w:lvlJc w:val="left"/>
      <w:lvlText w:val="%1."/>
      <w:numFmt w:val="decimal"/>
      <w:start w:val="5"/>
    </w:lvl>
  </w:abstractNum>
  <w:abstractNum w:abstractNumId="43">
    <w:nsid w:val="7E0C57B1"/>
    <w:multiLevelType w:val="hybridMultilevel"/>
    <w:lvl w:ilvl="0">
      <w:lvlJc w:val="left"/>
      <w:lvlText w:val="(%1)"/>
      <w:numFmt w:val="decimal"/>
      <w:start w:val="1"/>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1)"/>
      <w:numFmt w:val="decimal"/>
      <w:start w:val="2"/>
    </w:lvl>
  </w:abstractNum>
  <w:abstractNum w:abstractNumId="46">
    <w:nsid w:val="310C50B3"/>
    <w:multiLevelType w:val="hybridMultilevel"/>
    <w:lvl w:ilvl="0">
      <w:lvlJc w:val="left"/>
      <w:lvlText w:val="(%1)"/>
      <w:numFmt w:val="lowerRoman"/>
      <w:start w:val="3"/>
    </w:lvl>
  </w:abstractNum>
  <w:abstractNum w:abstractNumId="47">
    <w:nsid w:val="5FF87E05"/>
    <w:multiLevelType w:val="hybridMultilevel"/>
    <w:lvl w:ilvl="0">
      <w:lvlJc w:val="left"/>
      <w:lvlText w:val="%1."/>
      <w:numFmt w:val="decimal"/>
      <w:start w:val="7"/>
    </w:lvl>
  </w:abstractNum>
  <w:abstractNum w:abstractNumId="48">
    <w:nsid w:val="2F305DEF"/>
    <w:multiLevelType w:val="hybridMultilevel"/>
    <w:lvl w:ilvl="0">
      <w:lvlJc w:val="left"/>
      <w:lvlText w:val="(%1)"/>
      <w:numFmt w:val="decimal"/>
      <w:start w:val="1"/>
    </w:lvl>
  </w:abstractNum>
  <w:abstractNum w:abstractNumId="49">
    <w:nsid w:val="25A70BF7"/>
    <w:multiLevelType w:val="hybridMultilevel"/>
    <w:lvl w:ilvl="0">
      <w:lvlJc w:val="left"/>
      <w:lvlText w:val="(%1)"/>
      <w:numFmt w:val="decimal"/>
      <w:start w:val="1"/>
    </w:lvl>
  </w:abstractNum>
  <w:abstractNum w:abstractNumId="50">
    <w:nsid w:val="1DBABF00"/>
    <w:multiLevelType w:val="hybridMultilevel"/>
    <w:lvl w:ilvl="0">
      <w:lvlJc w:val="left"/>
      <w:lvlText w:val="(%1)"/>
      <w:numFmt w:val="decimal"/>
      <w:start w:val="1"/>
    </w:lvl>
  </w:abstractNum>
  <w:abstractNum w:abstractNumId="51">
    <w:nsid w:val="4AD084E9"/>
    <w:multiLevelType w:val="hybridMultilevel"/>
    <w:lvl w:ilvl="0">
      <w:lvlJc w:val="left"/>
      <w:lvlText w:val="(%1)"/>
      <w:numFmt w:val="decimal"/>
      <w:start w:val="1"/>
    </w:lvl>
  </w:abstractNum>
  <w:abstractNum w:abstractNumId="52">
    <w:nsid w:val="1F48EAA1"/>
    <w:multiLevelType w:val="hybridMultilevel"/>
    <w:lvl w:ilvl="0">
      <w:lvlJc w:val="left"/>
      <w:lvlText w:val="(%1)"/>
      <w:numFmt w:val="decimal"/>
      <w:start w:val="1"/>
    </w:lvl>
  </w:abstractNum>
  <w:abstractNum w:abstractNumId="53">
    <w:nsid w:val="1381823A"/>
    <w:multiLevelType w:val="hybridMultilevel"/>
    <w:lvl w:ilvl="0">
      <w:lvlJc w:val="left"/>
      <w:lvlText w:val="(%1)"/>
      <w:numFmt w:val="decimal"/>
      <w:start w:val="1"/>
    </w:lvl>
  </w:abstractNum>
  <w:abstractNum w:abstractNumId="54">
    <w:nsid w:val="5DB70AE5"/>
    <w:multiLevelType w:val="hybridMultilevel"/>
    <w:lvl w:ilvl="0">
      <w:lvlJc w:val="left"/>
      <w:lvlText w:val="(%1)"/>
      <w:numFmt w:val="decimal"/>
      <w:start w:val="1"/>
    </w:lvl>
  </w:abstractNum>
  <w:abstractNum w:abstractNumId="55">
    <w:nsid w:val="100F8FCA"/>
    <w:multiLevelType w:val="hybridMultilevel"/>
    <w:lvl w:ilvl="0">
      <w:lvlJc w:val="left"/>
      <w:lvlText w:val="(%1)"/>
      <w:numFmt w:val="decimal"/>
      <w:start w:val="1"/>
    </w:lvl>
  </w:abstractNum>
  <w:abstractNum w:abstractNumId="56">
    <w:nsid w:val="6590700B"/>
    <w:multiLevelType w:val="hybridMultilevel"/>
    <w:lvl w:ilvl="0">
      <w:lvlJc w:val="left"/>
      <w:lvlText w:val="(%1)"/>
      <w:numFmt w:val="decimal"/>
      <w:start w:val="1"/>
    </w:lvl>
  </w:abstractNum>
  <w:abstractNum w:abstractNumId="57">
    <w:nsid w:val="15014ACB"/>
    <w:multiLevelType w:val="hybridMultilevel"/>
    <w:lvl w:ilvl="0">
      <w:lvlJc w:val="left"/>
      <w:lvlText w:val="(%1)"/>
      <w:numFmt w:val="decimal"/>
      <w:start w:val="1"/>
    </w:lvl>
  </w:abstractNum>
  <w:abstractNum w:abstractNumId="58">
    <w:nsid w:val="5F5E7FD0"/>
    <w:multiLevelType w:val="hybridMultilevel"/>
    <w:lvl w:ilvl="0">
      <w:lvlJc w:val="left"/>
      <w:lvlText w:val="(%1)"/>
      <w:numFmt w:val="decimal"/>
      <w:start w:val="5"/>
    </w:lvl>
  </w:abstractNum>
  <w:abstractNum w:abstractNumId="59">
    <w:nsid w:val="98A3148"/>
    <w:multiLevelType w:val="hybridMultilevel"/>
    <w:lvl w:ilvl="0">
      <w:lvlJc w:val="left"/>
      <w:lvlText w:val="(%1)"/>
      <w:numFmt w:val="decimal"/>
      <w:start w:val="1"/>
    </w:lvl>
  </w:abstractNum>
  <w:abstractNum w:abstractNumId="60">
    <w:nsid w:val="799D0247"/>
    <w:multiLevelType w:val="hybridMultilevel"/>
    <w:lvl w:ilvl="0">
      <w:lvlJc w:val="left"/>
      <w:lvlText w:val="(%1)"/>
      <w:numFmt w:val="decimal"/>
      <w:start w:val="1"/>
    </w:lvl>
  </w:abstractNum>
  <w:abstractNum w:abstractNumId="61">
    <w:nsid w:val="6B94764"/>
    <w:multiLevelType w:val="hybridMultilevel"/>
    <w:lvl w:ilvl="0">
      <w:lvlJc w:val="left"/>
      <w:lvlText w:val="(%1)"/>
      <w:numFmt w:val="lowerRoman"/>
      <w:start w:val="3"/>
    </w:lvl>
  </w:abstractNum>
  <w:abstractNum w:abstractNumId="62">
    <w:nsid w:val="42C296BD"/>
    <w:multiLevelType w:val="hybridMultilevel"/>
    <w:lvl w:ilvl="0">
      <w:lvlJc w:val="left"/>
      <w:lvlText w:val="(%1)"/>
      <w:numFmt w:val="decimal"/>
      <w:start w:val="1"/>
    </w:lvl>
  </w:abstractNum>
  <w:abstractNum w:abstractNumId="63">
    <w:nsid w:val="168E121F"/>
    <w:multiLevelType w:val="hybridMultilevel"/>
    <w:lvl w:ilvl="0">
      <w:lvlJc w:val="left"/>
      <w:lvlText w:val="(%1)"/>
      <w:numFmt w:val="decimal"/>
      <w:start w:val="1"/>
    </w:lvl>
  </w:abstractNum>
  <w:abstractNum w:abstractNumId="64">
    <w:nsid w:val="1EBA5D23"/>
    <w:multiLevelType w:val="hybridMultilevel"/>
    <w:lvl w:ilvl="0">
      <w:lvlJc w:val="left"/>
      <w:lvlText w:val="(%1)"/>
      <w:numFmt w:val="decimal"/>
      <w:start w:val="6"/>
    </w:lvl>
  </w:abstractNum>
  <w:abstractNum w:abstractNumId="65">
    <w:nsid w:val="661E3F1E"/>
    <w:multiLevelType w:val="hybridMultilevel"/>
    <w:lvl w:ilvl="0">
      <w:lvlJc w:val="left"/>
      <w:lvlText w:val="(%1)"/>
      <w:numFmt w:val="decimal"/>
      <w:start w:val="1"/>
    </w:lvl>
  </w:abstractNum>
  <w:abstractNum w:abstractNumId="66">
    <w:nsid w:val="5DC79EA8"/>
    <w:multiLevelType w:val="hybridMultilevel"/>
    <w:lvl w:ilvl="0">
      <w:lvlJc w:val="left"/>
      <w:lvlText w:val="(%1)"/>
      <w:numFmt w:val="decimal"/>
      <w:start w:val="3"/>
    </w:lvl>
  </w:abstractNum>
  <w:abstractNum w:abstractNumId="67">
    <w:nsid w:val="540A471C"/>
    <w:multiLevelType w:val="hybridMultilevel"/>
    <w:lvl w:ilvl="0">
      <w:lvlJc w:val="left"/>
      <w:lvlText w:val="(%1)"/>
      <w:numFmt w:val="decimal"/>
      <w:start w:val="1"/>
    </w:lvl>
  </w:abstractNum>
  <w:abstractNum w:abstractNumId="68">
    <w:nsid w:val="7BD3EE7B"/>
    <w:multiLevelType w:val="hybridMultilevel"/>
    <w:lvl w:ilvl="0">
      <w:lvlJc w:val="left"/>
      <w:lvlText w:val="(%1)"/>
      <w:numFmt w:val="decimal"/>
      <w:start w:val="1"/>
    </w:lvl>
  </w:abstractNum>
  <w:abstractNum w:abstractNumId="69">
    <w:nsid w:val="51D9C564"/>
    <w:multiLevelType w:val="hybridMultilevel"/>
    <w:lvl w:ilvl="0">
      <w:lvlJc w:val="left"/>
      <w:lvlText w:val="(%1)"/>
      <w:numFmt w:val="decimal"/>
      <w:start w:val="1"/>
    </w:lvl>
  </w:abstractNum>
  <w:abstractNum w:abstractNumId="70">
    <w:nsid w:val="613EFDC5"/>
    <w:multiLevelType w:val="hybridMultilevel"/>
    <w:lvl w:ilvl="0">
      <w:lvlJc w:val="left"/>
      <w:lvlText w:val="(%1)"/>
      <w:numFmt w:val="decimal"/>
      <w:start w:val="1"/>
    </w:lvl>
  </w:abstractNum>
  <w:abstractNum w:abstractNumId="71">
    <w:nsid w:val="BF72B14"/>
    <w:multiLevelType w:val="hybridMultilevel"/>
    <w:lvl w:ilvl="0">
      <w:lvlJc w:val="left"/>
      <w:lvlText w:val="(%1)"/>
      <w:numFmt w:val="decimal"/>
      <w:start w:val="1"/>
    </w:lvl>
  </w:abstractNum>
  <w:abstractNum w:abstractNumId="72">
    <w:nsid w:val="11447B73"/>
    <w:multiLevelType w:val="hybridMultilevel"/>
    <w:lvl w:ilvl="0">
      <w:lvlJc w:val="left"/>
      <w:lvlText w:val="(%1)"/>
      <w:numFmt w:val="decimal"/>
      <w:start w:val="1"/>
    </w:lvl>
  </w:abstractNum>
  <w:abstractNum w:abstractNumId="73">
    <w:nsid w:val="42963E5A"/>
    <w:multiLevelType w:val="hybridMultilevel"/>
    <w:lvl w:ilvl="0">
      <w:lvlJc w:val="left"/>
      <w:lvlText w:val="(%1)"/>
      <w:numFmt w:val="decimal"/>
      <w:start w:val="1"/>
    </w:lvl>
  </w:abstractNum>
  <w:abstractNum w:abstractNumId="74">
    <w:nsid w:val="A0382C5"/>
    <w:multiLevelType w:val="hybridMultilevel"/>
    <w:lvl w:ilvl="0">
      <w:lvlJc w:val="left"/>
      <w:lvlText w:val="(%1)"/>
      <w:numFmt w:val="decimal"/>
      <w:start w:val="1"/>
    </w:lvl>
  </w:abstractNum>
  <w:abstractNum w:abstractNumId="75">
    <w:nsid w:val="8F2B15E"/>
    <w:multiLevelType w:val="hybridMultilevel"/>
    <w:lvl w:ilvl="0">
      <w:lvlJc w:val="left"/>
      <w:lvlText w:val="(%1)"/>
      <w:numFmt w:val="decimal"/>
      <w:start w:val="1"/>
    </w:lvl>
  </w:abstractNum>
  <w:abstractNum w:abstractNumId="76">
    <w:nsid w:val="1A32234B"/>
    <w:multiLevelType w:val="hybridMultilevel"/>
    <w:lvl w:ilvl="0">
      <w:lvlJc w:val="left"/>
      <w:lvlText w:val="(%1)"/>
      <w:numFmt w:val="decimal"/>
      <w:start w:val="1"/>
    </w:lvl>
  </w:abstractNum>
  <w:abstractNum w:abstractNumId="77">
    <w:nsid w:val="3B0FD379"/>
    <w:multiLevelType w:val="hybridMultilevel"/>
    <w:lvl w:ilvl="0">
      <w:lvlJc w:val="left"/>
      <w:lvlText w:val="(%1)"/>
      <w:numFmt w:val="decimal"/>
      <w:start w:val="1"/>
    </w:lvl>
  </w:abstractNum>
  <w:abstractNum w:abstractNumId="78">
    <w:nsid w:val="68EB2F63"/>
    <w:multiLevelType w:val="hybridMultilevel"/>
    <w:lvl w:ilvl="0">
      <w:lvlJc w:val="left"/>
      <w:lvlText w:val="(%1)"/>
      <w:numFmt w:val="lowerLetter"/>
      <w:start w:val="1"/>
    </w:lvl>
    <w:lvl w:ilvl="1">
      <w:lvlJc w:val="left"/>
      <w:lvlText w:val="%2."/>
      <w:numFmt w:val="decimal"/>
      <w:start w:val="1"/>
    </w:lvl>
  </w:abstractNum>
  <w:abstractNum w:abstractNumId="79">
    <w:nsid w:val="4962813B"/>
    <w:multiLevelType w:val="hybridMultilevel"/>
    <w:lvl w:ilvl="0">
      <w:lvlJc w:val="left"/>
      <w:lvlText w:val="%1."/>
      <w:numFmt w:val="decimal"/>
      <w:start w:val="1"/>
    </w:lvl>
    <w:lvl w:ilvl="1">
      <w:lvlJc w:val="left"/>
      <w:lvlText w:val="%2)"/>
      <w:numFmt w:val="lowerLetter"/>
      <w:start w:val="1"/>
    </w:lvl>
  </w:abstractNum>
  <w:abstractNum w:abstractNumId="80">
    <w:nsid w:val="60B6DF7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53" Type="http://schemas.openxmlformats.org/officeDocument/2006/relationships/hyperlink" Target="http://www.sec.gov/Archives/edgar/data/733076/000093783415000022/metlifeusa-12312014xex21.htm" TargetMode="External"/><Relationship Id="rId154" Type="http://schemas.openxmlformats.org/officeDocument/2006/relationships/hyperlink" Target="http://www.sec.gov/Archives/edgar/data/733076/000093783415000022/metlifeusa-12312014xex22.htm" TargetMode="External"/><Relationship Id="rId155" Type="http://schemas.openxmlformats.org/officeDocument/2006/relationships/hyperlink" Target="http://www.sec.gov/Archives/edgar/data/733076/000093783415000022/metlifeusa-12312014xex23.htm" TargetMode="External"/><Relationship Id="rId156" Type="http://schemas.openxmlformats.org/officeDocument/2006/relationships/hyperlink" Target="http://www.sec.gov/Archives/edgar/data/733076/000093783415000022/metlifeusa-12312014xex31.htm" TargetMode="External"/><Relationship Id="rId157" Type="http://schemas.openxmlformats.org/officeDocument/2006/relationships/hyperlink" Target="http://www.sec.gov/Archives/edgar/data/733076/000093783415000022/metlifeusa-12312014xex32.htm" TargetMode="External"/><Relationship Id="rId158" Type="http://schemas.openxmlformats.org/officeDocument/2006/relationships/hyperlink" Target="http://www.sec.gov/Archives/edgar/data/733076/000116760917000013/bhinsurance-12312016xex33.htm" TargetMode="External"/><Relationship Id="rId159" Type="http://schemas.openxmlformats.org/officeDocument/2006/relationships/hyperlink" Target="http://www.sec.gov/Archives/edgar/data/733076/000116760917000013/bhinsurance-12312016xex34.htm" TargetMode="External"/><Relationship Id="rId160" Type="http://schemas.openxmlformats.org/officeDocument/2006/relationships/hyperlink" Target="http://www.sec.gov/Archives/edgar/data/733076/000093783414000023/micc-12312013xex41.htm" TargetMode="External"/><Relationship Id="rId161" Type="http://schemas.openxmlformats.org/officeDocument/2006/relationships/hyperlink" Target="http://www.sec.gov/Archives/edgar/data/733076/000093783414000023/micc-12312013xex42.htm" TargetMode="External"/><Relationship Id="rId162" Type="http://schemas.openxmlformats.org/officeDocument/2006/relationships/hyperlink" Target="http://www.sec.gov/Archives/edgar/data/733076/000119312517254523/d42845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2019-12-28T23:27:24Z</dcterms:created>
  <dcterms:modified xsi:type="dcterms:W3CDTF">2019-12-28T23:27:24Z</dcterms:modified>
</cp:coreProperties>
</file>