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4942840</wp:posOffset>
            </wp:positionH>
            <wp:positionV relativeFrom="page">
              <wp:posOffset>157480</wp:posOffset>
            </wp:positionV>
            <wp:extent cx="2461260" cy="6858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61260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Anant Bhalla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Chief Financial Officer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Brighthouse Financial, Inc.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Gragg Building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11225 North Community House Road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Charlotte, North Carolina 28277</w:t>
      </w: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89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June 30, 2017</w:t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u w:val="single" w:color="auto"/>
          <w:color w:val="auto"/>
        </w:rPr>
        <w:t>Via EDGAR and E-mail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U.S. Securities and Exchange Commission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Division of Corporation Finance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100 F Street N.E.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Washington D.C. 20549</w:t>
      </w:r>
    </w:p>
    <w:p>
      <w:pPr>
        <w:sectPr>
          <w:pgSz w:w="11900" w:h="16838" w:orient="portrait"/>
          <w:cols w:equalWidth="0" w:num="1">
            <w:col w:w="11380"/>
          </w:cols>
          <w:pgMar w:left="240" w:top="1422" w:right="279" w:bottom="1440" w:gutter="0" w:footer="0" w:header="0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Attention: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Suzanne Hayes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Assistant Director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Office of Healthcare and Insurance</w:t>
      </w:r>
    </w:p>
    <w:p>
      <w:pPr>
        <w:spacing w:after="0" w:line="1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1280" w:space="220"/>
            <w:col w:w="9880"/>
          </w:cols>
          <w:pgMar w:left="240" w:top="1422" w:right="279" w:bottom="1440" w:gutter="0" w:footer="0" w:header="0"/>
          <w:type w:val="continuous"/>
        </w:sectPr>
      </w:pPr>
    </w:p>
    <w:p>
      <w:pPr>
        <w:ind w:left="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Re: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Brighthouse Financial, Inc.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Form 10-12B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File No. 001-37905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80" w:space="720"/>
            <w:col w:w="9880"/>
          </w:cols>
          <w:pgMar w:left="240" w:top="1422" w:right="279" w:bottom="1440" w:gutter="0" w:footer="0" w:header="0"/>
          <w:type w:val="continuous"/>
        </w:sectPr>
      </w:pPr>
    </w:p>
    <w:p>
      <w:pPr>
        <w:spacing w:after="0" w:line="1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Dear Ms. Hayes: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right="100" w:firstLine="456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Brighthouse Financial, Inc. (the 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Company</w:t>
      </w:r>
      <w:r>
        <w:rPr>
          <w:rFonts w:ascii="Arial" w:cs="Arial" w:eastAsia="Arial" w:hAnsi="Arial"/>
          <w:sz w:val="18"/>
          <w:szCs w:val="18"/>
          <w:color w:val="auto"/>
        </w:rPr>
        <w:t>”) hereby respectfully requests that the effectiveness of the Company’s Registration Statement on Form 10, as amended to date (File No. 001-37905) (the 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Registration Statement</w:t>
      </w:r>
      <w:r>
        <w:rPr>
          <w:rFonts w:ascii="Arial" w:cs="Arial" w:eastAsia="Arial" w:hAnsi="Arial"/>
          <w:sz w:val="18"/>
          <w:szCs w:val="18"/>
          <w:color w:val="auto"/>
        </w:rPr>
        <w:t>”), be accelerated so that the Registration Statement may become effective on July 6, 2017, or as soon thereafter as practicable.</w:t>
      </w:r>
    </w:p>
    <w:p>
      <w:pPr>
        <w:spacing w:after="0" w:line="181" w:lineRule="exact"/>
        <w:rPr>
          <w:sz w:val="24"/>
          <w:szCs w:val="24"/>
          <w:color w:val="auto"/>
        </w:rPr>
      </w:pPr>
    </w:p>
    <w:p>
      <w:pPr>
        <w:ind w:firstLine="456"/>
        <w:spacing w:after="0" w:line="25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In accordance with Rule 12d1-2 promulgated under the Securities Exchange Act of 1934, as amended, the reasons for this request are as follows: on June 28, 2017, the board of directors of MetLife, Inc., a Delaware corporation (“</w:t>
      </w:r>
      <w:r>
        <w:rPr>
          <w:rFonts w:ascii="Arial" w:cs="Arial" w:eastAsia="Arial" w:hAnsi="Arial"/>
          <w:sz w:val="18"/>
          <w:szCs w:val="18"/>
          <w:i w:val="1"/>
          <w:iCs w:val="1"/>
          <w:color w:val="auto"/>
        </w:rPr>
        <w:t>MetLife</w:t>
      </w:r>
      <w:r>
        <w:rPr>
          <w:rFonts w:ascii="Arial" w:cs="Arial" w:eastAsia="Arial" w:hAnsi="Arial"/>
          <w:sz w:val="18"/>
          <w:szCs w:val="18"/>
          <w:color w:val="auto"/>
        </w:rPr>
        <w:t>”), took several actions in connection with the spin-off of the Company from MetLife, including establishing the distribution ratio for the spin-off, and setting a record date of July 19, 2017 and a distribution date of August 4, 2017. MetLife and the Company wish to commence the process of printing and mailing the information statement as soon as possible following the record date.</w:t>
      </w:r>
    </w:p>
    <w:p>
      <w:pPr>
        <w:sectPr>
          <w:pgSz w:w="11900" w:h="16838" w:orient="portrait"/>
          <w:cols w:equalWidth="0" w:num="1">
            <w:col w:w="11380"/>
          </w:cols>
          <w:pgMar w:left="240" w:top="1422" w:right="279" w:bottom="1440" w:gutter="0" w:footer="0" w:header="0"/>
          <w:type w:val="continuous"/>
        </w:sectPr>
      </w:pPr>
    </w:p>
    <w:bookmarkStart w:id="1" w:name="page2"/>
    <w:bookmarkEnd w:id="1"/>
    <w:p>
      <w:pPr>
        <w:ind w:firstLine="456"/>
        <w:spacing w:after="0" w:line="27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88900</wp:posOffset>
            </wp:positionV>
            <wp:extent cx="7289165" cy="387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89165" cy="387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Please notify Benjamin Nixon of Willkie Farr &amp; Gallagher LLP at (212) 728-8532 at your earliest convenience after the Registration Statement has been declared effective, with written confirmation to follow.</w:t>
      </w:r>
    </w:p>
    <w:p>
      <w:pPr>
        <w:spacing w:after="0" w:line="19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Sincerely,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BRIGHTHOUSE FINANCIAL, INC.</w:t>
      </w:r>
    </w:p>
    <w:p>
      <w:pPr>
        <w:spacing w:after="0" w:line="225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72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By: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6"/>
          <w:szCs w:val="16"/>
          <w:color w:val="auto"/>
        </w:rPr>
        <w:t>/s/ Anant Bhalla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4618990</wp:posOffset>
            </wp:positionH>
            <wp:positionV relativeFrom="paragraph">
              <wp:posOffset>14605</wp:posOffset>
            </wp:positionV>
            <wp:extent cx="263271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27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ind w:left="72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Name: Anant Bhalla</w:t>
      </w:r>
    </w:p>
    <w:p>
      <w:pPr>
        <w:spacing w:after="0" w:line="23" w:lineRule="exact"/>
        <w:rPr>
          <w:sz w:val="20"/>
          <w:szCs w:val="20"/>
          <w:color w:val="auto"/>
        </w:rPr>
      </w:pPr>
    </w:p>
    <w:p>
      <w:pPr>
        <w:ind w:left="7280"/>
        <w:spacing w:after="0"/>
        <w:tabs>
          <w:tab w:leader="none" w:pos="7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Title: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7"/>
          <w:szCs w:val="17"/>
          <w:color w:val="auto"/>
        </w:rPr>
        <w:t>Chief Financial Officer</w:t>
      </w:r>
    </w:p>
    <w:p>
      <w:pPr>
        <w:spacing w:after="0" w:line="386" w:lineRule="exact"/>
        <w:rPr>
          <w:sz w:val="20"/>
          <w:szCs w:val="20"/>
          <w:color w:val="auto"/>
        </w:rPr>
      </w:pPr>
    </w:p>
    <w:p>
      <w:pPr>
        <w:jc w:val="center"/>
        <w:ind w:right="-33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auto"/>
        </w:rPr>
        <w:t>-2-</w:t>
      </w:r>
    </w:p>
    <w:sectPr>
      <w:pgSz w:w="11900" w:h="16838" w:orient="portrait"/>
      <w:cols w:equalWidth="0" w:num="1">
        <w:col w:w="11080"/>
      </w:cols>
      <w:pgMar w:left="240" w:top="274" w:right="5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2019-12-08T06:59:38Z</dcterms:created>
  <dcterms:modified xsi:type="dcterms:W3CDTF">2019-12-08T06:59:38Z</dcterms:modified>
</cp:coreProperties>
</file>